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2)*</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1760" w:type="dxa"/>
            <w:vAlign w:val="bottom"/>
          </w:tcPr>
          <w:p>
            <w:pPr>
              <w:jc w:val="right"/>
              <w:ind w:right="57"/>
              <w:spacing w:after="0"/>
              <w:rPr>
                <w:sz w:val="20"/>
                <w:szCs w:val="20"/>
                <w:color w:val="auto"/>
              </w:rPr>
            </w:pPr>
            <w:r>
              <w:rPr>
                <w:rFonts w:ascii="Arial" w:cs="Arial" w:eastAsia="Arial" w:hAnsi="Arial"/>
                <w:sz w:val="16"/>
                <w:szCs w:val="16"/>
                <w:b w:val="1"/>
                <w:bCs w:val="1"/>
                <w:color w:val="auto"/>
                <w:w w:val="94"/>
              </w:rPr>
              <w:t>CUSIP No. 30068X103</w:t>
            </w:r>
          </w:p>
        </w:tc>
        <w:tc>
          <w:tcPr>
            <w:tcW w:w="6440" w:type="dxa"/>
            <w:vAlign w:val="bottom"/>
          </w:tcPr>
          <w:p>
            <w:pPr>
              <w:ind w:left="3640"/>
              <w:spacing w:after="0"/>
              <w:rPr>
                <w:sz w:val="20"/>
                <w:szCs w:val="20"/>
                <w:color w:val="auto"/>
              </w:rPr>
            </w:pPr>
            <w:r>
              <w:rPr>
                <w:rFonts w:ascii="Arial" w:cs="Arial" w:eastAsia="Arial" w:hAnsi="Arial"/>
                <w:sz w:val="16"/>
                <w:szCs w:val="16"/>
                <w:b w:val="1"/>
                <w:bCs w:val="1"/>
                <w:color w:val="auto"/>
              </w:rPr>
              <w:t>13G/A</w:t>
            </w:r>
          </w:p>
        </w:tc>
        <w:tc>
          <w:tcPr>
            <w:tcW w:w="3040" w:type="dxa"/>
            <w:vAlign w:val="bottom"/>
          </w:tcPr>
          <w:p>
            <w:pPr>
              <w:ind w:left="1860"/>
              <w:spacing w:after="0"/>
              <w:rPr>
                <w:sz w:val="20"/>
                <w:szCs w:val="20"/>
                <w:color w:val="auto"/>
              </w:rPr>
            </w:pPr>
            <w:r>
              <w:rPr>
                <w:rFonts w:ascii="Arial" w:cs="Arial" w:eastAsia="Arial" w:hAnsi="Arial"/>
                <w:sz w:val="16"/>
                <w:szCs w:val="16"/>
                <w:b w:val="1"/>
                <w:bCs w:val="1"/>
                <w:color w:val="auto"/>
                <w:w w:val="85"/>
              </w:rPr>
              <w:t>Page 2 of 7 Pages</w:t>
            </w:r>
          </w:p>
        </w:tc>
        <w:tc>
          <w:tcPr>
            <w:tcW w:w="0" w:type="dxa"/>
            <w:vAlign w:val="bottom"/>
          </w:tcPr>
          <w:p>
            <w:pPr>
              <w:spacing w:after="0"/>
              <w:rPr>
                <w:sz w:val="1"/>
                <w:szCs w:val="1"/>
                <w:color w:val="auto"/>
              </w:rPr>
            </w:pPr>
          </w:p>
        </w:tc>
      </w:tr>
      <w:tr>
        <w:trPr>
          <w:trHeight w:val="343"/>
        </w:trPr>
        <w:tc>
          <w:tcPr>
            <w:tcW w:w="17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tcPr>
          <w:p>
            <w:pPr>
              <w:jc w:val="right"/>
              <w:ind w:right="657"/>
              <w:spacing w:after="0"/>
              <w:rPr>
                <w:sz w:val="20"/>
                <w:szCs w:val="20"/>
                <w:color w:val="auto"/>
              </w:rPr>
            </w:pPr>
            <w:r>
              <w:rPr>
                <w:rFonts w:ascii="Arial" w:cs="Arial" w:eastAsia="Arial" w:hAnsi="Arial"/>
                <w:sz w:val="29"/>
                <w:szCs w:val="29"/>
                <w:b w:val="1"/>
                <w:bCs w:val="1"/>
                <w:color w:val="auto"/>
              </w:rPr>
              <w:t>1</w:t>
            </w:r>
          </w:p>
        </w:tc>
        <w:tc>
          <w:tcPr>
            <w:tcW w:w="6440" w:type="dxa"/>
            <w:vAlign w:val="bottom"/>
          </w:tcPr>
          <w:p>
            <w:pPr>
              <w:ind w:left="160"/>
              <w:spacing w:after="0"/>
              <w:rPr>
                <w:sz w:val="20"/>
                <w:szCs w:val="20"/>
                <w:color w:val="auto"/>
              </w:rPr>
            </w:pPr>
            <w:r>
              <w:rPr>
                <w:rFonts w:ascii="Arial" w:cs="Arial" w:eastAsia="Arial" w:hAnsi="Arial"/>
                <w:sz w:val="16"/>
                <w:szCs w:val="16"/>
                <w:color w:val="auto"/>
              </w:rPr>
              <w:t>NAMES OF REPORTING PERSONS</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60" w:type="dxa"/>
            <w:vAlign w:val="bottom"/>
            <w:vMerge w:val="continue"/>
          </w:tcPr>
          <w:p>
            <w:pPr>
              <w:spacing w:after="0"/>
              <w:rPr>
                <w:sz w:val="14"/>
                <w:szCs w:val="14"/>
                <w:color w:val="auto"/>
              </w:rPr>
            </w:pPr>
          </w:p>
        </w:tc>
        <w:tc>
          <w:tcPr>
            <w:tcW w:w="6440" w:type="dxa"/>
            <w:vAlign w:val="bottom"/>
            <w:vMerge w:val="restart"/>
          </w:tcPr>
          <w:p>
            <w:pPr>
              <w:ind w:left="480"/>
              <w:spacing w:after="0"/>
              <w:rPr>
                <w:sz w:val="20"/>
                <w:szCs w:val="20"/>
                <w:color w:val="auto"/>
              </w:rPr>
            </w:pPr>
            <w:r>
              <w:rPr>
                <w:rFonts w:ascii="Arial" w:cs="Arial" w:eastAsia="Arial" w:hAnsi="Arial"/>
                <w:sz w:val="20"/>
                <w:szCs w:val="20"/>
                <w:color w:val="auto"/>
              </w:rPr>
              <w:t>RTW Investments, LP</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644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6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760" w:type="dxa"/>
            <w:vAlign w:val="bottom"/>
            <w:vMerge w:val="restart"/>
          </w:tcPr>
          <w:p>
            <w:pPr>
              <w:jc w:val="right"/>
              <w:ind w:right="657"/>
              <w:spacing w:after="0"/>
              <w:rPr>
                <w:sz w:val="20"/>
                <w:szCs w:val="20"/>
                <w:color w:val="auto"/>
              </w:rPr>
            </w:pPr>
            <w:r>
              <w:rPr>
                <w:rFonts w:ascii="Arial" w:cs="Arial" w:eastAsia="Arial" w:hAnsi="Arial"/>
                <w:sz w:val="29"/>
                <w:szCs w:val="29"/>
                <w:b w:val="1"/>
                <w:bCs w:val="1"/>
                <w:color w:val="auto"/>
              </w:rPr>
              <w:t>2</w:t>
            </w:r>
          </w:p>
        </w:tc>
        <w:tc>
          <w:tcPr>
            <w:tcW w:w="6440" w:type="dxa"/>
            <w:vAlign w:val="bottom"/>
          </w:tcPr>
          <w:p>
            <w:pPr>
              <w:ind w:left="160"/>
              <w:spacing w:after="0"/>
              <w:rPr>
                <w:sz w:val="20"/>
                <w:szCs w:val="20"/>
                <w:color w:val="auto"/>
              </w:rPr>
            </w:pPr>
            <w:r>
              <w:rPr>
                <w:rFonts w:ascii="Arial" w:cs="Arial" w:eastAsia="Arial" w:hAnsi="Arial"/>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760" w:type="dxa"/>
            <w:vAlign w:val="bottom"/>
            <w:vMerge w:val="continue"/>
          </w:tcPr>
          <w:p>
            <w:pPr>
              <w:spacing w:after="0"/>
              <w:rPr>
                <w:sz w:val="7"/>
                <w:szCs w:val="7"/>
                <w:color w:val="auto"/>
              </w:rPr>
            </w:pPr>
          </w:p>
        </w:tc>
        <w:tc>
          <w:tcPr>
            <w:tcW w:w="644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7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40" w:type="dxa"/>
            <w:vAlign w:val="bottom"/>
          </w:tcPr>
          <w:p>
            <w:pPr>
              <w:ind w:left="18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821,414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821,414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821,414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5.1%</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PN, IA</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60" w:type="dxa"/>
            <w:vAlign w:val="bottom"/>
          </w:tcPr>
          <w:p>
            <w:pPr>
              <w:jc w:val="right"/>
              <w:ind w:right="57"/>
              <w:spacing w:after="0"/>
              <w:rPr>
                <w:sz w:val="20"/>
                <w:szCs w:val="20"/>
                <w:color w:val="auto"/>
              </w:rPr>
            </w:pPr>
            <w:r>
              <w:rPr>
                <w:rFonts w:ascii="Arial" w:cs="Arial" w:eastAsia="Arial" w:hAnsi="Arial"/>
                <w:sz w:val="16"/>
                <w:szCs w:val="16"/>
                <w:b w:val="1"/>
                <w:bCs w:val="1"/>
                <w:color w:val="auto"/>
                <w:w w:val="94"/>
              </w:rPr>
              <w:t>CUSIP No. 30068X103</w:t>
            </w:r>
          </w:p>
        </w:tc>
        <w:tc>
          <w:tcPr>
            <w:tcW w:w="6440" w:type="dxa"/>
            <w:vAlign w:val="bottom"/>
          </w:tcPr>
          <w:p>
            <w:pPr>
              <w:ind w:left="3640"/>
              <w:spacing w:after="0"/>
              <w:rPr>
                <w:sz w:val="20"/>
                <w:szCs w:val="20"/>
                <w:color w:val="auto"/>
              </w:rPr>
            </w:pPr>
            <w:r>
              <w:rPr>
                <w:rFonts w:ascii="Arial" w:cs="Arial" w:eastAsia="Arial" w:hAnsi="Arial"/>
                <w:sz w:val="16"/>
                <w:szCs w:val="16"/>
                <w:b w:val="1"/>
                <w:bCs w:val="1"/>
                <w:color w:val="auto"/>
              </w:rPr>
              <w:t>13G/A</w:t>
            </w:r>
          </w:p>
        </w:tc>
        <w:tc>
          <w:tcPr>
            <w:tcW w:w="3040" w:type="dxa"/>
            <w:vAlign w:val="bottom"/>
          </w:tcPr>
          <w:p>
            <w:pPr>
              <w:ind w:left="1860"/>
              <w:spacing w:after="0"/>
              <w:rPr>
                <w:sz w:val="20"/>
                <w:szCs w:val="20"/>
                <w:color w:val="auto"/>
              </w:rPr>
            </w:pPr>
            <w:r>
              <w:rPr>
                <w:rFonts w:ascii="Arial" w:cs="Arial" w:eastAsia="Arial" w:hAnsi="Arial"/>
                <w:sz w:val="16"/>
                <w:szCs w:val="16"/>
                <w:b w:val="1"/>
                <w:bCs w:val="1"/>
                <w:color w:val="auto"/>
                <w:w w:val="85"/>
              </w:rPr>
              <w:t>Page 3 of 7 Pages</w:t>
            </w:r>
          </w:p>
        </w:tc>
        <w:tc>
          <w:tcPr>
            <w:tcW w:w="0" w:type="dxa"/>
            <w:vAlign w:val="bottom"/>
          </w:tcPr>
          <w:p>
            <w:pPr>
              <w:spacing w:after="0"/>
              <w:rPr>
                <w:sz w:val="1"/>
                <w:szCs w:val="1"/>
                <w:color w:val="auto"/>
              </w:rPr>
            </w:pPr>
          </w:p>
        </w:tc>
      </w:tr>
      <w:tr>
        <w:trPr>
          <w:trHeight w:val="343"/>
        </w:trPr>
        <w:tc>
          <w:tcPr>
            <w:tcW w:w="17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tcPr>
          <w:p>
            <w:pPr>
              <w:jc w:val="right"/>
              <w:ind w:right="657"/>
              <w:spacing w:after="0"/>
              <w:rPr>
                <w:sz w:val="20"/>
                <w:szCs w:val="20"/>
                <w:color w:val="auto"/>
              </w:rPr>
            </w:pPr>
            <w:r>
              <w:rPr>
                <w:rFonts w:ascii="Arial" w:cs="Arial" w:eastAsia="Arial" w:hAnsi="Arial"/>
                <w:sz w:val="29"/>
                <w:szCs w:val="29"/>
                <w:b w:val="1"/>
                <w:bCs w:val="1"/>
                <w:color w:val="auto"/>
              </w:rPr>
              <w:t>1</w:t>
            </w:r>
          </w:p>
        </w:tc>
        <w:tc>
          <w:tcPr>
            <w:tcW w:w="6440" w:type="dxa"/>
            <w:vAlign w:val="bottom"/>
          </w:tcPr>
          <w:p>
            <w:pPr>
              <w:ind w:left="160"/>
              <w:spacing w:after="0"/>
              <w:rPr>
                <w:sz w:val="20"/>
                <w:szCs w:val="20"/>
                <w:color w:val="auto"/>
              </w:rPr>
            </w:pPr>
            <w:r>
              <w:rPr>
                <w:rFonts w:ascii="Arial" w:cs="Arial" w:eastAsia="Arial" w:hAnsi="Arial"/>
                <w:sz w:val="16"/>
                <w:szCs w:val="16"/>
                <w:color w:val="auto"/>
              </w:rPr>
              <w:t>NAMES OF REPORTING PERSONS</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760" w:type="dxa"/>
            <w:vAlign w:val="bottom"/>
            <w:vMerge w:val="continue"/>
          </w:tcPr>
          <w:p>
            <w:pPr>
              <w:spacing w:after="0"/>
              <w:rPr>
                <w:sz w:val="14"/>
                <w:szCs w:val="14"/>
                <w:color w:val="auto"/>
              </w:rPr>
            </w:pPr>
          </w:p>
        </w:tc>
        <w:tc>
          <w:tcPr>
            <w:tcW w:w="6440" w:type="dxa"/>
            <w:vAlign w:val="bottom"/>
            <w:vMerge w:val="restart"/>
          </w:tcPr>
          <w:p>
            <w:pPr>
              <w:ind w:left="480"/>
              <w:spacing w:after="0"/>
              <w:rPr>
                <w:sz w:val="20"/>
                <w:szCs w:val="20"/>
                <w:color w:val="auto"/>
              </w:rPr>
            </w:pPr>
            <w:r>
              <w:rPr>
                <w:rFonts w:ascii="Arial" w:cs="Arial" w:eastAsia="Arial" w:hAnsi="Arial"/>
                <w:sz w:val="20"/>
                <w:szCs w:val="20"/>
                <w:color w:val="auto"/>
              </w:rPr>
              <w:t>Roderick Wong</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644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6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760" w:type="dxa"/>
            <w:vAlign w:val="bottom"/>
            <w:vMerge w:val="restart"/>
          </w:tcPr>
          <w:p>
            <w:pPr>
              <w:jc w:val="right"/>
              <w:ind w:right="657"/>
              <w:spacing w:after="0"/>
              <w:rPr>
                <w:sz w:val="20"/>
                <w:szCs w:val="20"/>
                <w:color w:val="auto"/>
              </w:rPr>
            </w:pPr>
            <w:r>
              <w:rPr>
                <w:rFonts w:ascii="Arial" w:cs="Arial" w:eastAsia="Arial" w:hAnsi="Arial"/>
                <w:sz w:val="29"/>
                <w:szCs w:val="29"/>
                <w:b w:val="1"/>
                <w:bCs w:val="1"/>
                <w:color w:val="auto"/>
              </w:rPr>
              <w:t>2</w:t>
            </w:r>
          </w:p>
        </w:tc>
        <w:tc>
          <w:tcPr>
            <w:tcW w:w="6440" w:type="dxa"/>
            <w:vAlign w:val="bottom"/>
          </w:tcPr>
          <w:p>
            <w:pPr>
              <w:ind w:left="160"/>
              <w:spacing w:after="0"/>
              <w:rPr>
                <w:sz w:val="20"/>
                <w:szCs w:val="20"/>
                <w:color w:val="auto"/>
              </w:rPr>
            </w:pPr>
            <w:r>
              <w:rPr>
                <w:rFonts w:ascii="Arial" w:cs="Arial" w:eastAsia="Arial" w:hAnsi="Arial"/>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760" w:type="dxa"/>
            <w:vAlign w:val="bottom"/>
            <w:vMerge w:val="continue"/>
          </w:tcPr>
          <w:p>
            <w:pPr>
              <w:spacing w:after="0"/>
              <w:rPr>
                <w:sz w:val="7"/>
                <w:szCs w:val="7"/>
                <w:color w:val="auto"/>
              </w:rPr>
            </w:pPr>
          </w:p>
        </w:tc>
        <w:tc>
          <w:tcPr>
            <w:tcW w:w="644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7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40" w:type="dxa"/>
            <w:vAlign w:val="bottom"/>
          </w:tcPr>
          <w:p>
            <w:pPr>
              <w:ind w:left="18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4"/>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United States</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821,414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821,414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3"/>
            <w:vMerge w:val="restart"/>
          </w:tcPr>
          <w:p>
            <w:pPr>
              <w:ind w:left="440"/>
              <w:spacing w:after="0"/>
              <w:rPr>
                <w:sz w:val="20"/>
                <w:szCs w:val="20"/>
                <w:color w:val="auto"/>
              </w:rPr>
            </w:pPr>
            <w:r>
              <w:rPr>
                <w:rFonts w:ascii="Arial" w:cs="Arial" w:eastAsia="Arial" w:hAnsi="Arial"/>
                <w:sz w:val="20"/>
                <w:szCs w:val="20"/>
                <w:color w:val="auto"/>
              </w:rPr>
              <w:t>821,414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3"/>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rPr>
              <w:t>IN, HC</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7" w:right="339" w:bottom="1440" w:gutter="0" w:footer="0" w:header="0"/>
        </w:sectPr>
      </w:pPr>
    </w:p>
    <w:bookmarkStart w:id="3" w:name="page4"/>
    <w:bookmarkEnd w:id="3"/>
    <w:p>
      <w:pPr>
        <w:spacing w:after="0"/>
        <w:tabs>
          <w:tab w:leader="none" w:pos="5380" w:val="left"/>
          <w:tab w:leader="none" w:pos="10040" w:val="left"/>
        </w:tabs>
        <w:rPr>
          <w:sz w:val="20"/>
          <w:szCs w:val="20"/>
          <w:color w:val="auto"/>
        </w:rPr>
      </w:pPr>
      <w:r>
        <w:rPr>
          <w:rFonts w:ascii="Arial" w:cs="Arial" w:eastAsia="Arial" w:hAnsi="Arial"/>
          <w:sz w:val="16"/>
          <w:szCs w:val="16"/>
          <w:b w:val="1"/>
          <w:bCs w:val="1"/>
          <w:color w:val="auto"/>
        </w:rPr>
        <w:t>CUSIP No. 30068X103</w:t>
      </w:r>
      <w:r>
        <w:rPr>
          <w:sz w:val="20"/>
          <w:szCs w:val="20"/>
          <w:color w:val="auto"/>
        </w:rPr>
        <w:tab/>
      </w:r>
      <w:r>
        <w:rPr>
          <w:rFonts w:ascii="Arial" w:cs="Arial" w:eastAsia="Arial" w:hAnsi="Arial"/>
          <w:sz w:val="16"/>
          <w:szCs w:val="16"/>
          <w:b w:val="1"/>
          <w:bCs w:val="1"/>
          <w:color w:val="auto"/>
        </w:rPr>
        <w:t>13G/A</w:t>
      </w:r>
      <w:r>
        <w:rPr>
          <w:sz w:val="20"/>
          <w:szCs w:val="20"/>
          <w:color w:val="auto"/>
        </w:rPr>
        <w:tab/>
      </w:r>
      <w:r>
        <w:rPr>
          <w:rFonts w:ascii="Arial" w:cs="Arial" w:eastAsia="Arial" w:hAnsi="Arial"/>
          <w:sz w:val="13"/>
          <w:szCs w:val="13"/>
          <w:b w:val="1"/>
          <w:bCs w:val="1"/>
          <w:color w:val="auto"/>
        </w:rPr>
        <w:t>Page 4 of 7 Pages</w:t>
      </w:r>
    </w:p>
    <w:p>
      <w:pPr>
        <w:spacing w:after="0" w:line="200" w:lineRule="exact"/>
        <w:rPr>
          <w:sz w:val="20"/>
          <w:szCs w:val="20"/>
          <w:color w:val="auto"/>
        </w:rPr>
      </w:pPr>
    </w:p>
    <w:p>
      <w:pPr>
        <w:spacing w:after="0" w:line="269"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Exagen Inc.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10"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The Company's principal executive offices are located at 1261 Liberty Way, Vista, California 92081.</w:t>
      </w: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This statement is filed by:</w:t>
      </w:r>
    </w:p>
    <w:p>
      <w:pPr>
        <w:spacing w:after="0" w:line="229" w:lineRule="exact"/>
        <w:rPr>
          <w:sz w:val="20"/>
          <w:szCs w:val="20"/>
          <w:color w:val="auto"/>
        </w:rPr>
      </w:pPr>
    </w:p>
    <w:p>
      <w:pPr>
        <w:ind w:left="2580" w:right="160" w:hanging="787"/>
        <w:spacing w:after="0" w:line="250" w:lineRule="auto"/>
        <w:tabs>
          <w:tab w:leader="none" w:pos="25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RTW Investments, LP ("</w:t>
      </w:r>
      <w:r>
        <w:rPr>
          <w:rFonts w:ascii="Arial" w:cs="Arial" w:eastAsia="Arial" w:hAnsi="Arial"/>
          <w:sz w:val="20"/>
          <w:szCs w:val="20"/>
          <w:u w:val="single" w:color="auto"/>
          <w:color w:val="auto"/>
        </w:rPr>
        <w:t>RTW Investments</w:t>
      </w:r>
      <w:r>
        <w:rPr>
          <w:rFonts w:ascii="Arial" w:cs="Arial" w:eastAsia="Arial" w:hAnsi="Arial"/>
          <w:sz w:val="20"/>
          <w:szCs w:val="20"/>
          <w:color w:val="auto"/>
        </w:rPr>
        <w:t>"), a Delaware limited partnership, and the investment adviser to certain funds (the "</w:t>
      </w:r>
      <w:r>
        <w:rPr>
          <w:rFonts w:ascii="Arial" w:cs="Arial" w:eastAsia="Arial" w:hAnsi="Arial"/>
          <w:sz w:val="20"/>
          <w:szCs w:val="20"/>
          <w:u w:val="single" w:color="auto"/>
          <w:color w:val="auto"/>
        </w:rPr>
        <w:t>RTW Funds</w:t>
      </w:r>
      <w:r>
        <w:rPr>
          <w:rFonts w:ascii="Arial" w:cs="Arial" w:eastAsia="Arial" w:hAnsi="Arial"/>
          <w:sz w:val="20"/>
          <w:szCs w:val="20"/>
          <w:color w:val="auto"/>
        </w:rPr>
        <w:t>"), with respect to the Shares (as defined in Item 2(d) below) directly held by the RTW Funds; and</w:t>
      </w:r>
    </w:p>
    <w:p>
      <w:pPr>
        <w:spacing w:after="0" w:line="199" w:lineRule="exact"/>
        <w:rPr>
          <w:rFonts w:ascii="Arial" w:cs="Arial" w:eastAsia="Arial" w:hAnsi="Arial"/>
          <w:sz w:val="20"/>
          <w:szCs w:val="20"/>
          <w:color w:val="auto"/>
        </w:rPr>
      </w:pPr>
    </w:p>
    <w:p>
      <w:pPr>
        <w:ind w:left="2580" w:right="1060" w:hanging="787"/>
        <w:spacing w:after="0" w:line="260" w:lineRule="auto"/>
        <w:tabs>
          <w:tab w:leader="none" w:pos="2580" w:val="left"/>
        </w:tabs>
        <w:numPr>
          <w:ilvl w:val="0"/>
          <w:numId w:val="5"/>
        </w:numPr>
        <w:rPr>
          <w:rFonts w:ascii="Arial" w:cs="Arial" w:eastAsia="Arial" w:hAnsi="Arial"/>
          <w:sz w:val="20"/>
          <w:szCs w:val="20"/>
          <w:color w:val="auto"/>
        </w:rPr>
      </w:pPr>
      <w:r>
        <w:rPr>
          <w:rFonts w:ascii="Arial" w:cs="Arial" w:eastAsia="Arial" w:hAnsi="Arial"/>
          <w:sz w:val="20"/>
          <w:szCs w:val="20"/>
          <w:color w:val="auto"/>
        </w:rPr>
        <w:t>Mr. Roderick Wong ("</w:t>
      </w:r>
      <w:r>
        <w:rPr>
          <w:rFonts w:ascii="Arial" w:cs="Arial" w:eastAsia="Arial" w:hAnsi="Arial"/>
          <w:sz w:val="20"/>
          <w:szCs w:val="20"/>
          <w:u w:val="single" w:color="auto"/>
          <w:color w:val="auto"/>
        </w:rPr>
        <w:t>Mr. Wong</w:t>
      </w:r>
      <w:r>
        <w:rPr>
          <w:rFonts w:ascii="Arial" w:cs="Arial" w:eastAsia="Arial" w:hAnsi="Arial"/>
          <w:sz w:val="20"/>
          <w:szCs w:val="20"/>
          <w:color w:val="auto"/>
        </w:rPr>
        <w:t>"), the Managing Partner and Chief Investment Officer of RTW Investments, with respect to the Shares directly held by the RTW Funds.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3"/>
        </w:trPr>
        <w:tc>
          <w:tcPr>
            <w:tcW w:w="1320" w:type="dxa"/>
            <w:vAlign w:val="bottom"/>
          </w:tcPr>
          <w:p>
            <w:pPr>
              <w:spacing w:after="0"/>
              <w:rPr>
                <w:sz w:val="24"/>
                <w:szCs w:val="24"/>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foregoing persons or any Reporting</w:t>
            </w:r>
          </w:p>
        </w:tc>
      </w:tr>
      <w:tr>
        <w:trPr>
          <w:trHeight w:val="250"/>
        </w:trPr>
        <w:tc>
          <w:tcPr>
            <w:tcW w:w="1320" w:type="dxa"/>
            <w:vAlign w:val="bottom"/>
          </w:tcPr>
          <w:p>
            <w:pPr>
              <w:spacing w:after="0"/>
              <w:rPr>
                <w:sz w:val="21"/>
                <w:szCs w:val="21"/>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rPr>
              <w:t>Person is, for the purposes of Section 13 of the Act, the beneficial owner of the Shares reported herein.</w:t>
            </w:r>
          </w:p>
        </w:tc>
      </w:tr>
      <w:tr>
        <w:trPr>
          <w:trHeight w:val="445"/>
        </w:trPr>
        <w:tc>
          <w:tcPr>
            <w:tcW w:w="132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800" w:type="dxa"/>
            <w:vAlign w:val="bottom"/>
            <w:gridSpan w:val="5"/>
          </w:tcPr>
          <w:p>
            <w:pPr>
              <w:ind w:left="38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320" w:type="dxa"/>
            <w:vAlign w:val="bottom"/>
          </w:tcPr>
          <w:p>
            <w:pPr>
              <w:spacing w:after="0"/>
              <w:rPr>
                <w:sz w:val="24"/>
                <w:szCs w:val="24"/>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w w:val="90"/>
              </w:rPr>
              <w:t>The address of the business office of each of the Reporting Persons is 40 10</w:t>
            </w:r>
            <w:r>
              <w:rPr>
                <w:rFonts w:ascii="Arial" w:cs="Arial" w:eastAsia="Arial" w:hAnsi="Arial"/>
                <w:sz w:val="32"/>
                <w:szCs w:val="32"/>
                <w:color w:val="auto"/>
                <w:w w:val="90"/>
                <w:vertAlign w:val="superscript"/>
              </w:rPr>
              <w:t>th</w:t>
            </w:r>
            <w:r>
              <w:rPr>
                <w:rFonts w:ascii="Arial" w:cs="Arial" w:eastAsia="Arial" w:hAnsi="Arial"/>
                <w:sz w:val="20"/>
                <w:szCs w:val="20"/>
                <w:color w:val="auto"/>
                <w:w w:val="90"/>
              </w:rPr>
              <w:t xml:space="preserve"> Avenue, Floor 7, New York, New York</w:t>
            </w:r>
          </w:p>
        </w:tc>
      </w:tr>
      <w:tr>
        <w:trPr>
          <w:trHeight w:val="250"/>
        </w:trPr>
        <w:tc>
          <w:tcPr>
            <w:tcW w:w="1320" w:type="dxa"/>
            <w:vAlign w:val="bottom"/>
          </w:tcPr>
          <w:p>
            <w:pPr>
              <w:spacing w:after="0"/>
              <w:rPr>
                <w:sz w:val="21"/>
                <w:szCs w:val="21"/>
                <w:color w:val="auto"/>
              </w:rPr>
            </w:pPr>
          </w:p>
        </w:tc>
        <w:tc>
          <w:tcPr>
            <w:tcW w:w="4300" w:type="dxa"/>
            <w:vAlign w:val="bottom"/>
          </w:tcPr>
          <w:p>
            <w:pPr>
              <w:ind w:left="380"/>
              <w:spacing w:after="0"/>
              <w:rPr>
                <w:sz w:val="20"/>
                <w:szCs w:val="20"/>
                <w:color w:val="auto"/>
              </w:rPr>
            </w:pPr>
            <w:r>
              <w:rPr>
                <w:rFonts w:ascii="Arial" w:cs="Arial" w:eastAsia="Arial" w:hAnsi="Arial"/>
                <w:sz w:val="20"/>
                <w:szCs w:val="20"/>
                <w:color w:val="auto"/>
              </w:rPr>
              <w:t>10014.</w:t>
            </w: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800" w:type="dxa"/>
            <w:vAlign w:val="bottom"/>
            <w:gridSpan w:val="5"/>
          </w:tcPr>
          <w:p>
            <w:pPr>
              <w:ind w:left="38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320" w:type="dxa"/>
            <w:vAlign w:val="bottom"/>
          </w:tcPr>
          <w:p>
            <w:pPr>
              <w:spacing w:after="0"/>
              <w:rPr>
                <w:sz w:val="24"/>
                <w:szCs w:val="24"/>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rPr>
              <w:t>RTW Investments is a Delaware limited partnership. Mr. Wong is a citizen of the United States.</w:t>
            </w:r>
          </w:p>
        </w:tc>
      </w:tr>
      <w:tr>
        <w:trPr>
          <w:trHeight w:val="445"/>
        </w:trPr>
        <w:tc>
          <w:tcPr>
            <w:tcW w:w="13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800" w:type="dxa"/>
            <w:vAlign w:val="bottom"/>
            <w:gridSpan w:val="5"/>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320" w:type="dxa"/>
            <w:vAlign w:val="bottom"/>
          </w:tcPr>
          <w:p>
            <w:pPr>
              <w:spacing w:after="0"/>
              <w:rPr>
                <w:sz w:val="24"/>
                <w:szCs w:val="24"/>
                <w:color w:val="auto"/>
              </w:rPr>
            </w:pPr>
          </w:p>
        </w:tc>
        <w:tc>
          <w:tcPr>
            <w:tcW w:w="9800" w:type="dxa"/>
            <w:vAlign w:val="bottom"/>
            <w:gridSpan w:val="5"/>
          </w:tcPr>
          <w:p>
            <w:pPr>
              <w:ind w:left="380"/>
              <w:spacing w:after="0"/>
              <w:rPr>
                <w:sz w:val="20"/>
                <w:szCs w:val="20"/>
                <w:color w:val="auto"/>
              </w:rPr>
            </w:pPr>
            <w:r>
              <w:rPr>
                <w:rFonts w:ascii="Arial" w:cs="Arial" w:eastAsia="Arial" w:hAnsi="Arial"/>
                <w:sz w:val="20"/>
                <w:szCs w:val="20"/>
                <w:color w:val="auto"/>
              </w:rPr>
              <w:t>Common Stock, par value $0.001 per share (the "Shares").</w:t>
            </w:r>
          </w:p>
        </w:tc>
      </w:tr>
      <w:tr>
        <w:trPr>
          <w:trHeight w:val="20"/>
        </w:trPr>
        <w:tc>
          <w:tcPr>
            <w:tcW w:w="1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ectPr>
          <w:pgSz w:w="11900" w:h="16838" w:orient="portrait"/>
          <w:cols w:equalWidth="0" w:num="1">
            <w:col w:w="11240"/>
          </w:cols>
          <w:pgMar w:left="320" w:top="477"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t>CUSIP No. 30068X103</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5"/>
          <w:szCs w:val="15"/>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Page 5 of 7 Pages</w:t>
      </w:r>
    </w:p>
    <w:p>
      <w:pPr>
        <w:spacing w:after="0" w:line="222" w:lineRule="exact"/>
        <w:rPr>
          <w:sz w:val="20"/>
          <w:szCs w:val="20"/>
          <w:color w:val="auto"/>
        </w:rPr>
      </w:pPr>
    </w:p>
    <w:p>
      <w:pPr>
        <w:sectPr>
          <w:pgSz w:w="11900" w:h="16838" w:orient="portrait"/>
          <w:cols w:equalWidth="0" w:num="3">
            <w:col w:w="4680" w:space="720"/>
            <w:col w:w="3940" w:space="720"/>
            <w:col w:w="1180"/>
          </w:cols>
          <w:pgMar w:left="320" w:top="477" w:right="3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CUSIP NUMBER:</w:t>
      </w:r>
    </w:p>
    <w:p>
      <w:pPr>
        <w:spacing w:after="0" w:line="200" w:lineRule="exact"/>
        <w:rPr>
          <w:sz w:val="20"/>
          <w:szCs w:val="20"/>
          <w:color w:val="auto"/>
        </w:rPr>
      </w:pPr>
    </w:p>
    <w:p>
      <w:pPr>
        <w:sectPr>
          <w:pgSz w:w="11900" w:h="16838" w:orient="portrait"/>
          <w:cols w:equalWidth="0" w:num="2">
            <w:col w:w="980" w:space="720"/>
            <w:col w:w="9540"/>
          </w:cols>
          <w:pgMar w:left="320" w:top="477" w:right="339" w:bottom="1440" w:gutter="0" w:footer="0" w:header="0"/>
          <w:type w:val="continuous"/>
        </w:sectPr>
      </w:pPr>
    </w:p>
    <w:p>
      <w:pPr>
        <w:spacing w:after="0" w:line="4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30068X103</w:t>
      </w:r>
    </w:p>
    <w:p>
      <w:pPr>
        <w:sectPr>
          <w:pgSz w:w="11900" w:h="16838" w:orient="portrait"/>
          <w:cols w:equalWidth="0" w:num="1">
            <w:col w:w="11240"/>
          </w:cols>
          <w:pgMar w:left="320" w:top="477" w:right="3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IF THIS STATEMENT IS FILED PURSUANT TO §§ 240.13d-1(b) OR 240.13d-2(b) OR (c), CHECK WHETHER THE PERSON FILING IS A:</w:t>
      </w:r>
    </w:p>
    <w:p>
      <w:pPr>
        <w:spacing w:after="0" w:line="159" w:lineRule="exact"/>
        <w:rPr>
          <w:sz w:val="20"/>
          <w:szCs w:val="20"/>
          <w:color w:val="auto"/>
        </w:rPr>
      </w:pPr>
    </w:p>
    <w:p>
      <w:pPr>
        <w:sectPr>
          <w:pgSz w:w="11900" w:h="16838" w:orient="portrait"/>
          <w:cols w:equalWidth="0" w:num="2">
            <w:col w:w="980" w:space="720"/>
            <w:col w:w="9540"/>
          </w:cols>
          <w:pgMar w:left="320" w:top="477" w:right="339" w:bottom="1440" w:gutter="0" w:footer="0" w:header="0"/>
          <w:type w:val="continuous"/>
        </w:sectPr>
      </w:pPr>
    </w:p>
    <w:p>
      <w:pPr>
        <w:ind w:left="2560" w:hanging="767"/>
        <w:spacing w:after="0" w:line="230" w:lineRule="exact"/>
        <w:tabs>
          <w:tab w:leader="none" w:pos="256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7"/>
        <w:spacing w:after="0" w:line="252" w:lineRule="exact"/>
        <w:tabs>
          <w:tab w:leader="none" w:pos="2572"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80" w:right="3280" w:hanging="1287"/>
        <w:spacing w:after="0" w:line="252" w:lineRule="exact"/>
        <w:tabs>
          <w:tab w:leader="none" w:pos="2569"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7"/>
        <w:spacing w:after="0" w:line="207" w:lineRule="exact"/>
        <w:tabs>
          <w:tab w:leader="none" w:pos="25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3040" w:right="200" w:hanging="1247"/>
        <w:spacing w:after="0" w:line="252" w:lineRule="exact"/>
        <w:tabs>
          <w:tab w:leader="none" w:pos="2572"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800" w:right="13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institution:____________________________________________</w:t>
      </w:r>
    </w:p>
    <w:p>
      <w:pPr>
        <w:spacing w:after="0" w:line="200" w:lineRule="exact"/>
        <w:rPr>
          <w:sz w:val="20"/>
          <w:szCs w:val="20"/>
          <w:color w:val="auto"/>
        </w:rPr>
      </w:pPr>
    </w:p>
    <w:p>
      <w:pPr>
        <w:spacing w:after="0" w:line="214"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580" w:right="62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of the Reporting Persons and is incorporated herein by reference.</w:t>
      </w:r>
    </w:p>
    <w:p>
      <w:pPr>
        <w:spacing w:after="0" w:line="190" w:lineRule="exact"/>
        <w:rPr>
          <w:sz w:val="20"/>
          <w:szCs w:val="20"/>
          <w:color w:val="auto"/>
        </w:rPr>
      </w:pPr>
    </w:p>
    <w:p>
      <w:pPr>
        <w:ind w:left="1580" w:right="360"/>
        <w:spacing w:after="0" w:line="250" w:lineRule="auto"/>
        <w:rPr>
          <w:sz w:val="20"/>
          <w:szCs w:val="20"/>
          <w:color w:val="auto"/>
        </w:rPr>
      </w:pPr>
      <w:r>
        <w:rPr>
          <w:rFonts w:ascii="Arial" w:cs="Arial" w:eastAsia="Arial" w:hAnsi="Arial"/>
          <w:sz w:val="20"/>
          <w:szCs w:val="20"/>
          <w:color w:val="auto"/>
        </w:rPr>
        <w:t>The percentages set forth herein are calculated based upon 16,164,232 Shares outstanding as of November 5, 2021 as reported in the Company's Quarterly Report on Form 10-Q for the quarterly period ended September 30, 2021, filed with the Securities and Exchange Commission on November 10, 2021.</w:t>
      </w:r>
    </w:p>
    <w:p>
      <w:pPr>
        <w:sectPr>
          <w:pgSz w:w="11900" w:h="16838" w:orient="portrait"/>
          <w:cols w:equalWidth="0" w:num="1">
            <w:col w:w="11240"/>
          </w:cols>
          <w:pgMar w:left="320" w:top="477" w:right="339" w:bottom="1440" w:gutter="0" w:footer="0" w:header="0"/>
          <w:type w:val="continuous"/>
        </w:sectPr>
      </w:pPr>
    </w:p>
    <w:bookmarkStart w:id="5" w:name="page6"/>
    <w:bookmarkEnd w:id="5"/>
    <w:p>
      <w:pPr>
        <w:spacing w:after="0"/>
        <w:tabs>
          <w:tab w:leader="none" w:pos="5380" w:val="left"/>
          <w:tab w:leader="none" w:pos="10040" w:val="left"/>
        </w:tabs>
        <w:rPr>
          <w:sz w:val="20"/>
          <w:szCs w:val="20"/>
          <w:color w:val="auto"/>
        </w:rPr>
      </w:pPr>
      <w:r>
        <w:rPr>
          <w:rFonts w:ascii="Arial" w:cs="Arial" w:eastAsia="Arial" w:hAnsi="Arial"/>
          <w:sz w:val="16"/>
          <w:szCs w:val="16"/>
          <w:b w:val="1"/>
          <w:bCs w:val="1"/>
          <w:color w:val="auto"/>
        </w:rPr>
        <w:t>CUSIP No. 30068X103</w:t>
      </w:r>
      <w:r>
        <w:rPr>
          <w:sz w:val="20"/>
          <w:szCs w:val="20"/>
          <w:color w:val="auto"/>
        </w:rPr>
        <w:tab/>
      </w:r>
      <w:r>
        <w:rPr>
          <w:rFonts w:ascii="Arial" w:cs="Arial" w:eastAsia="Arial" w:hAnsi="Arial"/>
          <w:sz w:val="16"/>
          <w:szCs w:val="16"/>
          <w:b w:val="1"/>
          <w:bCs w:val="1"/>
          <w:color w:val="auto"/>
        </w:rPr>
        <w:t>13G/A</w:t>
      </w:r>
      <w:r>
        <w:rPr>
          <w:sz w:val="20"/>
          <w:szCs w:val="20"/>
          <w:color w:val="auto"/>
        </w:rPr>
        <w:tab/>
      </w:r>
      <w:r>
        <w:rPr>
          <w:rFonts w:ascii="Arial" w:cs="Arial" w:eastAsia="Arial" w:hAnsi="Arial"/>
          <w:sz w:val="13"/>
          <w:szCs w:val="13"/>
          <w:b w:val="1"/>
          <w:bCs w:val="1"/>
          <w:color w:val="auto"/>
        </w:rPr>
        <w:t>Page 6 of 7 Pages</w:t>
      </w:r>
    </w:p>
    <w:p>
      <w:pPr>
        <w:sectPr>
          <w:pgSz w:w="11900" w:h="16838" w:orient="portrait"/>
          <w:cols w:equalWidth="0" w:num="1">
            <w:col w:w="11240"/>
          </w:cols>
          <w:pgMar w:left="320" w:top="477" w:right="339" w:bottom="1440" w:gutter="0" w:footer="0" w:header="0"/>
        </w:sectPr>
      </w:pPr>
    </w:p>
    <w:p>
      <w:pPr>
        <w:spacing w:after="0" w:line="347"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700" w:right="620"/>
        <w:spacing w:after="0" w:line="260" w:lineRule="auto"/>
        <w:rPr>
          <w:sz w:val="20"/>
          <w:szCs w:val="20"/>
          <w:color w:val="auto"/>
        </w:rPr>
      </w:pPr>
      <w:r>
        <w:rPr>
          <w:rFonts w:ascii="Arial" w:cs="Arial" w:eastAsia="Arial" w:hAnsi="Arial"/>
          <w:sz w:val="20"/>
          <w:szCs w:val="20"/>
          <w:color w:val="auto"/>
        </w:rPr>
        <w:t>See Item 2. The RTW Funds have the right to receive or the power to direct the receipt of dividends from, or the proceeds from the sale of, the Shares reported herein.</w:t>
      </w:r>
    </w:p>
    <w:p>
      <w:pPr>
        <w:spacing w:after="0" w:line="184" w:lineRule="exact"/>
        <w:rPr>
          <w:sz w:val="20"/>
          <w:szCs w:val="20"/>
          <w:color w:val="auto"/>
        </w:rPr>
      </w:pPr>
    </w:p>
    <w:p>
      <w:pPr>
        <w:ind w:left="1700" w:hanging="1589"/>
        <w:spacing w:after="0" w:line="267" w:lineRule="auto"/>
        <w:tabs>
          <w:tab w:leader="none" w:pos="16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right="18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77" w:right="339" w:bottom="1440" w:gutter="0" w:footer="0" w:header="0"/>
          <w:type w:val="continuous"/>
        </w:sectPr>
      </w:pPr>
    </w:p>
    <w:bookmarkStart w:id="6" w:name="page7"/>
    <w:bookmarkEnd w:id="6"/>
    <w:p>
      <w:pPr>
        <w:spacing w:after="0"/>
        <w:tabs>
          <w:tab w:leader="none" w:pos="5380" w:val="left"/>
          <w:tab w:leader="none" w:pos="10040" w:val="left"/>
        </w:tabs>
        <w:rPr>
          <w:sz w:val="20"/>
          <w:szCs w:val="20"/>
          <w:color w:val="auto"/>
        </w:rPr>
      </w:pPr>
      <w:r>
        <w:rPr>
          <w:rFonts w:ascii="Arial" w:cs="Arial" w:eastAsia="Arial" w:hAnsi="Arial"/>
          <w:sz w:val="16"/>
          <w:szCs w:val="16"/>
          <w:b w:val="1"/>
          <w:bCs w:val="1"/>
          <w:color w:val="auto"/>
        </w:rPr>
        <w:t>CUSIP No. 30068X103</w:t>
      </w:r>
      <w:r>
        <w:rPr>
          <w:sz w:val="20"/>
          <w:szCs w:val="20"/>
          <w:color w:val="auto"/>
        </w:rPr>
        <w:tab/>
      </w:r>
      <w:r>
        <w:rPr>
          <w:rFonts w:ascii="Arial" w:cs="Arial" w:eastAsia="Arial" w:hAnsi="Arial"/>
          <w:sz w:val="16"/>
          <w:szCs w:val="16"/>
          <w:b w:val="1"/>
          <w:bCs w:val="1"/>
          <w:color w:val="auto"/>
        </w:rPr>
        <w:t>13G/A</w:t>
      </w:r>
      <w:r>
        <w:rPr>
          <w:sz w:val="20"/>
          <w:szCs w:val="20"/>
          <w:color w:val="auto"/>
        </w:rPr>
        <w:tab/>
      </w:r>
      <w:r>
        <w:rPr>
          <w:rFonts w:ascii="Arial" w:cs="Arial" w:eastAsia="Arial" w:hAnsi="Arial"/>
          <w:sz w:val="13"/>
          <w:szCs w:val="13"/>
          <w:b w:val="1"/>
          <w:bCs w:val="1"/>
          <w:color w:val="auto"/>
        </w:rPr>
        <w:t>Page 7 of 7 Pages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Roderick Wong</w:t>
            </w:r>
          </w:p>
        </w:tc>
      </w:tr>
      <w:tr>
        <w:trPr>
          <w:trHeight w:val="213"/>
        </w:trPr>
        <w:tc>
          <w:tcPr>
            <w:tcW w:w="10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840" w:type="dxa"/>
            <w:vAlign w:val="bottom"/>
          </w:tcPr>
          <w:p>
            <w:pPr>
              <w:spacing w:after="0" w:line="212" w:lineRule="exact"/>
              <w:rPr>
                <w:sz w:val="20"/>
                <w:szCs w:val="20"/>
                <w:color w:val="auto"/>
              </w:rPr>
            </w:pPr>
            <w:r>
              <w:rPr>
                <w:rFonts w:ascii="Arial" w:cs="Arial" w:eastAsia="Arial" w:hAnsi="Arial"/>
                <w:sz w:val="20"/>
                <w:szCs w:val="20"/>
                <w:color w:val="auto"/>
              </w:rPr>
              <w:t>Roderick Wong</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840" w:type="dxa"/>
            <w:vAlign w:val="bottom"/>
          </w:tcPr>
          <w:p>
            <w:pPr>
              <w:spacing w:after="0"/>
              <w:rPr>
                <w:sz w:val="20"/>
                <w:szCs w:val="20"/>
                <w:color w:val="auto"/>
              </w:rPr>
            </w:pPr>
            <w:r>
              <w:rPr>
                <w:rFonts w:ascii="Arial" w:cs="Arial" w:eastAsia="Arial" w:hAnsi="Arial"/>
                <w:sz w:val="20"/>
                <w:szCs w:val="20"/>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11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RODERICK WONG</w:t>
      </w:r>
    </w:p>
    <w:sectPr>
      <w:pgSz w:w="11900" w:h="16838" w:orient="portrait"/>
      <w:cols w:equalWidth="0" w:num="1">
        <w:col w:w="11240"/>
      </w:cols>
      <w:pgMar w:left="320" w:top="4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2022-02-14T07:57:58Z</dcterms:created>
  <dcterms:modified xsi:type="dcterms:W3CDTF">2022-02-14T07:57:58Z</dcterms:modified>
</cp:coreProperties>
</file>