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13G</w:t>
      </w:r>
    </w:p>
    <w:p>
      <w:pPr>
        <w:spacing w:after="0" w:line="219"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(Amendment No. 2)*</w:t>
      </w:r>
    </w:p>
    <w:p>
      <w:pPr>
        <w:spacing w:after="0" w:line="184"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Common shares,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00" w:right="8440" w:hanging="6"/>
        <w:spacing w:after="0" w:line="225" w:lineRule="exact"/>
        <w:tabs>
          <w:tab w:leader="none" w:pos="11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666" w:right="97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20" w:hanging="459"/>
        <w:spacing w:after="0" w:line="57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Tullis-Dickerson Capital Focus III, L.P.</w:t>
      </w:r>
    </w:p>
    <w:p>
      <w:pPr>
        <w:ind w:left="980" w:hanging="459"/>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4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5493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-1120775</wp:posOffset>
            </wp:positionV>
            <wp:extent cx="60521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-1275080</wp:posOffset>
            </wp:positionV>
            <wp:extent cx="60521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1,112,357 (1)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1,112,357 (1)</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1,112,357 (1)</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hanging="459"/>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6.88% (2)</w:t>
      </w:r>
    </w:p>
    <w:p>
      <w:pPr>
        <w:spacing w:after="0" w:line="238" w:lineRule="exact"/>
        <w:rPr>
          <w:rFonts w:ascii="Arial" w:cs="Arial" w:eastAsia="Arial" w:hAnsi="Arial"/>
          <w:sz w:val="18"/>
          <w:szCs w:val="18"/>
          <w:color w:val="auto"/>
        </w:rPr>
      </w:pPr>
    </w:p>
    <w:p>
      <w:pPr>
        <w:ind w:left="980" w:right="5920" w:hanging="459"/>
        <w:spacing w:after="0" w:line="52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ind w:left="340" w:right="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992,821 shares of Common Stock as well as 119,536 shares of Common Stock issuable upon exercise of Warrants held by Tullis-Dickerson Capital Focus III, L.P.</w:t>
      </w:r>
    </w:p>
    <w:p>
      <w:pPr>
        <w:spacing w:after="0" w:line="1"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-721360</wp:posOffset>
            </wp:positionV>
            <wp:extent cx="65493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-1278255</wp:posOffset>
            </wp:positionV>
            <wp:extent cx="65493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-1835785</wp:posOffset>
            </wp:positionV>
            <wp:extent cx="65493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-2255520</wp:posOffset>
            </wp:positionV>
            <wp:extent cx="65493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-2813050</wp:posOffset>
            </wp:positionV>
            <wp:extent cx="57003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7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Tullis Dickerson Partners III, L.L.C.</w:t>
      </w:r>
    </w:p>
    <w:p>
      <w:pPr>
        <w:ind w:left="980" w:hanging="45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4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5493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-1120775</wp:posOffset>
            </wp:positionV>
            <wp:extent cx="60521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-1275080</wp:posOffset>
            </wp:positionV>
            <wp:extent cx="60521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1,112,357 (1)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1,112,357 (1)</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1,112,357 (1)</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right="5200" w:hanging="459"/>
        <w:spacing w:after="0" w:line="50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6.88% (2)</w:t>
      </w:r>
    </w:p>
    <w:p>
      <w:pPr>
        <w:spacing w:after="0" w:line="1" w:lineRule="exact"/>
        <w:rPr>
          <w:rFonts w:ascii="Arial" w:cs="Arial" w:eastAsia="Arial" w:hAnsi="Arial"/>
          <w:sz w:val="18"/>
          <w:szCs w:val="18"/>
          <w:color w:val="auto"/>
        </w:rPr>
      </w:pPr>
    </w:p>
    <w:p>
      <w:pPr>
        <w:ind w:left="980" w:hanging="45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-267335</wp:posOffset>
            </wp:positionV>
            <wp:extent cx="65493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-824865</wp:posOffset>
            </wp:positionV>
            <wp:extent cx="65493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-1244600</wp:posOffset>
            </wp:positionV>
            <wp:extent cx="65493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-1802130</wp:posOffset>
            </wp:positionV>
            <wp:extent cx="57003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5493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pacing w:after="0" w:line="246" w:lineRule="exact"/>
        <w:rPr>
          <w:sz w:val="20"/>
          <w:szCs w:val="20"/>
          <w:color w:val="auto"/>
        </w:rPr>
      </w:pPr>
    </w:p>
    <w:p>
      <w:pPr>
        <w:ind w:left="340" w:right="2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992,821 shares of Common Stock as well as 119,536 shares of Common Stock issuable upon exercise of Warrants held by Tullis-Dickerson Capital Focus III, L.P. Tullis Dickerson Partners III, L.L.C. may be deemed to beneficially own these shares because the L.L.C. is a general partner of Tullis-Dickerson Capital Focus III, L.P.</w:t>
      </w:r>
    </w:p>
    <w:p>
      <w:pPr>
        <w:spacing w:after="0" w:line="2"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3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NAMES OF REPORTING PERSONS Tullis Growth Fund, L.P.</w:t>
      </w:r>
    </w:p>
    <w:p>
      <w:pPr>
        <w:spacing w:after="0" w:line="1" w:lineRule="exact"/>
        <w:rPr>
          <w:rFonts w:ascii="Arial" w:cs="Arial" w:eastAsia="Arial" w:hAnsi="Arial"/>
          <w:sz w:val="17"/>
          <w:szCs w:val="17"/>
          <w:color w:val="auto"/>
        </w:rPr>
      </w:pPr>
    </w:p>
    <w:p>
      <w:pPr>
        <w:ind w:left="980" w:hanging="45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4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5493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-1120775</wp:posOffset>
            </wp:positionV>
            <wp:extent cx="605218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-1275080</wp:posOffset>
            </wp:positionV>
            <wp:extent cx="605218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587,843 (1)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 587,843 (1)</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587,843 (1)</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hanging="459"/>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3.64% (2)</w:t>
      </w:r>
    </w:p>
    <w:p>
      <w:pPr>
        <w:spacing w:after="0" w:line="238" w:lineRule="exact"/>
        <w:rPr>
          <w:rFonts w:ascii="Arial" w:cs="Arial" w:eastAsia="Arial" w:hAnsi="Arial"/>
          <w:sz w:val="18"/>
          <w:szCs w:val="18"/>
          <w:color w:val="auto"/>
        </w:rPr>
      </w:pPr>
    </w:p>
    <w:p>
      <w:pPr>
        <w:ind w:left="980" w:right="5920" w:hanging="459"/>
        <w:spacing w:after="0" w:line="52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ind w:left="340" w:right="22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417,398 shares of Common Stock as well as 170,445 shares of Common Stock issuable upon exercise of Warrants held by Tullis Growth Fund, L.P.</w:t>
      </w:r>
    </w:p>
    <w:p>
      <w:pPr>
        <w:spacing w:after="0" w:line="1"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-721360</wp:posOffset>
            </wp:positionV>
            <wp:extent cx="65493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-1278255</wp:posOffset>
            </wp:positionV>
            <wp:extent cx="65493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-1835785</wp:posOffset>
            </wp:positionV>
            <wp:extent cx="65493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-2255520</wp:posOffset>
            </wp:positionV>
            <wp:extent cx="65493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-2813050</wp:posOffset>
            </wp:positionV>
            <wp:extent cx="57003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7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Tullis-Growth Partners, L.LC.</w:t>
      </w:r>
    </w:p>
    <w:p>
      <w:pPr>
        <w:ind w:left="980" w:hanging="45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4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5493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-1120775</wp:posOffset>
            </wp:positionV>
            <wp:extent cx="60521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-1275080</wp:posOffset>
            </wp:positionV>
            <wp:extent cx="60521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587,843 (1)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 587,843 (1)</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587,843 (1)</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hanging="459"/>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3.64% (2)</w:t>
      </w:r>
    </w:p>
    <w:p>
      <w:pPr>
        <w:spacing w:after="0" w:line="238" w:lineRule="exact"/>
        <w:rPr>
          <w:rFonts w:ascii="Arial" w:cs="Arial" w:eastAsia="Arial" w:hAnsi="Arial"/>
          <w:sz w:val="18"/>
          <w:szCs w:val="18"/>
          <w:color w:val="auto"/>
        </w:rPr>
      </w:pPr>
    </w:p>
    <w:p>
      <w:pPr>
        <w:ind w:left="980" w:right="5920" w:hanging="459"/>
        <w:spacing w:after="0" w:line="52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2" w:lineRule="exact"/>
        <w:rPr>
          <w:rFonts w:ascii="Arial" w:cs="Arial" w:eastAsia="Arial" w:hAnsi="Arial"/>
          <w:sz w:val="18"/>
          <w:szCs w:val="18"/>
          <w:color w:val="auto"/>
        </w:rPr>
      </w:pPr>
    </w:p>
    <w:p>
      <w:pPr>
        <w:ind w:left="340" w:right="220" w:hanging="332"/>
        <w:spacing w:after="0" w:line="25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417,398 shares of Common Stock as well as 170,445 shares of Common Stock issuable upon exercise of Warrants held by Tullis Growth Fund, L.P. Tullis-Growth Partners, L.L.C. may be deemed to beneficially own these shares because the L.L.C. is a general partner of Tullis Growth Fund, L.P.</w:t>
      </w:r>
    </w:p>
    <w:p>
      <w:pPr>
        <w:spacing w:after="0" w:line="2"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-875665</wp:posOffset>
            </wp:positionV>
            <wp:extent cx="65493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-1432560</wp:posOffset>
            </wp:positionV>
            <wp:extent cx="65493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-1990090</wp:posOffset>
            </wp:positionV>
            <wp:extent cx="65493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-2409825</wp:posOffset>
            </wp:positionV>
            <wp:extent cx="65493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-2967355</wp:posOffset>
            </wp:positionV>
            <wp:extent cx="57003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7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NAMES OF REPORTING PERSONS Tullis Growth Fund II, L.P.</w:t>
      </w:r>
    </w:p>
    <w:p>
      <w:pPr>
        <w:ind w:left="980" w:hanging="45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4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5493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-1120775</wp:posOffset>
            </wp:positionV>
            <wp:extent cx="605218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-1275080</wp:posOffset>
            </wp:positionV>
            <wp:extent cx="60521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105,453 (1)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 105,453 (1)</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105,453 (1)</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hanging="459"/>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.65% (2)</w:t>
      </w:r>
    </w:p>
    <w:p>
      <w:pPr>
        <w:spacing w:after="0" w:line="238" w:lineRule="exact"/>
        <w:rPr>
          <w:rFonts w:ascii="Arial" w:cs="Arial" w:eastAsia="Arial" w:hAnsi="Arial"/>
          <w:sz w:val="18"/>
          <w:szCs w:val="18"/>
          <w:color w:val="auto"/>
        </w:rPr>
      </w:pPr>
    </w:p>
    <w:p>
      <w:pPr>
        <w:ind w:left="980" w:right="5920" w:hanging="459"/>
        <w:spacing w:after="0" w:line="52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105,453 shares of Common Stock held by Tullis Growth Fund II, L.P.</w:t>
      </w:r>
    </w:p>
    <w:p>
      <w:pPr>
        <w:spacing w:after="0" w:line="23"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-584200</wp:posOffset>
            </wp:positionV>
            <wp:extent cx="65493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-1141095</wp:posOffset>
            </wp:positionV>
            <wp:extent cx="65493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-1698625</wp:posOffset>
            </wp:positionV>
            <wp:extent cx="65493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-2118360</wp:posOffset>
            </wp:positionV>
            <wp:extent cx="65493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-2675890</wp:posOffset>
            </wp:positionV>
            <wp:extent cx="57003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7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NAMES OF REPORTING PERSONS Tullis-Growth Partners II, L.L.C.</w:t>
      </w:r>
    </w:p>
    <w:p>
      <w:pPr>
        <w:ind w:left="980" w:hanging="45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46"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5493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-1120775</wp:posOffset>
            </wp:positionV>
            <wp:extent cx="605218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-1275080</wp:posOffset>
            </wp:positionV>
            <wp:extent cx="605218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105,453 (1)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 105,453 (1)</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105,453 (1)</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hanging="459"/>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.65% (2)</w:t>
      </w:r>
    </w:p>
    <w:p>
      <w:pPr>
        <w:spacing w:after="0" w:line="238" w:lineRule="exact"/>
        <w:rPr>
          <w:rFonts w:ascii="Arial" w:cs="Arial" w:eastAsia="Arial" w:hAnsi="Arial"/>
          <w:sz w:val="18"/>
          <w:szCs w:val="18"/>
          <w:color w:val="auto"/>
        </w:rPr>
      </w:pPr>
    </w:p>
    <w:p>
      <w:pPr>
        <w:ind w:left="980" w:right="5920" w:hanging="459"/>
        <w:spacing w:after="0" w:line="52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ind w:left="34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105,453 shares of Common Stock held by Tullis Growth Fund II, L.P. Tullis-Growth Partners II, L.L.C. may be deemed to beneficially own these shares because the L.L.C. is a general partner of Tullis Growth Fund II, L.P.</w:t>
      </w:r>
    </w:p>
    <w:p>
      <w:pPr>
        <w:spacing w:after="0" w:line="1"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-721360</wp:posOffset>
            </wp:positionV>
            <wp:extent cx="65493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-1278255</wp:posOffset>
            </wp:positionV>
            <wp:extent cx="65493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-1835785</wp:posOffset>
            </wp:positionV>
            <wp:extent cx="65493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-2255520</wp:posOffset>
            </wp:positionV>
            <wp:extent cx="65493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-2813050</wp:posOffset>
            </wp:positionV>
            <wp:extent cx="570039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0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 James L.L. Tullis</w:t>
      </w:r>
    </w:p>
    <w:p>
      <w:pPr>
        <w:spacing w:after="0" w:line="1" w:lineRule="exact"/>
        <w:rPr>
          <w:rFonts w:ascii="Arial" w:cs="Arial" w:eastAsia="Arial" w:hAnsi="Arial"/>
          <w:sz w:val="18"/>
          <w:szCs w:val="18"/>
          <w:color w:val="auto"/>
        </w:rPr>
      </w:pPr>
    </w:p>
    <w:p>
      <w:pPr>
        <w:ind w:left="980" w:hanging="45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760" w:hanging="780"/>
        <w:spacing w:after="0" w:line="207" w:lineRule="exact"/>
        <w:tabs>
          <w:tab w:leader="none" w:pos="17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1" w:lineRule="exact"/>
        <w:rPr>
          <w:rFonts w:ascii="Arial" w:cs="Arial" w:eastAsia="Arial" w:hAnsi="Arial"/>
          <w:sz w:val="18"/>
          <w:szCs w:val="18"/>
          <w:color w:val="auto"/>
        </w:rPr>
      </w:pPr>
    </w:p>
    <w:p>
      <w:pPr>
        <w:ind w:left="980" w:hanging="45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right="6600" w:hanging="459"/>
        <w:spacing w:after="0" w:line="51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-144145</wp:posOffset>
            </wp:positionV>
            <wp:extent cx="65493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-701040</wp:posOffset>
            </wp:positionV>
            <wp:extent cx="65493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-1121410</wp:posOffset>
            </wp:positionV>
            <wp:extent cx="60521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-1275715</wp:posOffset>
            </wp:positionV>
            <wp:extent cx="60521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5218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-1695450</wp:posOffset>
            </wp:positionV>
            <wp:extent cx="65493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89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41,138 (1)</w:t>
            </w: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89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Arial" w:cs="Arial" w:eastAsia="Arial" w:hAnsi="Arial"/>
                <w:sz w:val="18"/>
                <w:szCs w:val="18"/>
                <w:color w:val="auto"/>
              </w:rPr>
              <w:t>1,827,001 (2)</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line="189" w:lineRule="exact"/>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EACH</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89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41,138 (1)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320" w:right="6400" w:hanging="665"/>
        <w:spacing w:after="0" w:line="508" w:lineRule="auto"/>
        <w:tabs>
          <w:tab w:leader="none" w:pos="23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 1,827,001 (2)</w:t>
      </w:r>
    </w:p>
    <w:p>
      <w:pPr>
        <w:spacing w:after="0" w:line="1" w:lineRule="exact"/>
        <w:rPr>
          <w:rFonts w:ascii="Arial" w:cs="Arial" w:eastAsia="Arial" w:hAnsi="Arial"/>
          <w:sz w:val="18"/>
          <w:szCs w:val="18"/>
          <w:color w:val="auto"/>
        </w:rPr>
      </w:pPr>
    </w:p>
    <w:p>
      <w:pPr>
        <w:ind w:left="980" w:right="3700" w:hanging="459"/>
        <w:spacing w:after="0" w:line="48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1,868,139 (3)</w:t>
      </w:r>
    </w:p>
    <w:p>
      <w:pPr>
        <w:spacing w:after="0" w:line="1" w:lineRule="exact"/>
        <w:rPr>
          <w:rFonts w:ascii="Arial" w:cs="Arial" w:eastAsia="Arial" w:hAnsi="Arial"/>
          <w:sz w:val="18"/>
          <w:szCs w:val="18"/>
          <w:color w:val="auto"/>
        </w:rPr>
      </w:pPr>
    </w:p>
    <w:p>
      <w:pPr>
        <w:ind w:left="980" w:hanging="459"/>
        <w:spacing w:after="0" w:line="207" w:lineRule="exact"/>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980" w:hanging="459"/>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11.56% (4)</w:t>
      </w:r>
    </w:p>
    <w:p>
      <w:pPr>
        <w:spacing w:after="0" w:line="238" w:lineRule="exact"/>
        <w:rPr>
          <w:rFonts w:ascii="Arial" w:cs="Arial" w:eastAsia="Arial" w:hAnsi="Arial"/>
          <w:sz w:val="18"/>
          <w:szCs w:val="18"/>
          <w:color w:val="auto"/>
        </w:rPr>
      </w:pPr>
    </w:p>
    <w:p>
      <w:pPr>
        <w:ind w:left="980" w:right="5920" w:hanging="459"/>
        <w:spacing w:after="0" w:line="52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ind w:left="340" w:right="120" w:hanging="332"/>
        <w:spacing w:after="0" w:line="274"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21,348 shares of Common Stock as well as 19,790 Options held by Mr. Tullis in his individual capacity. Note that 19,250 of these Options were held as of December 31, 2021 and another 540 Options became exercisable in the 60-day window following December 31, 2021.</w:t>
      </w:r>
    </w:p>
    <w:p>
      <w:pPr>
        <w:ind w:left="340" w:right="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992,821 shares of Common Stock as well as 119,536 shares of Common Stock issuable upon exercise of Warrants held by Tullis-Dickerson Capital Focus III, L.P.; 417,398 shares of Common Stock as well as 170,445 shares of Common Stock issuable upon exercise of Warrants held by Tullis Growth Fund, L.P.; and 105,453 shares of Common Stock held by Tullis Growth Fund II, L.P. Mr. Tullis may be deemed to beneficially own all of these shares as principal of each of the foregoing entities.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992,821 shares of Common Stock as well as 119,536 shares of Common Stock issuable upon exercise of Warrants held by Tullis-Dickerson Capital Focus III, L.P.; 417,398 shares of Common Stock as well as 170,445 shares of Common Stock issuable upon exercise of Warrants held by Tullis Growth Fund, L.P.; 105,453 shares of Common Stock held by Tullis Growth Fund II, L.P.; and 41,148 shares of Common Stock held by Mr. Tullis in his individual capacity. Mr. Tullis may be deemed to directly or beneficially own all of these shares as principal of each of the foregoing entities.</w:t>
      </w:r>
    </w:p>
    <w:p>
      <w:pPr>
        <w:spacing w:after="0" w:line="1"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-1955800</wp:posOffset>
            </wp:positionV>
            <wp:extent cx="65493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-2512695</wp:posOffset>
            </wp:positionV>
            <wp:extent cx="65493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-3070225</wp:posOffset>
            </wp:positionV>
            <wp:extent cx="65493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-3489960</wp:posOffset>
            </wp:positionV>
            <wp:extent cx="65493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-4047490</wp:posOffset>
            </wp:positionV>
            <wp:extent cx="570039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 Security and Issuer.</w:t>
      </w:r>
    </w:p>
    <w:p>
      <w:pPr>
        <w:spacing w:after="0" w:line="225" w:lineRule="exact"/>
        <w:rPr>
          <w:sz w:val="20"/>
          <w:szCs w:val="20"/>
          <w:color w:val="auto"/>
        </w:rPr>
      </w:pPr>
    </w:p>
    <w:p>
      <w:pPr>
        <w:ind w:left="660" w:right="8440" w:hanging="328"/>
        <w:spacing w:after="0" w:line="563" w:lineRule="auto"/>
        <w:tabs>
          <w:tab w:leader="none" w:pos="66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Exagen, Inc.</w:t>
      </w: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1261 Liberty Way, Suite 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 CA 92081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statement is being filed on behalf of each of the following persons (each, a “Reporting Person” and collectively, the “Reporting Persons”):</w:t>
      </w:r>
    </w:p>
    <w:p>
      <w:pPr>
        <w:spacing w:after="0" w:line="244" w:lineRule="exact"/>
        <w:rPr>
          <w:sz w:val="20"/>
          <w:szCs w:val="20"/>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Tullis-Dickerson Capital Focus III, L.P. (“</w:t>
      </w:r>
      <w:r>
        <w:rPr>
          <w:rFonts w:ascii="Arial" w:cs="Arial" w:eastAsia="Arial" w:hAnsi="Arial"/>
          <w:sz w:val="18"/>
          <w:szCs w:val="18"/>
          <w:b w:val="1"/>
          <w:bCs w:val="1"/>
          <w:u w:val="single" w:color="auto"/>
          <w:color w:val="auto"/>
        </w:rPr>
        <w:t>TD Capital Focus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Tullis-Dickerson Partners III, L.L.C., the general partner of TD Capital Focus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Tullis Growth Fund, L.P. (“</w:t>
      </w:r>
      <w:r>
        <w:rPr>
          <w:rFonts w:ascii="Arial" w:cs="Arial" w:eastAsia="Arial" w:hAnsi="Arial"/>
          <w:sz w:val="18"/>
          <w:szCs w:val="18"/>
          <w:b w:val="1"/>
          <w:bCs w:val="1"/>
          <w:u w:val="single" w:color="auto"/>
          <w:color w:val="auto"/>
        </w:rPr>
        <w:t>Tullis Growth Fund</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Tullis-Growth Partners, L.L.C., the general partner of Tullis Growth Fund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Tullis Growth Fund II, L.P. (“</w:t>
      </w:r>
      <w:r>
        <w:rPr>
          <w:rFonts w:ascii="Arial" w:cs="Arial" w:eastAsia="Arial" w:hAnsi="Arial"/>
          <w:sz w:val="18"/>
          <w:szCs w:val="18"/>
          <w:b w:val="1"/>
          <w:bCs w:val="1"/>
          <w:u w:val="single" w:color="auto"/>
          <w:color w:val="auto"/>
        </w:rPr>
        <w:t>Tullis Growth Fund II</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Tullis-Growth Partners II, L.L.C., the general partner of Tullis Growth Fund II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James L.L. Tullis as a principal of each of the foregoing entities and in his individual capacity</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11770 US Highway One, Suite 503, Palm Beach Gardens, FL 33408</w:t>
      </w:r>
    </w:p>
    <w:p>
      <w:pPr>
        <w:spacing w:after="0" w:line="206" w:lineRule="exact"/>
        <w:rPr>
          <w:rFonts w:ascii="Arial" w:cs="Arial" w:eastAsia="Arial" w:hAnsi="Arial"/>
          <w:sz w:val="18"/>
          <w:szCs w:val="18"/>
          <w:b w:val="1"/>
          <w:bCs w:val="1"/>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James L. L. Tullis is a citizen of the United States and each of the remaining Reporting Persons were formed in Delaware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320" w:top="904" w:right="1259" w:bottom="1440" w:gutter="0" w:footer="0" w:header="0"/>
        </w:sectPr>
      </w:pPr>
    </w:p>
    <w:bookmarkStart w:id="9" w:name="page10"/>
    <w:bookmarkEnd w:id="9"/>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Common shares, par value $0.001 per share</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30068X103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6" w:lineRule="exact"/>
        <w:rPr>
          <w:sz w:val="20"/>
          <w:szCs w:val="20"/>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660" w:right="120" w:hanging="652"/>
        <w:spacing w:after="0" w:line="239" w:lineRule="exact"/>
        <w:tabs>
          <w:tab w:leader="none" w:pos="336"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22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row 9 of the cover page of each Reporting Person.</w:t>
      </w:r>
    </w:p>
    <w:p>
      <w:pPr>
        <w:spacing w:after="0" w:line="225" w:lineRule="exact"/>
        <w:rPr>
          <w:rFonts w:ascii="Arial" w:cs="Arial" w:eastAsia="Arial" w:hAnsi="Arial"/>
          <w:sz w:val="18"/>
          <w:szCs w:val="18"/>
          <w:color w:val="auto"/>
        </w:rPr>
      </w:pPr>
    </w:p>
    <w:p>
      <w:pPr>
        <w:ind w:left="980" w:right="60"/>
        <w:spacing w:after="0" w:line="291" w:lineRule="auto"/>
        <w:rPr>
          <w:rFonts w:ascii="Arial" w:cs="Arial" w:eastAsia="Arial" w:hAnsi="Arial"/>
          <w:sz w:val="18"/>
          <w:szCs w:val="18"/>
          <w:color w:val="auto"/>
        </w:rPr>
      </w:pPr>
      <w:r>
        <w:rPr>
          <w:rFonts w:ascii="Arial" w:cs="Arial" w:eastAsia="Arial" w:hAnsi="Arial"/>
          <w:sz w:val="16"/>
          <w:szCs w:val="16"/>
          <w:color w:val="auto"/>
        </w:rPr>
        <w:t>As of December 31, 2021, the general partner of Tullis-Dickerson Capital Focus III, L.P., Tullis Dickerson Partners III, L.L.C. is deemed to beneficially own 1,112,357 shares of the Issuer’s common stock. As the general partner of Tullis Growth Fund, L.P. , Tullis-Growth Partners, L.L.C. is deemed to beneficially own 587,843 shares of the Issuer’s common stock. As the general partner of Tullis Growth Fund II, L.P., Tullis-Growth Partners II, LLC is deemed to beneficially own 105,453 shares of the Issuer’s common stock. James L.L. Tullis, in his individual capacity, beneficially owns 41,148 shares of the Issuer’s common stock and is a principal of each of the foregoing entities and may be deemed to possess voting and investment control over, and may be deemed to have an indirect beneficial ownership with respect to the shares held by Tullis-Dickerson Capital Focus III, L.P., Tullis Growth Fund, L.P., and Tullis Growth Fund II, L.P.</w:t>
      </w:r>
    </w:p>
    <w:p>
      <w:pPr>
        <w:spacing w:after="0" w:line="166" w:lineRule="exact"/>
        <w:rPr>
          <w:rFonts w:ascii="Arial" w:cs="Arial" w:eastAsia="Arial" w:hAnsi="Arial"/>
          <w:sz w:val="18"/>
          <w:szCs w:val="18"/>
          <w:color w:val="auto"/>
        </w:rPr>
      </w:pPr>
    </w:p>
    <w:p>
      <w:pPr>
        <w:ind w:left="980"/>
        <w:spacing w:after="0" w:line="257" w:lineRule="auto"/>
        <w:rPr>
          <w:rFonts w:ascii="Arial" w:cs="Arial" w:eastAsia="Arial" w:hAnsi="Arial"/>
          <w:sz w:val="18"/>
          <w:szCs w:val="18"/>
          <w:color w:val="auto"/>
        </w:rPr>
      </w:pPr>
      <w:r>
        <w:rPr>
          <w:rFonts w:ascii="Arial" w:cs="Arial" w:eastAsia="Arial" w:hAnsi="Arial"/>
          <w:sz w:val="18"/>
          <w:szCs w:val="18"/>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Tullis-Dickerson Capital Focus III, L.P.: 6.88%</w:t>
      </w:r>
    </w:p>
    <w:p>
      <w:pPr>
        <w:spacing w:after="0" w:line="23"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Tullis-Dickerson Partners III, L.L.C.: 6.88%</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Tullis Growth Fund, L.P.: 3.64%</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Tullis-Growth Partners, L.L.C.: 3.64%</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Tullis Growth Fund II, L.P.: 0.65%</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Tullis-Growth Partners II, L.L.C., 0.65%</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James L. L. Tullis: 11.56% as a principal of each of the foregoing entities and 0.25%, individually</w:t>
      </w:r>
    </w:p>
    <w:p>
      <w:pPr>
        <w:spacing w:after="0" w:line="21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Percentage calculated based on 16,164,232 shares of common stock outstanding as of November 5, 2021, as reported in the issuer’s Quarterly Report on Form 10-Q for the quarter ended September 30, 2021.</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1" w:lineRule="exact"/>
        <w:rPr>
          <w:rFonts w:ascii="Arial" w:cs="Arial" w:eastAsia="Arial" w:hAnsi="Arial"/>
          <w:sz w:val="18"/>
          <w:szCs w:val="18"/>
          <w:color w:val="auto"/>
        </w:rPr>
      </w:pPr>
    </w:p>
    <w:p>
      <w:pPr>
        <w:ind w:left="1620" w:hanging="316"/>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Sole power to vote or to direct the vote:</w:t>
      </w:r>
    </w:p>
    <w:p>
      <w:pPr>
        <w:spacing w:after="0" w:line="22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21" w:lineRule="exact"/>
        <w:rPr>
          <w:rFonts w:ascii="Arial" w:cs="Arial" w:eastAsia="Arial" w:hAnsi="Arial"/>
          <w:sz w:val="18"/>
          <w:szCs w:val="18"/>
          <w:color w:val="auto"/>
        </w:rPr>
      </w:pPr>
    </w:p>
    <w:p>
      <w:pPr>
        <w:ind w:left="1620" w:hanging="316"/>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Shared power to vote or to direct the vote:</w:t>
      </w:r>
    </w:p>
    <w:p>
      <w:pPr>
        <w:spacing w:after="0" w:line="22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21" w:lineRule="exact"/>
        <w:rPr>
          <w:rFonts w:ascii="Arial" w:cs="Arial" w:eastAsia="Arial" w:hAnsi="Arial"/>
          <w:sz w:val="18"/>
          <w:szCs w:val="18"/>
          <w:color w:val="auto"/>
        </w:rPr>
      </w:pPr>
    </w:p>
    <w:p>
      <w:pPr>
        <w:jc w:val="both"/>
        <w:ind w:left="1620" w:right="5620" w:hanging="316"/>
        <w:spacing w:after="0" w:line="601"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dispose or to direct the disposition of: </w:t>
      </w:r>
      <w:r>
        <w:rPr>
          <w:rFonts w:ascii="Arial" w:cs="Arial" w:eastAsia="Arial" w:hAnsi="Arial"/>
          <w:sz w:val="15"/>
          <w:szCs w:val="15"/>
          <w:color w:val="auto"/>
        </w:rPr>
        <w:t>See row 7 of the cover page of each Reporting Person.</w:t>
      </w:r>
    </w:p>
    <w:p>
      <w:pPr>
        <w:ind w:left="1620" w:right="5380" w:hanging="316"/>
        <w:spacing w:after="0" w:line="563"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row 8 of the cover page of each Reporting Person.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40" w:right="28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 xml:space="preserve">TULLIS-DICKERSON CAPITAL FOCUS III, </w:t>
      </w:r>
      <w:r>
        <w:rPr>
          <w:rFonts w:ascii="Arial" w:cs="Arial" w:eastAsia="Arial" w:hAnsi="Arial"/>
          <w:sz w:val="18"/>
          <w:szCs w:val="18"/>
          <w:color w:val="auto"/>
        </w:rPr>
        <w:t>L.P.</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Tullis-Dickerson Partners III, L.L.C., its general</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partner</w:t>
      </w:r>
    </w:p>
    <w:p>
      <w:pPr>
        <w:spacing w:after="0" w:line="207"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Name: James L.L. Tullis</w:t>
      </w:r>
    </w:p>
    <w:p>
      <w:pPr>
        <w:spacing w:after="0" w:line="27" w:lineRule="exact"/>
        <w:rPr>
          <w:sz w:val="20"/>
          <w:szCs w:val="20"/>
          <w:color w:val="auto"/>
        </w:rPr>
      </w:pPr>
    </w:p>
    <w:p>
      <w:pPr>
        <w:ind w:left="7160"/>
        <w:spacing w:after="0"/>
        <w:tabs>
          <w:tab w:leader="none" w:pos="7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Manager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TULLIS GROWTH FUND, L.P.</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Tullis-Growth Partners, L.L.C., its general partner</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Name: James L.L. Tullis</w:t>
      </w:r>
    </w:p>
    <w:p>
      <w:pPr>
        <w:spacing w:after="0" w:line="27" w:lineRule="exact"/>
        <w:rPr>
          <w:sz w:val="20"/>
          <w:szCs w:val="20"/>
          <w:color w:val="auto"/>
        </w:rPr>
      </w:pPr>
    </w:p>
    <w:p>
      <w:pPr>
        <w:ind w:left="7160"/>
        <w:spacing w:after="0"/>
        <w:tabs>
          <w:tab w:leader="none" w:pos="7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Manager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TULLIS GROWTH FUND II, L.P.</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Tullis-Growth Partners II, L.L.C., its general</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partner</w:t>
      </w:r>
    </w:p>
    <w:p>
      <w:pPr>
        <w:spacing w:after="0" w:line="207"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Name: James L.L. Tullis</w:t>
      </w:r>
    </w:p>
    <w:p>
      <w:pPr>
        <w:spacing w:after="0" w:line="27" w:lineRule="exact"/>
        <w:rPr>
          <w:sz w:val="20"/>
          <w:szCs w:val="20"/>
          <w:color w:val="auto"/>
        </w:rPr>
      </w:pPr>
    </w:p>
    <w:p>
      <w:pPr>
        <w:ind w:left="7160"/>
        <w:spacing w:after="0"/>
        <w:tabs>
          <w:tab w:leader="none" w:pos="7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Manager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TULLIS-DICKERSON PARTNERS III, L.L.C.</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Name: James L.L. Tullis</w:t>
      </w:r>
    </w:p>
    <w:p>
      <w:pPr>
        <w:spacing w:after="0" w:line="27" w:lineRule="exact"/>
        <w:rPr>
          <w:sz w:val="20"/>
          <w:szCs w:val="20"/>
          <w:color w:val="auto"/>
        </w:rPr>
      </w:pPr>
    </w:p>
    <w:p>
      <w:pPr>
        <w:ind w:left="7160"/>
        <w:spacing w:after="0"/>
        <w:tabs>
          <w:tab w:leader="none" w:pos="7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Chief Executive Officer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TULLIS-GROWTH PARTNERS, L.L.C.</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Name: James L.L. Tullis</w:t>
      </w:r>
    </w:p>
    <w:p>
      <w:pPr>
        <w:spacing w:after="0" w:line="27" w:lineRule="exact"/>
        <w:rPr>
          <w:sz w:val="20"/>
          <w:szCs w:val="20"/>
          <w:color w:val="auto"/>
        </w:rPr>
      </w:pPr>
    </w:p>
    <w:p>
      <w:pPr>
        <w:ind w:left="7160"/>
        <w:spacing w:after="0"/>
        <w:tabs>
          <w:tab w:leader="none" w:pos="7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Manager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TULLIS-GROWTH PARTNERS II, L.L.C.</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Name: James L.L. Tullis</w:t>
      </w:r>
    </w:p>
    <w:p>
      <w:pPr>
        <w:spacing w:after="0" w:line="27" w:lineRule="exact"/>
        <w:rPr>
          <w:sz w:val="20"/>
          <w:szCs w:val="20"/>
          <w:color w:val="auto"/>
        </w:rPr>
      </w:pPr>
    </w:p>
    <w:p>
      <w:pPr>
        <w:ind w:left="7160"/>
        <w:spacing w:after="0"/>
        <w:tabs>
          <w:tab w:leader="none" w:pos="77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Chief Executive Officer</w:t>
      </w:r>
    </w:p>
    <w:p>
      <w:pPr>
        <w:spacing w:after="0" w:line="21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8889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2"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JAMES L.L. TULLIS</w:t>
      </w:r>
      <w:r>
        <w:rPr>
          <w:rFonts w:ascii="Arial" w:cs="Arial" w:eastAsia="Arial" w:hAnsi="Arial"/>
          <w:sz w:val="18"/>
          <w:szCs w:val="18"/>
          <w:color w:val="auto"/>
        </w:rPr>
        <w:t>,</w:t>
      </w:r>
      <w:r>
        <w:rPr>
          <w:rFonts w:ascii="Arial" w:cs="Arial" w:eastAsia="Arial" w:hAnsi="Arial"/>
          <w:sz w:val="18"/>
          <w:szCs w:val="18"/>
          <w:b w:val="1"/>
          <w:bCs w:val="1"/>
          <w:color w:val="auto"/>
        </w:rPr>
        <w:t xml:space="preserve"> Individually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PURSUANT TO RULE 13d-1(k)</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TULLIS-DICKERSON CAPITAL FOCUS III, </w:t>
      </w:r>
      <w:r>
        <w:rPr>
          <w:rFonts w:ascii="Arial" w:cs="Arial" w:eastAsia="Arial" w:hAnsi="Arial"/>
          <w:sz w:val="18"/>
          <w:szCs w:val="18"/>
          <w:color w:val="auto"/>
        </w:rPr>
        <w:t>L.P.</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Tullis-Dickerson Partners III, L.L.C., its general partner</w:t>
      </w:r>
    </w:p>
    <w:p>
      <w:pPr>
        <w:spacing w:after="0" w:line="225"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TULLIS-DICKERSON PARTNERS III, L.L.C.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TULLIS GROWTH FUND, L.P.</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Tullis-Growth Partners, L.L.C., its general partner</w:t>
      </w:r>
    </w:p>
    <w:p>
      <w:pPr>
        <w:spacing w:after="0" w:line="225"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TULLIS-GROWTH PARTNERS, L.L.C.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5620"/>
        <w:spacing w:after="0"/>
        <w:rPr>
          <w:sz w:val="20"/>
          <w:szCs w:val="20"/>
          <w:color w:val="auto"/>
        </w:rPr>
      </w:pPr>
      <w:r>
        <w:rPr>
          <w:rFonts w:ascii="Arial" w:cs="Arial" w:eastAsia="Arial" w:hAnsi="Arial"/>
          <w:sz w:val="18"/>
          <w:szCs w:val="18"/>
          <w:b w:val="1"/>
          <w:bCs w:val="1"/>
          <w:color w:val="auto"/>
        </w:rPr>
        <w:t>TULLIS GROWTH FUND II, L.P.</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Tullis-Growth Partners II, L.L.C., its general partner</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14605</wp:posOffset>
            </wp:positionV>
            <wp:extent cx="25717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TULLIS-GROWTH PARTNERS II, L.L.C.</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14605</wp:posOffset>
            </wp:positionV>
            <wp:extent cx="25717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8543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JAMES L.L. TULLIS</w:t>
      </w:r>
      <w:r>
        <w:rPr>
          <w:rFonts w:ascii="Arial" w:cs="Arial" w:eastAsia="Arial" w:hAnsi="Arial"/>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840"/>
      </w:cols>
      <w:pgMar w:left="1440" w:top="90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lvl w:ilvl="1">
      <w:lvlJc w:val="left"/>
      <w:lvlText w:val="(%2)"/>
      <w:numFmt w:val="lowerLetter"/>
      <w:start w:val="1"/>
    </w:lvl>
  </w:abstractNum>
  <w:abstractNum w:abstractNumId="2">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628C895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21DA317"/>
    <w:multiLevelType w:val="hybridMultilevel"/>
    <w:lvl w:ilvl="0">
      <w:lvlJc w:val="left"/>
      <w:lvlText w:val="(%1)"/>
      <w:numFmt w:val="decimal"/>
      <w:start w:val="1"/>
    </w:lvl>
    <w:lvl w:ilvl="1">
      <w:lvlJc w:val="left"/>
      <w:lvlText w:val="(%2)"/>
      <w:numFmt w:val="lowerLetter"/>
      <w:start w:val="1"/>
    </w:lvl>
  </w:abstractNum>
  <w:abstractNum w:abstractNumId="6">
    <w:nsid w:val="2443A858"/>
    <w:multiLevelType w:val="hybridMultilevel"/>
    <w:lvl w:ilvl="0">
      <w:lvlJc w:val="left"/>
      <w:lvlText w:val="%1"/>
      <w:numFmt w:val="decimal"/>
      <w:start w:val="1"/>
    </w:lvl>
    <w:lvl w:ilvl="1">
      <w:lvlJc w:val="left"/>
      <w:lvlText w:val="(%2)"/>
      <w:numFmt w:val="decimal"/>
      <w:start w:val="8"/>
    </w:lvl>
  </w:abstractNum>
  <w:abstractNum w:abstractNumId="7">
    <w:nsid w:val="2D1D5AE9"/>
    <w:multiLevelType w:val="hybridMultilevel"/>
    <w:lvl w:ilvl="0">
      <w:lvlJc w:val="left"/>
      <w:lvlText w:val="(%1)"/>
      <w:numFmt w:val="decimal"/>
      <w:start w:val="9"/>
    </w:lvl>
    <w:lvl w:ilvl="1">
      <w:lvlJc w:val="left"/>
      <w:lvlText w:val="%2"/>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lvl w:ilvl="1">
      <w:lvlJc w:val="left"/>
      <w:lvlText w:val="(%2)"/>
      <w:numFmt w:val="lowerLetter"/>
      <w:start w:val="1"/>
    </w:lvl>
  </w:abstractNum>
  <w:abstractNum w:abstractNumId="10">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79838CB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4353D0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B03E0C6"/>
    <w:multiLevelType w:val="hybridMultilevel"/>
    <w:lvl w:ilvl="0">
      <w:lvlJc w:val="left"/>
      <w:lvlText w:val="(%1)"/>
      <w:numFmt w:val="decimal"/>
      <w:start w:val="1"/>
    </w:lvl>
    <w:lvl w:ilvl="1">
      <w:lvlJc w:val="left"/>
      <w:lvlText w:val="(%2)"/>
      <w:numFmt w:val="lowerLetter"/>
      <w:start w:val="1"/>
    </w:lvl>
  </w:abstractNum>
  <w:abstractNum w:abstractNumId="14">
    <w:nsid w:val="189A769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5">
    <w:nsid w:val="54E49EB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6">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2CA88611"/>
    <w:multiLevelType w:val="hybridMultilevel"/>
    <w:lvl w:ilvl="0">
      <w:lvlJc w:val="left"/>
      <w:lvlText w:val="(%1)"/>
      <w:numFmt w:val="decimal"/>
      <w:start w:val="1"/>
    </w:lvl>
    <w:lvl w:ilvl="1">
      <w:lvlJc w:val="left"/>
      <w:lvlText w:val="(%2)"/>
      <w:numFmt w:val="lowerLetter"/>
      <w:start w:val="1"/>
    </w:lvl>
  </w:abstractNum>
  <w:abstractNum w:abstractNumId="18">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9">
    <w:nsid w:val="2901D8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0">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8138641"/>
    <w:multiLevelType w:val="hybridMultilevel"/>
    <w:lvl w:ilvl="0">
      <w:lvlJc w:val="left"/>
      <w:lvlText w:val="(%1)"/>
      <w:numFmt w:val="decimal"/>
      <w:start w:val="1"/>
    </w:lvl>
    <w:lvl w:ilvl="1">
      <w:lvlJc w:val="left"/>
      <w:lvlText w:val="(%2)"/>
      <w:numFmt w:val="lowerLetter"/>
      <w:start w:val="1"/>
    </w:lvl>
  </w:abstractNum>
  <w:abstractNum w:abstractNumId="22">
    <w:nsid w:val="1E7FF52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3">
    <w:nsid w:val="7C3DBD3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4">
    <w:nsid w:val="737B8DD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7">
    <w:nsid w:val="4516DDE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8">
    <w:nsid w:val="3006C83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lvl w:ilvl="1">
      <w:lvlJc w:val="left"/>
      <w:lvlText w:val="%2."/>
      <w:numFmt w:val="lowerRoman"/>
      <w:start w:val="1"/>
    </w:lvl>
  </w:abstractNum>
  <w:abstractNum w:abstractNumId="32">
    <w:nsid w:val="440BADFC"/>
    <w:multiLevelType w:val="hybridMultilevel"/>
    <w:lvl w:ilvl="0">
      <w:lvlJc w:val="left"/>
      <w:lvlText w:val="(%1)"/>
      <w:numFmt w:val="lowerLetter"/>
      <w:start w:val="2"/>
    </w:lvl>
    <w:lvl w:ilvl="1">
      <w:lvlJc w:val="left"/>
      <w:lvlText w:val="%2"/>
      <w:numFmt w:val="lowerRoman"/>
      <w:start w:val="1"/>
    </w:lvl>
  </w:abstractNum>
  <w:abstractNum w:abstractNumId="33">
    <w:nsid w:val="5072367"/>
    <w:multiLevelType w:val="hybridMultilevel"/>
    <w:lvl w:ilvl="0">
      <w:lvlJc w:val="left"/>
      <w:lvlText w:val="(%1)"/>
      <w:numFmt w:val="lowerLetter"/>
      <w:start w:val="4"/>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2"/>
    </w:lvl>
    <w:lvl w:ilvl="1">
      <w:lvlJc w:val="left"/>
      <w:lvlText w:val="%2."/>
      <w:numFmt w:val="lowerRoman"/>
      <w:start w:val="1"/>
    </w:lvl>
  </w:abstractNum>
  <w:abstractNum w:abstractNumId="37">
    <w:nsid w:val="5C482A9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2022-02-14T12:12:34Z</dcterms:created>
  <dcterms:modified xsi:type="dcterms:W3CDTF">2022-02-14T12:12:34Z</dcterms:modified>
</cp:coreProperties>
</file>