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23, 2023</w:t>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202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001-39049</w:t>
            </w: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191"/>
        </w:trPr>
        <w:tc>
          <w:tcPr>
            <w:tcW w:w="202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20" w:type="dxa"/>
            <w:vAlign w:val="bottom"/>
          </w:tcPr>
          <w:p>
            <w:pPr>
              <w:spacing w:after="0"/>
              <w:rPr>
                <w:sz w:val="24"/>
                <w:szCs w:val="24"/>
                <w:color w:val="auto"/>
              </w:rPr>
            </w:pPr>
          </w:p>
        </w:tc>
        <w:tc>
          <w:tcPr>
            <w:tcW w:w="49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1261 Liberty Way</w:t>
            </w:r>
          </w:p>
        </w:tc>
        <w:tc>
          <w:tcPr>
            <w:tcW w:w="1640" w:type="dxa"/>
            <w:vAlign w:val="bottom"/>
          </w:tcPr>
          <w:p>
            <w:pPr>
              <w:spacing w:after="0"/>
              <w:rPr>
                <w:sz w:val="24"/>
                <w:szCs w:val="24"/>
                <w:color w:val="auto"/>
              </w:rPr>
            </w:pPr>
          </w:p>
        </w:tc>
      </w:tr>
      <w:tr>
        <w:trPr>
          <w:trHeight w:val="214"/>
        </w:trPr>
        <w:tc>
          <w:tcPr>
            <w:tcW w:w="2020" w:type="dxa"/>
            <w:vAlign w:val="bottom"/>
          </w:tcPr>
          <w:p>
            <w:pPr>
              <w:spacing w:after="0"/>
              <w:rPr>
                <w:sz w:val="18"/>
                <w:szCs w:val="18"/>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Vista, CA 92081</w:t>
            </w:r>
          </w:p>
        </w:tc>
        <w:tc>
          <w:tcPr>
            <w:tcW w:w="1640" w:type="dxa"/>
            <w:vAlign w:val="bottom"/>
          </w:tcPr>
          <w:p>
            <w:pPr>
              <w:spacing w:after="0"/>
              <w:rPr>
                <w:sz w:val="18"/>
                <w:szCs w:val="18"/>
                <w:color w:val="auto"/>
              </w:rPr>
            </w:pPr>
          </w:p>
        </w:tc>
      </w:tr>
      <w:tr>
        <w:trPr>
          <w:trHeight w:val="190"/>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40" w:type="dxa"/>
            <w:vAlign w:val="bottom"/>
          </w:tcPr>
          <w:p>
            <w:pPr>
              <w:spacing w:after="0"/>
              <w:rPr>
                <w:sz w:val="16"/>
                <w:szCs w:val="16"/>
                <w:color w:val="auto"/>
              </w:rPr>
            </w:pPr>
          </w:p>
        </w:tc>
      </w:tr>
      <w:tr>
        <w:trPr>
          <w:trHeight w:val="377"/>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(760) 560-1501</w:t>
            </w:r>
          </w:p>
        </w:tc>
        <w:tc>
          <w:tcPr>
            <w:tcW w:w="1640" w:type="dxa"/>
            <w:vAlign w:val="bottom"/>
          </w:tcPr>
          <w:p>
            <w:pPr>
              <w:spacing w:after="0"/>
              <w:rPr>
                <w:sz w:val="24"/>
                <w:szCs w:val="24"/>
                <w:color w:val="auto"/>
              </w:rPr>
            </w:pPr>
          </w:p>
        </w:tc>
      </w:tr>
      <w:tr>
        <w:trPr>
          <w:trHeight w:val="190"/>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40" w:type="dxa"/>
            <w:vAlign w:val="bottom"/>
          </w:tcPr>
          <w:p>
            <w:pPr>
              <w:spacing w:after="0"/>
              <w:rPr>
                <w:sz w:val="16"/>
                <w:szCs w:val="16"/>
                <w:color w:val="auto"/>
              </w:rPr>
            </w:pPr>
          </w:p>
        </w:tc>
      </w:tr>
      <w:tr>
        <w:trPr>
          <w:trHeight w:val="390"/>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tc>
        <w:tc>
          <w:tcPr>
            <w:tcW w:w="1640" w:type="dxa"/>
            <w:vAlign w:val="bottom"/>
          </w:tcPr>
          <w:p>
            <w:pPr>
              <w:spacing w:after="0"/>
              <w:rPr>
                <w:sz w:val="24"/>
                <w:szCs w:val="24"/>
                <w:color w:val="auto"/>
              </w:rPr>
            </w:pPr>
          </w:p>
        </w:tc>
      </w:tr>
      <w:tr>
        <w:trPr>
          <w:trHeight w:val="190"/>
        </w:trPr>
        <w:tc>
          <w:tcPr>
            <w:tcW w:w="2020" w:type="dxa"/>
            <w:vAlign w:val="bottom"/>
          </w:tcPr>
          <w:p>
            <w:pPr>
              <w:spacing w:after="0"/>
              <w:rPr>
                <w:sz w:val="16"/>
                <w:szCs w:val="16"/>
                <w:color w:val="auto"/>
              </w:rPr>
            </w:pPr>
          </w:p>
        </w:tc>
        <w:tc>
          <w:tcPr>
            <w:tcW w:w="49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40" w:type="dxa"/>
            <w:vAlign w:val="bottom"/>
          </w:tcPr>
          <w:p>
            <w:pPr>
              <w:spacing w:after="0"/>
              <w:rPr>
                <w:sz w:val="16"/>
                <w:szCs w:val="16"/>
                <w:color w:val="auto"/>
              </w:rPr>
            </w:pPr>
          </w:p>
        </w:tc>
      </w:tr>
    </w:tbl>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31" w:lineRule="exact"/>
        <w:rPr>
          <w:sz w:val="24"/>
          <w:szCs w:val="24"/>
          <w:color w:val="auto"/>
        </w:rPr>
      </w:pPr>
    </w:p>
    <w:tbl>
      <w:tblPr>
        <w:tblLayout w:type="fixed"/>
        <w:tblInd w:w="38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2"/>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14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4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4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9" w:right="39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02"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On January 19, 2023, the board of directors (the “Board”) of Exagen Inc. (the “Company”) adopted an amendment (the “Bylaws Amendment”) to the amended and restated bylaws of the Company to provide that the Board may appoint from its members an executive chairperson of the Board and that the executive chairperson, if any, shall also be the chairperson of the Board and an officer of the Company. The Bylaws Amendment also provides that the Board may empower the executive chairperson to appoint, such other officers and agents as the business of the Company may require.</w:t>
      </w:r>
    </w:p>
    <w:p>
      <w:pPr>
        <w:spacing w:after="0" w:line="181" w:lineRule="exact"/>
        <w:rPr>
          <w:sz w:val="20"/>
          <w:szCs w:val="20"/>
          <w:color w:val="auto"/>
        </w:rPr>
      </w:pPr>
    </w:p>
    <w:p>
      <w:pPr>
        <w:ind w:right="76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Bylaws Amendment does not purport to be complete, and is qualified in its entirety by the text of the Bylaw Amendment, which is filed as Exhibit 3.1 to this Current Report on Form 8-K and is incorporated herein by reference.</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 issued a press release on January 23, 2023, announcing that Tina Nova, Ph.D. has been appointed as executive chairperson of the Board, replacing Brian Birk (who shall continue to serve as member of the Board) as chairperson of the Board. A copy of the press release is attached as Exhibit 99.1 hereto and is incorporated by reference herein.</w:t>
      </w:r>
    </w:p>
    <w:p>
      <w:pPr>
        <w:spacing w:after="0" w:line="177" w:lineRule="exact"/>
        <w:rPr>
          <w:sz w:val="20"/>
          <w:szCs w:val="20"/>
          <w:color w:val="auto"/>
        </w:rPr>
      </w:pPr>
    </w:p>
    <w:p>
      <w:pPr>
        <w:jc w:val="both"/>
        <w:ind w:right="80" w:firstLine="324"/>
        <w:spacing w:after="0" w:line="250" w:lineRule="auto"/>
        <w:rPr>
          <w:sz w:val="20"/>
          <w:szCs w:val="20"/>
          <w:color w:val="auto"/>
        </w:rPr>
      </w:pPr>
      <w:r>
        <w:rPr>
          <w:rFonts w:ascii="Times New Roman" w:cs="Times New Roman" w:eastAsia="Times New Roman" w:hAnsi="Times New Roman"/>
          <w:sz w:val="18"/>
          <w:szCs w:val="18"/>
          <w:color w:val="auto"/>
        </w:rPr>
        <w:t>The information in the press release is being furnished, not filed, pursuant to Item 7.01 of Form 8-K. Accordingly, the information in Item 7.01 of this Current Report, including Exhibit 99.1, will not be incorporated by reference into any registration statement filed by the Company under the Securities Act of 1933, as amended, unless specifically identified therein as being incorporated by reference.</w:t>
      </w:r>
    </w:p>
    <w:p>
      <w:pPr>
        <w:spacing w:after="0" w:line="17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3"/>
                <w:szCs w:val="13"/>
                <w:color w:val="auto"/>
              </w:rPr>
            </w:pPr>
          </w:p>
        </w:tc>
        <w:tc>
          <w:tcPr>
            <w:tcW w:w="9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80" w:type="dxa"/>
            <w:vAlign w:val="bottom"/>
          </w:tcPr>
          <w:p>
            <w:pPr>
              <w:spacing w:after="0"/>
              <w:rPr>
                <w:sz w:val="16"/>
                <w:szCs w:val="16"/>
                <w:color w:val="auto"/>
              </w:rPr>
            </w:pPr>
          </w:p>
        </w:tc>
        <w:tc>
          <w:tcPr>
            <w:tcW w:w="9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20" w:type="dxa"/>
            <w:vAlign w:val="bottom"/>
            <w:tcBorders>
              <w:top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180" w:type="dxa"/>
            <w:vAlign w:val="bottom"/>
            <w:tcBorders>
              <w:top w:val="single" w:sz="8" w:color="auto"/>
              <w:bottom w:val="single" w:sz="8" w:color="0000FF"/>
            </w:tcBorders>
            <w:gridSpan w:val="2"/>
          </w:tcPr>
          <w:p>
            <w:pPr>
              <w:spacing w:after="0" w:line="188" w:lineRule="exact"/>
              <w:rPr>
                <w:sz w:val="20"/>
                <w:szCs w:val="20"/>
                <w:color w:val="auto"/>
              </w:rPr>
            </w:pPr>
            <w:r>
              <w:rPr>
                <w:rFonts w:ascii="Times New Roman" w:cs="Times New Roman" w:eastAsia="Times New Roman" w:hAnsi="Times New Roman"/>
                <w:sz w:val="18"/>
                <w:szCs w:val="18"/>
                <w:color w:val="0000FF"/>
                <w:w w:val="99"/>
              </w:rPr>
              <w:t>Amendment to Amended and Restated Bylaws, dated January 19, 2023.</w:t>
            </w:r>
          </w:p>
        </w:tc>
        <w:tc>
          <w:tcPr>
            <w:tcW w:w="4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046"/>
        </w:trPr>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283" w:lineRule="exact"/>
        <w:rPr>
          <w:sz w:val="20"/>
          <w:szCs w:val="20"/>
          <w:color w:val="auto"/>
        </w:rPr>
      </w:pPr>
    </w:p>
    <w:p>
      <w:pPr>
        <w:ind w:left="20"/>
        <w:spacing w:after="0"/>
        <w:tabs>
          <w:tab w:leader="none" w:pos="4840" w:val="left"/>
          <w:tab w:leader="none" w:pos="5440" w:val="left"/>
        </w:tabs>
        <w:rPr>
          <w:sz w:val="20"/>
          <w:szCs w:val="20"/>
          <w:color w:val="auto"/>
        </w:rPr>
      </w:pPr>
      <w:r>
        <w:rPr>
          <w:rFonts w:ascii="Times New Roman" w:cs="Times New Roman" w:eastAsia="Times New Roman" w:hAnsi="Times New Roman"/>
          <w:sz w:val="18"/>
          <w:szCs w:val="18"/>
          <w:color w:val="auto"/>
        </w:rPr>
        <w:t>Date: January 23,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34290</wp:posOffset>
            </wp:positionV>
            <wp:extent cx="2648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Kamal Adawi</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920"/>
          </w:cols>
          <w:pgMar w:left="320" w:top="900" w:right="659" w:bottom="1440" w:gutter="0" w:footer="0" w:header="0"/>
        </w:sectPr>
      </w:pPr>
    </w:p>
    <w:bookmarkStart w:id="3" w:name="page4"/>
    <w:bookmarkEnd w:id="3"/>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AMENDED AND RESTATED BYLAWS 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Pursuant to Article X of the Amended and Restated Bylaws (the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of Exagen Inc.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the Bylaws are hereby amended as follows: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3.3 of the Bylaws is hereby amended and restated in its entirety, as follows:</w:t>
      </w:r>
    </w:p>
    <w:p>
      <w:pPr>
        <w:spacing w:after="0" w:line="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ELECTION, QUALIFICATION AND TERM OF OFFICE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without limitation, a director elected to fill a vacancy, shall hold office until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expiration of the term for which elected and until such director’s successor is elected and qualified or until such director’s earlier death, resignation or removal. Directors need not be stockholders unless so required by the certificate of incorporation or these bylaws. The Board may appoint from its members, an executive chairperson of the Board, a chairperson of the Board and a vice chairperson of the Board. The executive chairperson of the Board, if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any, shall also be the chairperson of the Board. Each of the executive chairperson of the Board, chairperson of the Board and vice chairperson of the Board, if any, shall perform such duties and possess such powers as are assigned by the Board. The certificate of incorporation or these bylaws may prescribe other qualifications for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 of the Bylaws is hereby amended and restated in its entirety, as follows:</w:t>
      </w:r>
    </w:p>
    <w:p>
      <w:pPr>
        <w:spacing w:after="0" w:line="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OFFICERS.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officers of the Corporation shall be a president and a secretary. The Corporation may also have, at the discretion of the Board, an executive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chairperson,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5.3 of the Bylaws is hereby amended and restated in its entirety, as follows:</w:t>
      </w:r>
    </w:p>
    <w:p>
      <w:pPr>
        <w:spacing w:after="0" w:line="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SUBORDINATE OFFICERS.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appoint, or empower the executive chairperson or chief executive officer or, in the absence of an executive chairperson and a chief</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400"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7"/>
          <w:szCs w:val="17"/>
          <w:color w:val="auto"/>
        </w:rPr>
        <w:t>Adopted: January 19, 2023</w:t>
      </w:r>
    </w:p>
    <w:p>
      <w:pPr>
        <w:sectPr>
          <w:pgSz w:w="11900" w:h="16838" w:orient="portrait"/>
          <w:cols w:equalWidth="0" w:num="1">
            <w:col w:w="11240"/>
          </w:cols>
          <w:pgMar w:left="320" w:top="1440" w:right="339" w:bottom="1440" w:gutter="0" w:footer="0" w:header="0"/>
        </w:sectPr>
      </w:pPr>
    </w:p>
    <w:bookmarkStart w:id="4" w:name="page5"/>
    <w:bookmarkEnd w:id="4"/>
    <w:p>
      <w:pPr>
        <w:spacing w:after="0" w:line="173"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99.1</w:t>
      </w:r>
    </w:p>
    <w:p>
      <w:pPr>
        <w:spacing w:after="0" w:line="20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Exagen Inc. Elects Tina S. Nova, Ph.D. as Executve Chair of the Board of Directors</w:t>
      </w:r>
    </w:p>
    <w:p>
      <w:pPr>
        <w:spacing w:after="0" w:line="174" w:lineRule="exact"/>
        <w:rPr>
          <w:sz w:val="20"/>
          <w:szCs w:val="20"/>
          <w:color w:val="auto"/>
        </w:rPr>
      </w:pPr>
    </w:p>
    <w:p>
      <w:pPr>
        <w:spacing w:after="0"/>
        <w:rPr>
          <w:sz w:val="20"/>
          <w:szCs w:val="20"/>
          <w:color w:val="auto"/>
        </w:rPr>
      </w:pPr>
      <w:r>
        <w:rPr>
          <w:rFonts w:ascii="Calibri" w:cs="Calibri" w:eastAsia="Calibri" w:hAnsi="Calibri"/>
          <w:sz w:val="22"/>
          <w:szCs w:val="22"/>
          <w:color w:val="auto"/>
        </w:rPr>
        <w:t>January 23, 2023 San Diego, CA</w:t>
      </w:r>
    </w:p>
    <w:p>
      <w:pPr>
        <w:spacing w:after="0" w:line="201" w:lineRule="exact"/>
        <w:rPr>
          <w:sz w:val="20"/>
          <w:szCs w:val="20"/>
          <w:color w:val="auto"/>
        </w:rPr>
      </w:pPr>
    </w:p>
    <w:p>
      <w:pPr>
        <w:ind w:right="140"/>
        <w:spacing w:after="0" w:line="225" w:lineRule="auto"/>
        <w:rPr>
          <w:sz w:val="20"/>
          <w:szCs w:val="20"/>
          <w:color w:val="auto"/>
        </w:rPr>
      </w:pPr>
      <w:r>
        <w:rPr>
          <w:rFonts w:ascii="Calibri" w:cs="Calibri" w:eastAsia="Calibri" w:hAnsi="Calibri"/>
          <w:sz w:val="22"/>
          <w:szCs w:val="22"/>
          <w:color w:val="auto"/>
        </w:rPr>
        <w:t>Exagen Inc. (Nasdaq: XGN), a leading provider of autoimmune testng solutons, announced today that Tina S. Nova, Ph.D. has been elected as Executve Chair of the Exagen Board of Directors, efectve January 19, 2023. Dr. Nova succeeds Brian Birk, who has served as Chair of the Board of Directors at Exagen since 2018, and who will remain a member of the Board.</w:t>
      </w:r>
    </w:p>
    <w:p>
      <w:pPr>
        <w:spacing w:after="0" w:line="203" w:lineRule="exact"/>
        <w:rPr>
          <w:sz w:val="20"/>
          <w:szCs w:val="20"/>
          <w:color w:val="auto"/>
        </w:rPr>
      </w:pPr>
    </w:p>
    <w:p>
      <w:pPr>
        <w:ind w:right="300"/>
        <w:spacing w:after="0" w:line="223" w:lineRule="auto"/>
        <w:rPr>
          <w:sz w:val="20"/>
          <w:szCs w:val="20"/>
          <w:color w:val="auto"/>
        </w:rPr>
      </w:pPr>
      <w:r>
        <w:rPr>
          <w:rFonts w:ascii="Calibri" w:cs="Calibri" w:eastAsia="Calibri" w:hAnsi="Calibri"/>
          <w:sz w:val="22"/>
          <w:szCs w:val="22"/>
          <w:color w:val="auto"/>
        </w:rPr>
        <w:t>Dr. Nova currently serves as President of Veracyte's (Nasdaq: VCYT) U.S. CLIA business where she leads all aspects of the company’s broad menu of diagnostc laboratory tests. She previously held the positon of President &amp; CEO of Decipher Biosciences untl March 2021, when Veracyte purchased the organizaton for $600 million. She has held numerous leadership roles in the life science industry, which include CEO of Molecular Stethoscope and SVP &amp; General Manager of Oncology at Illumina. Dr. Nova was the co-founder, President &amp; CEO of Genoptx, which was purchased by Novarts AG for $470 million in 2011. She has also held senior positons with Nanogen, Inc., Ligand Pharmaceutcals, Inc. and Hybritech.</w:t>
      </w:r>
    </w:p>
    <w:p>
      <w:pPr>
        <w:spacing w:after="0" w:line="217" w:lineRule="exact"/>
        <w:rPr>
          <w:sz w:val="20"/>
          <w:szCs w:val="20"/>
          <w:color w:val="auto"/>
        </w:rPr>
      </w:pPr>
    </w:p>
    <w:p>
      <w:pPr>
        <w:ind w:right="160"/>
        <w:spacing w:after="0" w:line="222" w:lineRule="auto"/>
        <w:rPr>
          <w:sz w:val="20"/>
          <w:szCs w:val="20"/>
          <w:color w:val="auto"/>
        </w:rPr>
      </w:pPr>
      <w:r>
        <w:rPr>
          <w:rFonts w:ascii="Calibri" w:cs="Calibri" w:eastAsia="Calibri" w:hAnsi="Calibri"/>
          <w:sz w:val="22"/>
          <w:szCs w:val="22"/>
          <w:color w:val="auto"/>
        </w:rPr>
        <w:t>“I am excited to welcome Tina as Executve Chair at Exagen. Her broad experience with innovatve healthcare companies and leadership in growing organizatons with proprietary technology will be invaluable to Exagen as we look to expand our positon as the premier provider of autoimmune testng solutons,” said John Aballi, President and CEO of Exagen. “I have had the pleasure of working with Tina for almost 15 years, and I’m thrilled to work closely with her again as we contnue to shape the future of Exagen.”</w:t>
      </w:r>
    </w:p>
    <w:p>
      <w:pPr>
        <w:spacing w:after="0" w:line="216" w:lineRule="exact"/>
        <w:rPr>
          <w:sz w:val="20"/>
          <w:szCs w:val="20"/>
          <w:color w:val="auto"/>
        </w:rPr>
      </w:pPr>
    </w:p>
    <w:p>
      <w:pPr>
        <w:ind w:right="20"/>
        <w:spacing w:after="0" w:line="221" w:lineRule="auto"/>
        <w:rPr>
          <w:sz w:val="20"/>
          <w:szCs w:val="20"/>
          <w:color w:val="auto"/>
        </w:rPr>
      </w:pPr>
      <w:r>
        <w:rPr>
          <w:rFonts w:ascii="Calibri" w:cs="Calibri" w:eastAsia="Calibri" w:hAnsi="Calibri"/>
          <w:sz w:val="22"/>
          <w:szCs w:val="22"/>
          <w:color w:val="auto"/>
        </w:rPr>
        <w:t>“I am honored to have been elected Executve Chair and I’m excited to take on this additonal leadership role at Exagen,” said Dr. Nova. “I also want to thank Brian Birk, who served as the company’s Chair since 2018. Brian was instrumental in growing the organizaton into a leader in autoimmune testng and I am pleased that he will remain a member of the Board.”</w:t>
      </w:r>
    </w:p>
    <w:p>
      <w:pPr>
        <w:spacing w:after="0" w:line="217" w:lineRule="exact"/>
        <w:rPr>
          <w:sz w:val="20"/>
          <w:szCs w:val="20"/>
          <w:color w:val="auto"/>
        </w:rPr>
      </w:pPr>
    </w:p>
    <w:p>
      <w:pPr>
        <w:ind w:right="340"/>
        <w:spacing w:after="0" w:line="225" w:lineRule="auto"/>
        <w:rPr>
          <w:sz w:val="20"/>
          <w:szCs w:val="20"/>
          <w:color w:val="auto"/>
        </w:rPr>
      </w:pPr>
      <w:r>
        <w:rPr>
          <w:rFonts w:ascii="Calibri" w:cs="Calibri" w:eastAsia="Calibri" w:hAnsi="Calibri"/>
          <w:sz w:val="22"/>
          <w:szCs w:val="22"/>
          <w:color w:val="auto"/>
        </w:rPr>
        <w:t>Dr. Nova currently serves on the Board of Azenta (Nasdaq: AZTA) and previously served on the Board of Directors of Veracyte and Arena Pharmaceutcals. Dr. Nova holds a Ph.D. in Biochemistry from the University of California, Riverside and a B.S. in Biological Sciences from the University of California, Irvine.</w:t>
      </w:r>
    </w:p>
    <w:p>
      <w:pPr>
        <w:spacing w:after="0" w:line="19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Exagen</w:t>
      </w:r>
    </w:p>
    <w:p>
      <w:pPr>
        <w:spacing w:after="0" w:line="270" w:lineRule="exact"/>
        <w:rPr>
          <w:sz w:val="20"/>
          <w:szCs w:val="20"/>
          <w:color w:val="auto"/>
        </w:rPr>
      </w:pPr>
    </w:p>
    <w:p>
      <w:pPr>
        <w:ind w:right="100"/>
        <w:spacing w:after="0" w:line="224" w:lineRule="auto"/>
        <w:rPr>
          <w:sz w:val="20"/>
          <w:szCs w:val="20"/>
          <w:color w:val="auto"/>
        </w:rPr>
      </w:pPr>
      <w:r>
        <w:rPr>
          <w:rFonts w:ascii="Calibri" w:cs="Calibri" w:eastAsia="Calibri" w:hAnsi="Calibri"/>
          <w:sz w:val="22"/>
          <w:szCs w:val="22"/>
          <w:color w:val="auto"/>
        </w:rPr>
        <w:t>Exagen (Nasdaq: XGN) is a leading provider of autoimmune diagnostc, prognostc, and monitoring testng solutons. Exagen is a patent focused, discovery driven organizaton built on the success of AVISE testng and is investng in its product pipeline to support patents throughout their autoimmune diagnosis and treatment journeys. The goal at Exagen is to assist patents, physicians, and payors by enabling precision medicine. Exagen is located in San Diego County with clinical and research and development laboratories in Vista, CA.</w:t>
      </w:r>
    </w:p>
    <w:p>
      <w:pPr>
        <w:sectPr>
          <w:pgSz w:w="11900" w:h="16838" w:orient="portrait"/>
          <w:cols w:equalWidth="0" w:num="1">
            <w:col w:w="11240"/>
          </w:cols>
          <w:pgMar w:left="320" w:top="1440" w:right="339" w:bottom="1440" w:gutter="0" w:footer="0" w:header="0"/>
        </w:sectPr>
      </w:pPr>
    </w:p>
    <w:bookmarkStart w:id="5" w:name="page6"/>
    <w:bookmarkEnd w:id="5"/>
    <w:p>
      <w:pPr>
        <w:spacing w:after="0" w:line="173" w:lineRule="exact"/>
        <w:rPr>
          <w:sz w:val="20"/>
          <w:szCs w:val="20"/>
          <w:color w:val="auto"/>
        </w:rPr>
      </w:pPr>
    </w:p>
    <w:p>
      <w:pPr>
        <w:spacing w:after="0"/>
        <w:rPr>
          <w:sz w:val="20"/>
          <w:szCs w:val="20"/>
          <w:color w:val="auto"/>
        </w:rPr>
      </w:pPr>
      <w:r>
        <w:rPr>
          <w:rFonts w:ascii="Calibri" w:cs="Calibri" w:eastAsia="Calibri" w:hAnsi="Calibri"/>
          <w:sz w:val="22"/>
          <w:szCs w:val="22"/>
          <w:color w:val="auto"/>
        </w:rPr>
        <w:t>For more informaton, please visit Exagen.com and follow @ExagenInc on Twiter.</w:t>
      </w:r>
    </w:p>
    <w:p>
      <w:pPr>
        <w:spacing w:after="0" w:line="25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282" w:lineRule="exact"/>
        <w:rPr>
          <w:sz w:val="20"/>
          <w:szCs w:val="20"/>
          <w:color w:val="auto"/>
        </w:rPr>
      </w:pPr>
    </w:p>
    <w:p>
      <w:pPr>
        <w:jc w:val="both"/>
        <w:ind w:right="80"/>
        <w:spacing w:after="0" w:line="236" w:lineRule="auto"/>
        <w:rPr>
          <w:sz w:val="20"/>
          <w:szCs w:val="20"/>
          <w:color w:val="auto"/>
        </w:rPr>
      </w:pPr>
      <w:r>
        <w:rPr>
          <w:rFonts w:ascii="Calibri" w:cs="Calibri" w:eastAsia="Calibri" w:hAnsi="Calibri"/>
          <w:sz w:val="21"/>
          <w:szCs w:val="21"/>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and strategies; the potental utlity and efectveness</w:t>
      </w:r>
    </w:p>
    <w:p>
      <w:pPr>
        <w:spacing w:after="0" w:line="1" w:lineRule="exact"/>
        <w:rPr>
          <w:sz w:val="20"/>
          <w:szCs w:val="20"/>
          <w:color w:val="auto"/>
        </w:rPr>
      </w:pPr>
    </w:p>
    <w:p>
      <w:pPr>
        <w:spacing w:after="0" w:line="232" w:lineRule="auto"/>
        <w:rPr>
          <w:sz w:val="20"/>
          <w:szCs w:val="20"/>
          <w:color w:val="auto"/>
        </w:rPr>
      </w:pPr>
      <w:r>
        <w:rPr>
          <w:rFonts w:ascii="Calibri" w:cs="Calibri" w:eastAsia="Calibri" w:hAnsi="Calibri"/>
          <w:sz w:val="21"/>
          <w:szCs w:val="21"/>
          <w:color w:val="auto"/>
        </w:rPr>
        <w:t>of Exagen's services and testng solutons that are currently available or in its development pipeline; the expected benefts of Dr. Nova’s positon with Exagen; and Exagen's potental growth and success and its ability to contnue to grow and succeed. The inclusion of forward-looking statements should not be regarded as a representaton by Exagen that any of its plans will be achieved. Actual results may difer from those set forth in this press release due to the risks and uncertaintes inherent in Exagen’s business, including, without limitaton: the COVID-19 pandemic may contnue to adversely afect its business, fnancial conditon and results of operatons, including as a result of slowdown in its operatons as well as those of its suppliers and courier services, impeding patent movement and interruptons to healthcare services causing a decrease in test volumes, disruptons to the supply chain of material needed for its tests causing an increase in cost per test, its sales and commercializaton actvites and its ability to receive specimens and perform or deliver the results from its tests, delays in reimbursement and coverage decisions from Medicare and third-party payors and in interactons with regulatory authorites, and delays in ongoing and planned clinical trials involving its tests; Exagen’s commercial success depends upon ataining and maintaining signifcant market acceptance of its testng products and promoted therapeutcs among rheumatologists, patents, third-party payors and others in the medical community; Exagen’s ability to successfully execute on its business strategies; third-party payors not providing coverage and adequate reimbursement for Exagen’s testng products or promoted therapeutcs, including Exagen's ability to collect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 Annual Report on Form 10-K for the year ended December 31, 2021 and any subsequent flings with the SEC. You are cautoned not to place undue reliance on these forward-looking statements, which speak only as of the date hereof,</w:t>
      </w:r>
    </w:p>
    <w:p>
      <w:pPr>
        <w:spacing w:after="0" w:line="3" w:lineRule="exact"/>
        <w:rPr>
          <w:sz w:val="20"/>
          <w:szCs w:val="20"/>
          <w:color w:val="auto"/>
        </w:rPr>
      </w:pPr>
    </w:p>
    <w:p>
      <w:pPr>
        <w:jc w:val="both"/>
        <w:ind w:right="20"/>
        <w:spacing w:after="0" w:line="221" w:lineRule="auto"/>
        <w:rPr>
          <w:sz w:val="20"/>
          <w:szCs w:val="20"/>
          <w:color w:val="auto"/>
        </w:rPr>
      </w:pPr>
      <w:r>
        <w:rPr>
          <w:rFonts w:ascii="Calibri" w:cs="Calibri" w:eastAsia="Calibri" w:hAnsi="Calibri"/>
          <w:sz w:val="22"/>
          <w:szCs w:val="22"/>
          <w:color w:val="auto"/>
        </w:rPr>
        <w:t>and Exagen undertakes no 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Contacts: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Investors Relatons</w:t>
      </w:r>
    </w:p>
    <w:p>
      <w:pPr>
        <w:spacing w:after="0" w:line="231" w:lineRule="auto"/>
        <w:rPr>
          <w:sz w:val="20"/>
          <w:szCs w:val="20"/>
          <w:color w:val="auto"/>
        </w:rPr>
      </w:pPr>
      <w:r>
        <w:rPr>
          <w:rFonts w:ascii="Calibri" w:cs="Calibri" w:eastAsia="Calibri" w:hAnsi="Calibri"/>
          <w:sz w:val="22"/>
          <w:szCs w:val="22"/>
          <w:color w:val="auto"/>
        </w:rPr>
        <w:t>Exagen Inc.</w:t>
      </w:r>
    </w:p>
    <w:p>
      <w:pPr>
        <w:spacing w:after="0" w:line="217" w:lineRule="auto"/>
        <w:rPr>
          <w:sz w:val="20"/>
          <w:szCs w:val="20"/>
          <w:color w:val="auto"/>
        </w:rPr>
      </w:pPr>
      <w:r>
        <w:rPr>
          <w:rFonts w:ascii="Calibri" w:cs="Calibri" w:eastAsia="Calibri" w:hAnsi="Calibri"/>
          <w:sz w:val="22"/>
          <w:szCs w:val="22"/>
          <w:color w:val="auto"/>
        </w:rPr>
        <w:t>Ryan Douglas</w:t>
      </w:r>
    </w:p>
    <w:p>
      <w:pPr>
        <w:spacing w:after="0" w:line="227" w:lineRule="auto"/>
        <w:rPr>
          <w:sz w:val="20"/>
          <w:szCs w:val="20"/>
          <w:color w:val="auto"/>
        </w:rPr>
      </w:pPr>
      <w:r>
        <w:rPr>
          <w:rFonts w:ascii="Calibri" w:cs="Calibri" w:eastAsia="Calibri" w:hAnsi="Calibri"/>
          <w:sz w:val="22"/>
          <w:szCs w:val="22"/>
          <w:color w:val="auto"/>
        </w:rPr>
        <w:t>rdouglas@exagen.com</w:t>
      </w:r>
    </w:p>
    <w:p>
      <w:pPr>
        <w:spacing w:after="0" w:line="219" w:lineRule="auto"/>
        <w:rPr>
          <w:sz w:val="20"/>
          <w:szCs w:val="20"/>
          <w:color w:val="auto"/>
        </w:rPr>
      </w:pPr>
      <w:r>
        <w:rPr>
          <w:rFonts w:ascii="Calibri" w:cs="Calibri" w:eastAsia="Calibri" w:hAnsi="Calibri"/>
          <w:sz w:val="22"/>
          <w:szCs w:val="22"/>
          <w:color w:val="auto"/>
        </w:rPr>
        <w:t>760.560.1525</w:t>
      </w:r>
    </w:p>
    <w:p>
      <w:pPr>
        <w:sectPr>
          <w:pgSz w:w="11900" w:h="16838" w:orient="portrait"/>
          <w:cols w:equalWidth="0" w:num="1">
            <w:col w:w="11240"/>
          </w:cols>
          <w:pgMar w:left="320" w:top="1440" w:right="339" w:bottom="1440" w:gutter="0" w:footer="0" w:header="0"/>
        </w:sectPr>
      </w:pPr>
    </w:p>
    <w:bookmarkStart w:id="6" w:name="page7"/>
    <w:bookmarkEnd w:id="6"/>
    <w:p>
      <w:pPr>
        <w:spacing w:after="0" w:line="17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Company</w:t>
      </w:r>
    </w:p>
    <w:p>
      <w:pPr>
        <w:spacing w:after="0" w:line="217" w:lineRule="auto"/>
        <w:rPr>
          <w:sz w:val="20"/>
          <w:szCs w:val="20"/>
          <w:color w:val="auto"/>
        </w:rPr>
      </w:pPr>
      <w:r>
        <w:rPr>
          <w:rFonts w:ascii="Calibri" w:cs="Calibri" w:eastAsia="Calibri" w:hAnsi="Calibri"/>
          <w:sz w:val="22"/>
          <w:szCs w:val="22"/>
          <w:color w:val="auto"/>
        </w:rPr>
        <w:t>Exagen Inc.</w:t>
      </w:r>
    </w:p>
    <w:p>
      <w:pPr>
        <w:spacing w:after="0" w:line="227" w:lineRule="auto"/>
        <w:rPr>
          <w:sz w:val="20"/>
          <w:szCs w:val="20"/>
          <w:color w:val="auto"/>
        </w:rPr>
      </w:pPr>
      <w:r>
        <w:rPr>
          <w:rFonts w:ascii="Calibri" w:cs="Calibri" w:eastAsia="Calibri" w:hAnsi="Calibri"/>
          <w:sz w:val="22"/>
          <w:szCs w:val="22"/>
          <w:color w:val="auto"/>
        </w:rPr>
        <w:t>Kamal Adawi, Chief Financial Ofcer</w:t>
      </w:r>
    </w:p>
    <w:p>
      <w:pPr>
        <w:spacing w:after="0" w:line="219" w:lineRule="auto"/>
        <w:rPr>
          <w:sz w:val="20"/>
          <w:szCs w:val="20"/>
          <w:color w:val="auto"/>
        </w:rPr>
      </w:pPr>
      <w:r>
        <w:rPr>
          <w:rFonts w:ascii="Calibri" w:cs="Calibri" w:eastAsia="Calibri" w:hAnsi="Calibri"/>
          <w:sz w:val="22"/>
          <w:szCs w:val="22"/>
          <w:color w:val="auto"/>
        </w:rPr>
        <w:t>kadawi@exagen.com</w:t>
      </w:r>
    </w:p>
    <w:p>
      <w:pPr>
        <w:spacing w:after="0" w:line="229" w:lineRule="auto"/>
        <w:rPr>
          <w:sz w:val="20"/>
          <w:szCs w:val="20"/>
          <w:color w:val="auto"/>
        </w:rPr>
      </w:pPr>
      <w:r>
        <w:rPr>
          <w:rFonts w:ascii="Calibri" w:cs="Calibri" w:eastAsia="Calibri" w:hAnsi="Calibri"/>
          <w:sz w:val="22"/>
          <w:szCs w:val="22"/>
          <w:color w:val="auto"/>
        </w:rPr>
        <w:t>760.477.5514</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2023-01-23T08:02:58Z</dcterms:created>
  <dcterms:modified xsi:type="dcterms:W3CDTF">2023-01-23T08:02:58Z</dcterms:modified>
</cp:coreProperties>
</file>