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Filed pursuant to Rule 424(b)(5)</w:t>
      </w:r>
    </w:p>
    <w:p>
      <w:pPr>
        <w:pStyle w:val="TextBody"/>
        <w:bidi w:val="0"/>
        <w:spacing w:lineRule="auto" w:line="288" w:before="0" w:after="180"/>
        <w:jc w:val="right"/>
        <w:rPr>
          <w:rFonts w:ascii="Times New Roman;sans-serif" w:hAnsi="Times New Roman;sans-serif"/>
          <w:b/>
          <w:color w:val="000000"/>
          <w:sz w:val="20"/>
        </w:rPr>
      </w:pPr>
      <w:r>
        <w:rPr>
          <w:rFonts w:ascii="Times New Roman;sans-serif" w:hAnsi="Times New Roman;sans-serif"/>
          <w:b/>
          <w:color w:val="000000"/>
          <w:sz w:val="20"/>
        </w:rPr>
        <w:t>Registration No. 333-275632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PROSPECTUS SUPPLEMENT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(To Prospectus Dated November 29, 2023)</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$10,223,534</w:t>
      </w:r>
    </w:p>
    <w:p>
      <w:pPr>
        <w:pStyle w:val="TextBody"/>
        <w:bidi w:val="0"/>
        <w:spacing w:before="0" w:after="60"/>
        <w:jc w:val="center"/>
        <w:rPr/>
      </w:pPr>
      <w:r>
        <w:rPr/>
        <w:drawing>
          <wp:inline distT="0" distB="0" distL="0" distR="0">
            <wp:extent cx="2743200" cy="1009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1009650"/>
                    </a:xfrm>
                    <a:prstGeom prst="rect">
                      <a:avLst/>
                    </a:prstGeom>
                  </pic:spPr>
                </pic:pic>
              </a:graphicData>
            </a:graphic>
          </wp:inline>
        </w:drawing>
      </w:r>
    </w:p>
    <w:p>
      <w:pPr>
        <w:pStyle w:val="TextBody"/>
        <w:bidi w:val="0"/>
        <w:spacing w:lineRule="auto" w:line="288" w:before="0" w:after="120"/>
        <w:jc w:val="center"/>
        <w:rPr>
          <w:rFonts w:ascii="Times New Roman;sans-serif" w:hAnsi="Times New Roman;sans-serif"/>
          <w:b/>
          <w:color w:val="000000"/>
          <w:sz w:val="32"/>
        </w:rPr>
      </w:pPr>
      <w:r>
        <w:rPr>
          <w:rFonts w:ascii="Times New Roman;sans-serif" w:hAnsi="Times New Roman;sans-serif"/>
          <w:b/>
          <w:color w:val="000000"/>
          <w:sz w:val="32"/>
        </w:rPr>
        <w:t>COMMON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15, 2022, we entered into a sales agreement, as amended on November 17, 2023, or the sales agreement, with Cowen and Company LLC, or TD Cowen, relating to shares of our common stock offered by this prospectus supplement and the accompanying prospectus. In accordance with the terms of the sales agreement, we may offer and sell shares of our common stock having an aggregate offering price of up to $50.0 million from time to time through or to TD Cowen acting as our agent. No sales have been made pursuant to the sales agreement prior to the date of this prospectus supplement.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The Nasdaq Global Market, or Nasdaq, under the symbol “XGN.” On November 24, 2023, the last reported sale price of our common stock on Nasdaq was $1.55 per share. On March 20, 2023, the date we filed our Annual Report on Form 10-K for the fiscal year ended December 31, 2022, our prospectus became subject to the offering limits in General Instruction I.B.6 of Form S-3. As of the date hereof, the aggregate market value of our common stock held by non-affiliates pursuant to General Instruction I.B.6 of Form S-3 is $30.7 million, which was calculated based on 12,832,888 shares of our common stock outstanding held by non-affiliates and a price of $2.39 per share, the closing price of our common stock on October 2, 2023. As of the date of this prospectus supplement, we have not sold any securities pursuant to General Instruction I.B.6 of Form S-3 during the 12 calendar months prior to, and including, the date of this prospectus supplement.  Pursuant to General Instruction I.B.6 of Form S-3, in no event will we sell securities in public primary offerings on Form S-3 with a value exceeding more than one-third of our public float (as defined by General Instruction I.B.6) in any 12 calendar month period so long as our public float remains below $75 million.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Sales of our common stock, if any, under this prospectus supplement may be made in sales deemed to be an “at the market offering,” as defined in Rule 415(a)(4) promulgated under the Securities Act of 1933, as amended, or the Securities Act. TD Cowen is not required to sell any specific number or dollar amount of securities, but will act as a sales agent using commercially reasonable efforts consistent with its normal trading and sales practices, on mutually agreed terms between TD Cowen and us. There is no arrangement for funds to be received in any escrow, trust or similar arrangement.</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to TD Cowen for sales of common stock sold pursuant to the sales agreement will be an amount equal to 3.0% of the gross proceeds of any shares of common stock sold under the sales agreement. In connection with the sale of our common stock on our behalf, TD Cowen will be deemed to be an “underwriter” within the meaning of the Securities Act and the compensation to TD Cowen will be deemed to be underwriting commissions or discounts. We have also agreed to provide indemnification and contribution to TD Cowen with respect to certain liabilities, including liabilities under the Securities Act or the Securities Exchange Act of 1934, as amended, or the Exchange Act.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color w:val="000000"/>
          <w:sz w:val="20"/>
        </w:rPr>
        <w:t>Investing in our securities involves a high degree of risk. You should review carefully the risks and uncertainties described under the heading “</w:t>
      </w:r>
      <w:hyperlink w:anchor="i1ab73087d0e440dc9e240397dc92b95a_79">
        <w:r>
          <w:rPr>
            <w:rStyle w:val="InternetLink"/>
            <w:rFonts w:ascii="Times New Roman;sans-serif" w:hAnsi="Times New Roman;sans-serif"/>
            <w:b/>
            <w:color w:val="0000FF"/>
            <w:sz w:val="20"/>
            <w:u w:val="single"/>
          </w:rPr>
          <w:t>Risk Factors</w:t>
        </w:r>
      </w:hyperlink>
      <w:r>
        <w:rPr>
          <w:color w:val="000000"/>
        </w:rPr>
        <w:t xml:space="preserve">” </w:t>
      </w:r>
      <w:r>
        <w:rPr>
          <w:rFonts w:ascii="Times New Roman;sans-serif" w:hAnsi="Times New Roman;sans-serif"/>
          <w:b/>
          <w:color w:val="000000"/>
          <w:sz w:val="20"/>
        </w:rPr>
        <w:t>beginning on page </w:t>
      </w:r>
      <w:hyperlink w:anchor="i1ab73087d0e440dc9e240397dc92b95a_79">
        <w:r>
          <w:rPr>
            <w:rStyle w:val="InternetLink"/>
          </w:rPr>
          <w:t>S-</w:t>
        </w:r>
      </w:hyperlink>
      <w:hyperlink w:anchor="i1ab73087d0e440dc9e240397dc92b95a_79">
        <w:r>
          <w:rPr>
            <w:rStyle w:val="InternetLink"/>
          </w:rPr>
          <w:t>5</w:t>
        </w:r>
      </w:hyperlink>
      <w:r>
        <w:rPr>
          <w:color w:val="000000"/>
        </w:rPr>
        <w:t> </w:t>
      </w:r>
      <w:r>
        <w:rPr>
          <w:rFonts w:ascii="Times New Roman;sans-serif" w:hAnsi="Times New Roman;sans-serif"/>
          <w:b/>
          <w:color w:val="000000"/>
          <w:sz w:val="20"/>
        </w:rPr>
        <w:t>of this prospectus supplement and under similar headings in the documents incorporated by reference into this prospectus supplement and the accompanying prospectus.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Neither the Securities and Exchange Commission nor any state securities commission has approved or disapproved of these securities or determined if this prospectus supplement and the accompanying prospectus is truthful or complete. Any representation to the contrary is a criminal offense.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05" w:type="dxa"/>
        <w:jc w:val="left"/>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32"/>
              </w:rPr>
            </w:pPr>
            <w:r>
              <w:rPr>
                <w:rFonts w:ascii="Times New Roman;sans-serif" w:hAnsi="Times New Roman;sans-serif"/>
                <w:b/>
                <w:color w:val="000000"/>
                <w:sz w:val="32"/>
              </w:rPr>
              <w:t>TD Cowen</w:t>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date of this prospectus supplement is November 29,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6855" w:type="dxa"/>
        <w:jc w:val="left"/>
        <w:tblInd w:w="0" w:type="dxa"/>
        <w:tblLayout w:type="fixed"/>
        <w:tblCellMar>
          <w:top w:w="28" w:type="dxa"/>
          <w:left w:w="28" w:type="dxa"/>
          <w:bottom w:w="28" w:type="dxa"/>
          <w:right w:w="28" w:type="dxa"/>
        </w:tblCellMar>
      </w:tblPr>
      <w:tblGrid>
        <w:gridCol w:w="2295"/>
        <w:gridCol w:w="2012"/>
        <w:gridCol w:w="2023"/>
        <w:gridCol w:w="153"/>
        <w:gridCol w:w="153"/>
        <w:gridCol w:w="219"/>
      </w:tblGrid>
      <w:tr>
        <w:trPr/>
        <w:tc>
          <w:tcPr>
            <w:tcW w:w="2295"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70">
              <w:r>
                <w:rPr>
                  <w:rStyle w:val="InternetLink"/>
                  <w:rFonts w:ascii="Times New Roman;sans-serif" w:hAnsi="Times New Roman;sans-serif"/>
                  <w:b w:val="false"/>
                  <w:color w:val="0000FF"/>
                  <w:sz w:val="20"/>
                  <w:u w:val="single"/>
                </w:rPr>
                <w:t>ABOUT THIS PROSPECTUS SUPPLEMENT</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b73087d0e440dc9e240397dc92b95a_70">
              <w:r>
                <w:rPr>
                  <w:rStyle w:val="InternetLink"/>
                  <w:rFonts w:ascii="Times New Roman;sans-serif" w:hAnsi="Times New Roman;sans-serif"/>
                  <w:b w:val="false"/>
                  <w:color w:val="000080"/>
                  <w:sz w:val="20"/>
                  <w:u w:val="single"/>
                </w:rPr>
                <w:t>S-</w:t>
              </w:r>
            </w:hyperlink>
            <w:hyperlink w:anchor="i1ab73087d0e440dc9e240397dc92b95a_70">
              <w:r>
                <w:rPr>
                  <w:rStyle w:val="InternetLink"/>
                  <w:rFonts w:ascii="Times New Roman;sans-serif" w:hAnsi="Times New Roman;sans-serif"/>
                  <w:b w:val="false"/>
                  <w:color w:val="000080"/>
                  <w:sz w:val="20"/>
                  <w:u w:val="single"/>
                </w:rPr>
                <w:t>1</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73">
              <w:r>
                <w:rPr>
                  <w:rStyle w:val="InternetLink"/>
                  <w:rFonts w:ascii="Times New Roman;sans-serif" w:hAnsi="Times New Roman;sans-serif"/>
                  <w:b w:val="false"/>
                  <w:color w:val="0000FF"/>
                  <w:sz w:val="20"/>
                  <w:u w:val="single"/>
                </w:rPr>
                <w:t>PROSPECTUS SUMMARY</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b73087d0e440dc9e240397dc92b95a_73">
              <w:r>
                <w:rPr>
                  <w:rStyle w:val="InternetLink"/>
                  <w:rFonts w:ascii="Times New Roman;sans-serif" w:hAnsi="Times New Roman;sans-serif"/>
                  <w:b w:val="false"/>
                  <w:color w:val="000080"/>
                  <w:sz w:val="20"/>
                  <w:u w:val="single"/>
                </w:rPr>
                <w:t>S</w:t>
              </w:r>
            </w:hyperlink>
            <w:hyperlink w:anchor="i1ab73087d0e440dc9e240397dc92b95a_73">
              <w:r>
                <w:rPr>
                  <w:rStyle w:val="InternetLink"/>
                  <w:rFonts w:ascii="Times New Roman;sans-serif" w:hAnsi="Times New Roman;sans-serif"/>
                  <w:b w:val="false"/>
                  <w:color w:val="000080"/>
                  <w:sz w:val="20"/>
                  <w:u w:val="single"/>
                </w:rPr>
                <w:t>-</w:t>
              </w:r>
            </w:hyperlink>
            <w:hyperlink w:anchor="i1ab73087d0e440dc9e240397dc92b95a_73">
              <w:r>
                <w:rPr>
                  <w:rStyle w:val="InternetLink"/>
                  <w:rFonts w:ascii="Times New Roman;sans-serif" w:hAnsi="Times New Roman;sans-serif"/>
                  <w:b w:val="false"/>
                  <w:color w:val="000080"/>
                  <w:sz w:val="20"/>
                  <w:u w:val="single"/>
                </w:rPr>
                <w:t>2</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76">
              <w:r>
                <w:rPr>
                  <w:rStyle w:val="InternetLink"/>
                  <w:rFonts w:ascii="Times New Roman;sans-serif" w:hAnsi="Times New Roman;sans-serif"/>
                  <w:b w:val="false"/>
                  <w:color w:val="0000FF"/>
                  <w:sz w:val="20"/>
                  <w:u w:val="single"/>
                </w:rPr>
                <w:t>THE OFFERING</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b73087d0e440dc9e240397dc92b95a_76">
              <w:r>
                <w:rPr>
                  <w:rStyle w:val="InternetLink"/>
                  <w:rFonts w:ascii="Times New Roman;sans-serif" w:hAnsi="Times New Roman;sans-serif"/>
                  <w:b w:val="false"/>
                  <w:color w:val="000080"/>
                  <w:sz w:val="20"/>
                  <w:u w:val="single"/>
                </w:rPr>
                <w:t>S-</w:t>
              </w:r>
            </w:hyperlink>
            <w:hyperlink w:anchor="i1ab73087d0e440dc9e240397dc92b95a_76">
              <w:r>
                <w:rPr>
                  <w:rStyle w:val="InternetLink"/>
                  <w:rFonts w:ascii="Times New Roman;sans-serif" w:hAnsi="Times New Roman;sans-serif"/>
                  <w:b w:val="false"/>
                  <w:color w:val="000080"/>
                  <w:sz w:val="20"/>
                  <w:u w:val="single"/>
                </w:rPr>
                <w:t>4</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79">
              <w:r>
                <w:rPr>
                  <w:rStyle w:val="InternetLink"/>
                  <w:rFonts w:ascii="Times New Roman;sans-serif" w:hAnsi="Times New Roman;sans-serif"/>
                  <w:b w:val="false"/>
                  <w:color w:val="0000FF"/>
                  <w:sz w:val="20"/>
                  <w:u w:val="single"/>
                </w:rPr>
                <w:t>RISK FACTORS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b73087d0e440dc9e240397dc92b95a_79">
              <w:r>
                <w:rPr>
                  <w:rStyle w:val="InternetLink"/>
                  <w:rFonts w:ascii="Times New Roman;sans-serif" w:hAnsi="Times New Roman;sans-serif"/>
                  <w:b w:val="false"/>
                  <w:color w:val="000080"/>
                  <w:sz w:val="20"/>
                  <w:u w:val="single"/>
                </w:rPr>
                <w:t>S-</w:t>
              </w:r>
            </w:hyperlink>
            <w:hyperlink w:anchor="i1ab73087d0e440dc9e240397dc92b95a_79">
              <w:r>
                <w:rPr>
                  <w:rStyle w:val="InternetLink"/>
                  <w:rFonts w:ascii="Times New Roman;sans-serif" w:hAnsi="Times New Roman;sans-serif"/>
                  <w:b w:val="false"/>
                  <w:color w:val="000080"/>
                  <w:sz w:val="20"/>
                  <w:u w:val="single"/>
                </w:rPr>
                <w:t>5</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82">
              <w:r>
                <w:rPr>
                  <w:rStyle w:val="InternetLink"/>
                  <w:rFonts w:ascii="Times New Roman;sans-serif" w:hAnsi="Times New Roman;sans-serif"/>
                  <w:b w:val="false"/>
                  <w:color w:val="0000FF"/>
                  <w:sz w:val="20"/>
                  <w:u w:val="single"/>
                </w:rPr>
                <w:t>CAUTIONARY NOTE REGARDING FORWARD-LOOKING STATEMENTS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b73087d0e440dc9e240397dc92b95a_82">
              <w:r>
                <w:rPr>
                  <w:rStyle w:val="InternetLink"/>
                  <w:rFonts w:ascii="Times New Roman;sans-serif" w:hAnsi="Times New Roman;sans-serif"/>
                  <w:b w:val="false"/>
                  <w:color w:val="000080"/>
                  <w:sz w:val="20"/>
                  <w:u w:val="single"/>
                </w:rPr>
                <w:t>S-</w:t>
              </w:r>
            </w:hyperlink>
            <w:hyperlink w:anchor="i1ab73087d0e440dc9e240397dc92b95a_82">
              <w:r>
                <w:rPr>
                  <w:rStyle w:val="InternetLink"/>
                  <w:rFonts w:ascii="Times New Roman;sans-serif" w:hAnsi="Times New Roman;sans-serif"/>
                  <w:b w:val="false"/>
                  <w:color w:val="000080"/>
                  <w:sz w:val="20"/>
                  <w:u w:val="single"/>
                </w:rPr>
                <w:t>7</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85">
              <w:r>
                <w:rPr>
                  <w:rStyle w:val="InternetLink"/>
                  <w:rFonts w:ascii="Times New Roman;sans-serif" w:hAnsi="Times New Roman;sans-serif"/>
                  <w:b w:val="false"/>
                  <w:color w:val="0000FF"/>
                  <w:sz w:val="20"/>
                  <w:u w:val="single"/>
                </w:rPr>
                <w:t>USE OF PROCEEDS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b73087d0e440dc9e240397dc92b95a_85">
              <w:r>
                <w:rPr>
                  <w:rStyle w:val="InternetLink"/>
                  <w:rFonts w:ascii="Times New Roman;sans-serif" w:hAnsi="Times New Roman;sans-serif"/>
                  <w:b w:val="false"/>
                  <w:color w:val="000080"/>
                  <w:sz w:val="20"/>
                  <w:u w:val="single"/>
                </w:rPr>
                <w:t>S-</w:t>
              </w:r>
            </w:hyperlink>
            <w:hyperlink w:anchor="i1ab73087d0e440dc9e240397dc92b95a_85">
              <w:r>
                <w:rPr>
                  <w:rStyle w:val="InternetLink"/>
                  <w:rFonts w:ascii="Times New Roman;sans-serif" w:hAnsi="Times New Roman;sans-serif"/>
                  <w:b w:val="false"/>
                  <w:color w:val="000080"/>
                  <w:sz w:val="20"/>
                  <w:u w:val="single"/>
                </w:rPr>
                <w:t>9</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88">
              <w:r>
                <w:rPr>
                  <w:rStyle w:val="InternetLink"/>
                  <w:rFonts w:ascii="Times New Roman;sans-serif" w:hAnsi="Times New Roman;sans-serif"/>
                  <w:b w:val="false"/>
                  <w:color w:val="000080"/>
                  <w:sz w:val="20"/>
                  <w:u w:val="single"/>
                </w:rPr>
                <w:t>D</w:t>
              </w:r>
            </w:hyperlink>
            <w:hyperlink w:anchor="i1ab73087d0e440dc9e240397dc92b95a_88">
              <w:r>
                <w:rPr>
                  <w:rStyle w:val="InternetLink"/>
                  <w:rFonts w:ascii="Times New Roman;sans-serif" w:hAnsi="Times New Roman;sans-serif"/>
                  <w:b w:val="false"/>
                  <w:color w:val="000080"/>
                  <w:sz w:val="20"/>
                  <w:u w:val="single"/>
                </w:rPr>
                <w:t>ILUTION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b73087d0e440dc9e240397dc92b95a_88">
              <w:r>
                <w:rPr>
                  <w:rStyle w:val="InternetLink"/>
                  <w:rFonts w:ascii="Times New Roman;sans-serif" w:hAnsi="Times New Roman;sans-serif"/>
                  <w:b w:val="false"/>
                  <w:color w:val="000080"/>
                  <w:sz w:val="20"/>
                  <w:u w:val="single"/>
                </w:rPr>
                <w:t>S-</w:t>
              </w:r>
            </w:hyperlink>
            <w:hyperlink w:anchor="i1ab73087d0e440dc9e240397dc92b95a_88">
              <w:r>
                <w:rPr>
                  <w:rStyle w:val="InternetLink"/>
                  <w:rFonts w:ascii="Times New Roman;sans-serif" w:hAnsi="Times New Roman;sans-serif"/>
                  <w:b w:val="false"/>
                  <w:color w:val="000080"/>
                  <w:sz w:val="20"/>
                  <w:u w:val="single"/>
                </w:rPr>
                <w:t>10</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91">
              <w:r>
                <w:rPr>
                  <w:rStyle w:val="InternetLink"/>
                  <w:rFonts w:ascii="Times New Roman;sans-serif" w:hAnsi="Times New Roman;sans-serif"/>
                  <w:b w:val="false"/>
                  <w:color w:val="0000FF"/>
                  <w:sz w:val="20"/>
                  <w:u w:val="single"/>
                </w:rPr>
                <w:t>PLAN OF DISTRIBUTION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b73087d0e440dc9e240397dc92b95a_91">
              <w:r>
                <w:rPr>
                  <w:rStyle w:val="InternetLink"/>
                  <w:rFonts w:ascii="Times New Roman;sans-serif" w:hAnsi="Times New Roman;sans-serif"/>
                  <w:b w:val="false"/>
                  <w:color w:val="000080"/>
                  <w:sz w:val="20"/>
                  <w:u w:val="single"/>
                </w:rPr>
                <w:t>S-</w:t>
              </w:r>
            </w:hyperlink>
            <w:hyperlink w:anchor="i1ab73087d0e440dc9e240397dc92b95a_91">
              <w:r>
                <w:rPr>
                  <w:rStyle w:val="InternetLink"/>
                  <w:rFonts w:ascii="Times New Roman;sans-serif" w:hAnsi="Times New Roman;sans-serif"/>
                  <w:b w:val="false"/>
                  <w:color w:val="000080"/>
                  <w:sz w:val="20"/>
                  <w:u w:val="single"/>
                </w:rPr>
                <w:t>12</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94">
              <w:r>
                <w:rPr>
                  <w:rStyle w:val="InternetLink"/>
                  <w:rFonts w:ascii="Times New Roman;sans-serif" w:hAnsi="Times New Roman;sans-serif"/>
                  <w:b w:val="false"/>
                  <w:color w:val="0000FF"/>
                  <w:sz w:val="20"/>
                  <w:u w:val="single"/>
                </w:rPr>
                <w:t>LEGAL MATTERS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b73087d0e440dc9e240397dc92b95a_94">
              <w:r>
                <w:rPr>
                  <w:rStyle w:val="InternetLink"/>
                  <w:rFonts w:ascii="Times New Roman;sans-serif" w:hAnsi="Times New Roman;sans-serif"/>
                  <w:b w:val="false"/>
                  <w:color w:val="000080"/>
                  <w:sz w:val="20"/>
                  <w:u w:val="single"/>
                </w:rPr>
                <w:t>S-</w:t>
              </w:r>
            </w:hyperlink>
            <w:hyperlink w:anchor="i1ab73087d0e440dc9e240397dc92b95a_94">
              <w:r>
                <w:rPr>
                  <w:rStyle w:val="InternetLink"/>
                  <w:rFonts w:ascii="Times New Roman;sans-serif" w:hAnsi="Times New Roman;sans-serif"/>
                  <w:b w:val="false"/>
                  <w:color w:val="000080"/>
                  <w:sz w:val="20"/>
                  <w:u w:val="single"/>
                </w:rPr>
                <w:t>13</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97">
              <w:r>
                <w:rPr>
                  <w:rStyle w:val="InternetLink"/>
                  <w:rFonts w:ascii="Times New Roman;sans-serif" w:hAnsi="Times New Roman;sans-serif"/>
                  <w:b w:val="false"/>
                  <w:color w:val="0000FF"/>
                  <w:sz w:val="20"/>
                  <w:u w:val="single"/>
                </w:rPr>
                <w:t>EXPERTS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b73087d0e440dc9e240397dc92b95a_97">
              <w:r>
                <w:rPr>
                  <w:rStyle w:val="InternetLink"/>
                  <w:rFonts w:ascii="Times New Roman;sans-serif" w:hAnsi="Times New Roman;sans-serif"/>
                  <w:b w:val="false"/>
                  <w:color w:val="000080"/>
                  <w:sz w:val="20"/>
                  <w:u w:val="single"/>
                </w:rPr>
                <w:t>S-</w:t>
              </w:r>
            </w:hyperlink>
            <w:hyperlink w:anchor="i1ab73087d0e440dc9e240397dc92b95a_97">
              <w:r>
                <w:rPr>
                  <w:rStyle w:val="InternetLink"/>
                  <w:rFonts w:ascii="Times New Roman;sans-serif" w:hAnsi="Times New Roman;sans-serif"/>
                  <w:b w:val="false"/>
                  <w:color w:val="000080"/>
                  <w:sz w:val="20"/>
                  <w:u w:val="single"/>
                </w:rPr>
                <w:t>13</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100">
              <w:r>
                <w:rPr>
                  <w:rStyle w:val="InternetLink"/>
                  <w:rFonts w:ascii="Times New Roman;sans-serif" w:hAnsi="Times New Roman;sans-serif"/>
                  <w:b w:val="false"/>
                  <w:color w:val="0000FF"/>
                  <w:sz w:val="20"/>
                  <w:u w:val="single"/>
                </w:rPr>
                <w:t>WHERE YOU CAN FIND MORE INFORMATION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b73087d0e440dc9e240397dc92b95a_100">
              <w:r>
                <w:rPr>
                  <w:rStyle w:val="InternetLink"/>
                  <w:rFonts w:ascii="Times New Roman;sans-serif" w:hAnsi="Times New Roman;sans-serif"/>
                  <w:b w:val="false"/>
                  <w:color w:val="000080"/>
                  <w:sz w:val="20"/>
                  <w:u w:val="single"/>
                </w:rPr>
                <w:t>S-</w:t>
              </w:r>
            </w:hyperlink>
            <w:hyperlink w:anchor="i1ab73087d0e440dc9e240397dc92b95a_100">
              <w:r>
                <w:rPr>
                  <w:rStyle w:val="InternetLink"/>
                  <w:rFonts w:ascii="Times New Roman;sans-serif" w:hAnsi="Times New Roman;sans-serif"/>
                  <w:b w:val="false"/>
                  <w:color w:val="000080"/>
                  <w:sz w:val="20"/>
                  <w:u w:val="single"/>
                </w:rPr>
                <w:t>13</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103">
              <w:r>
                <w:rPr>
                  <w:rStyle w:val="InternetLink"/>
                  <w:rFonts w:ascii="Times New Roman;sans-serif" w:hAnsi="Times New Roman;sans-serif"/>
                  <w:b w:val="false"/>
                  <w:color w:val="0000FF"/>
                  <w:sz w:val="20"/>
                  <w:u w:val="single"/>
                </w:rPr>
                <w:t>INCORPORATION OF DOCUMENTS BY REFERENCE</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b73087d0e440dc9e240397dc92b95a_103">
              <w:r>
                <w:rPr>
                  <w:rStyle w:val="InternetLink"/>
                  <w:rFonts w:ascii="Times New Roman;sans-serif" w:hAnsi="Times New Roman;sans-serif"/>
                  <w:b w:val="false"/>
                  <w:color w:val="000080"/>
                  <w:sz w:val="20"/>
                  <w:u w:val="single"/>
                </w:rPr>
                <w:t>S-</w:t>
              </w:r>
            </w:hyperlink>
            <w:hyperlink w:anchor="i1ab73087d0e440dc9e240397dc92b95a_103">
              <w:r>
                <w:rPr>
                  <w:rStyle w:val="InternetLink"/>
                  <w:rFonts w:ascii="Times New Roman;sans-serif" w:hAnsi="Times New Roman;sans-serif"/>
                  <w:b w:val="false"/>
                  <w:color w:val="000080"/>
                  <w:sz w:val="20"/>
                  <w:u w:val="single"/>
                </w:rPr>
                <w:t>14</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13">
              <w:r>
                <w:rPr>
                  <w:rStyle w:val="InternetLink"/>
                  <w:rFonts w:ascii="Times New Roman;sans-serif" w:hAnsi="Times New Roman;sans-serif"/>
                  <w:b w:val="false"/>
                  <w:color w:val="0000FF"/>
                  <w:sz w:val="20"/>
                  <w:u w:val="single"/>
                </w:rPr>
                <w:t>ABOUT THIS PROSPECTUS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1ab73087d0e440dc9e240397dc92b95a_13">
              <w:r>
                <w:rPr>
                  <w:rStyle w:val="InternetLink"/>
                  <w:rFonts w:ascii="Times New Roman;sans-serif" w:hAnsi="Times New Roman;sans-serif"/>
                  <w:b w:val="false"/>
                  <w:color w:val="0000FF"/>
                  <w:sz w:val="20"/>
                  <w:u w:val="single"/>
                </w:rPr>
                <w:t>1</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16">
              <w:r>
                <w:rPr>
                  <w:rStyle w:val="InternetLink"/>
                  <w:rFonts w:ascii="Times New Roman;sans-serif" w:hAnsi="Times New Roman;sans-serif"/>
                  <w:b w:val="false"/>
                  <w:color w:val="0000FF"/>
                  <w:sz w:val="20"/>
                  <w:u w:val="single"/>
                </w:rPr>
                <w:t>PROSPECTUS SUMMARY</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1ab73087d0e440dc9e240397dc92b95a_16">
              <w:r>
                <w:rPr>
                  <w:rStyle w:val="InternetLink"/>
                  <w:rFonts w:ascii="Times New Roman;sans-serif" w:hAnsi="Times New Roman;sans-serif"/>
                  <w:b w:val="false"/>
                  <w:color w:val="0000FF"/>
                  <w:sz w:val="20"/>
                  <w:u w:val="single"/>
                </w:rPr>
                <w:t>2</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19">
              <w:r>
                <w:rPr>
                  <w:rStyle w:val="InternetLink"/>
                  <w:rFonts w:ascii="Times New Roman;sans-serif" w:hAnsi="Times New Roman;sans-serif"/>
                  <w:b w:val="false"/>
                  <w:color w:val="0000FF"/>
                  <w:sz w:val="20"/>
                  <w:u w:val="single"/>
                </w:rPr>
                <w:t>RISK FACTORS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1ab73087d0e440dc9e240397dc92b95a_19">
              <w:r>
                <w:rPr>
                  <w:rStyle w:val="InternetLink"/>
                  <w:rFonts w:ascii="Times New Roman;sans-serif" w:hAnsi="Times New Roman;sans-serif"/>
                  <w:b w:val="false"/>
                  <w:color w:val="0000FF"/>
                  <w:sz w:val="20"/>
                  <w:u w:val="single"/>
                </w:rPr>
                <w:t>4</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22">
              <w:r>
                <w:rPr>
                  <w:rStyle w:val="InternetLink"/>
                  <w:rFonts w:ascii="Times New Roman;sans-serif" w:hAnsi="Times New Roman;sans-serif"/>
                  <w:b w:val="false"/>
                  <w:color w:val="0000FF"/>
                  <w:sz w:val="20"/>
                  <w:u w:val="single"/>
                </w:rPr>
                <w:t>CAUTIONARY NOTE REGARDING FORWARD-LOOKING STATEMENTS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1ab73087d0e440dc9e240397dc92b95a_22">
              <w:r>
                <w:rPr>
                  <w:rStyle w:val="InternetLink"/>
                  <w:rFonts w:ascii="Times New Roman;sans-serif" w:hAnsi="Times New Roman;sans-serif"/>
                  <w:b w:val="false"/>
                  <w:color w:val="0000FF"/>
                  <w:sz w:val="20"/>
                  <w:u w:val="single"/>
                </w:rPr>
                <w:t>5</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25">
              <w:r>
                <w:rPr>
                  <w:rStyle w:val="InternetLink"/>
                  <w:rFonts w:ascii="Times New Roman;sans-serif" w:hAnsi="Times New Roman;sans-serif"/>
                  <w:b w:val="false"/>
                  <w:color w:val="0000FF"/>
                  <w:sz w:val="20"/>
                  <w:u w:val="single"/>
                </w:rPr>
                <w:t>USE OF PROCEEDS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1ab73087d0e440dc9e240397dc92b95a_25">
              <w:r>
                <w:rPr>
                  <w:rStyle w:val="InternetLink"/>
                  <w:rFonts w:ascii="Times New Roman;sans-serif" w:hAnsi="Times New Roman;sans-serif"/>
                  <w:b w:val="false"/>
                  <w:color w:val="0000FF"/>
                  <w:sz w:val="20"/>
                  <w:u w:val="single"/>
                </w:rPr>
                <w:t>7</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28">
              <w:r>
                <w:rPr>
                  <w:rStyle w:val="InternetLink"/>
                  <w:rFonts w:ascii="Times New Roman;sans-serif" w:hAnsi="Times New Roman;sans-serif"/>
                  <w:b w:val="false"/>
                  <w:color w:val="0000FF"/>
                  <w:sz w:val="20"/>
                  <w:u w:val="single"/>
                </w:rPr>
                <w:t>DIVIDEND POLICY</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1ab73087d0e440dc9e240397dc92b95a_28">
              <w:r>
                <w:rPr>
                  <w:rStyle w:val="InternetLink"/>
                  <w:rFonts w:ascii="Times New Roman;sans-serif" w:hAnsi="Times New Roman;sans-serif"/>
                  <w:b w:val="false"/>
                  <w:color w:val="0000FF"/>
                  <w:sz w:val="20"/>
                  <w:u w:val="single"/>
                </w:rPr>
                <w:t>8</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31">
              <w:r>
                <w:rPr>
                  <w:rStyle w:val="InternetLink"/>
                  <w:rFonts w:ascii="Times New Roman;sans-serif" w:hAnsi="Times New Roman;sans-serif"/>
                  <w:b w:val="false"/>
                  <w:color w:val="0000FF"/>
                  <w:sz w:val="20"/>
                  <w:u w:val="single"/>
                </w:rPr>
                <w:t>DESCRIPTION OF CAPITAL STOCK</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1ab73087d0e440dc9e240397dc92b95a_31">
              <w:r>
                <w:rPr>
                  <w:rStyle w:val="InternetLink"/>
                  <w:rFonts w:ascii="Times New Roman;sans-serif" w:hAnsi="Times New Roman;sans-serif"/>
                  <w:b w:val="false"/>
                  <w:color w:val="0000FF"/>
                  <w:sz w:val="20"/>
                  <w:u w:val="single"/>
                </w:rPr>
                <w:t>9</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34">
              <w:r>
                <w:rPr>
                  <w:rStyle w:val="InternetLink"/>
                  <w:rFonts w:ascii="Times New Roman;sans-serif" w:hAnsi="Times New Roman;sans-serif"/>
                  <w:b w:val="false"/>
                  <w:color w:val="0000FF"/>
                  <w:sz w:val="20"/>
                  <w:u w:val="single"/>
                </w:rPr>
                <w:t>DESCRIPTION OF DEBT SECURITIES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1ab73087d0e440dc9e240397dc92b95a_34">
              <w:r>
                <w:rPr>
                  <w:rStyle w:val="InternetLink"/>
                  <w:rFonts w:ascii="Times New Roman;sans-serif" w:hAnsi="Times New Roman;sans-serif"/>
                  <w:b w:val="false"/>
                  <w:color w:val="0000FF"/>
                  <w:sz w:val="20"/>
                  <w:u w:val="single"/>
                </w:rPr>
                <w:t>14</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37">
              <w:r>
                <w:rPr>
                  <w:rStyle w:val="InternetLink"/>
                  <w:rFonts w:ascii="Times New Roman;sans-serif" w:hAnsi="Times New Roman;sans-serif"/>
                  <w:b w:val="false"/>
                  <w:color w:val="0000FF"/>
                  <w:sz w:val="20"/>
                  <w:u w:val="single"/>
                </w:rPr>
                <w:t>DESCRIPTION OF WARRANTS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1ab73087d0e440dc9e240397dc92b95a_37">
              <w:r>
                <w:rPr>
                  <w:rStyle w:val="InternetLink"/>
                  <w:rFonts w:ascii="Times New Roman;sans-serif" w:hAnsi="Times New Roman;sans-serif"/>
                  <w:b w:val="false"/>
                  <w:color w:val="0000FF"/>
                  <w:sz w:val="20"/>
                  <w:u w:val="single"/>
                </w:rPr>
                <w:t>22</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40">
              <w:r>
                <w:rPr>
                  <w:rStyle w:val="InternetLink"/>
                  <w:rFonts w:ascii="Times New Roman;sans-serif" w:hAnsi="Times New Roman;sans-serif"/>
                  <w:b w:val="false"/>
                  <w:color w:val="0000FF"/>
                  <w:sz w:val="20"/>
                  <w:u w:val="single"/>
                </w:rPr>
                <w:t>DESCRIPTION OF UNITS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1ab73087d0e440dc9e240397dc92b95a_40">
              <w:r>
                <w:rPr>
                  <w:rStyle w:val="InternetLink"/>
                  <w:rFonts w:ascii="Times New Roman;sans-serif" w:hAnsi="Times New Roman;sans-serif"/>
                  <w:b w:val="false"/>
                  <w:color w:val="0000FF"/>
                  <w:sz w:val="20"/>
                  <w:u w:val="single"/>
                </w:rPr>
                <w:t>24</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43">
              <w:r>
                <w:rPr>
                  <w:rStyle w:val="InternetLink"/>
                  <w:rFonts w:ascii="Times New Roman;sans-serif" w:hAnsi="Times New Roman;sans-serif"/>
                  <w:b w:val="false"/>
                  <w:color w:val="0000FF"/>
                  <w:sz w:val="20"/>
                  <w:u w:val="single"/>
                </w:rPr>
                <w:t>GLOBAL SECURITIES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1ab73087d0e440dc9e240397dc92b95a_43">
              <w:r>
                <w:rPr>
                  <w:rStyle w:val="InternetLink"/>
                  <w:rFonts w:ascii="Times New Roman;sans-serif" w:hAnsi="Times New Roman;sans-serif"/>
                  <w:b w:val="false"/>
                  <w:color w:val="0000FF"/>
                  <w:sz w:val="20"/>
                  <w:u w:val="single"/>
                </w:rPr>
                <w:t>26</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46">
              <w:r>
                <w:rPr>
                  <w:rStyle w:val="InternetLink"/>
                  <w:rFonts w:ascii="Times New Roman;sans-serif" w:hAnsi="Times New Roman;sans-serif"/>
                  <w:b w:val="false"/>
                  <w:color w:val="0000FF"/>
                  <w:sz w:val="20"/>
                  <w:u w:val="single"/>
                </w:rPr>
                <w:t>PLAN OF DISTRIBUTION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1ab73087d0e440dc9e240397dc92b95a_46">
              <w:r>
                <w:rPr>
                  <w:rStyle w:val="InternetLink"/>
                  <w:rFonts w:ascii="Times New Roman;sans-serif" w:hAnsi="Times New Roman;sans-serif"/>
                  <w:b w:val="false"/>
                  <w:color w:val="0000FF"/>
                  <w:sz w:val="20"/>
                  <w:u w:val="single"/>
                </w:rPr>
                <w:t>30</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49">
              <w:r>
                <w:rPr>
                  <w:rStyle w:val="InternetLink"/>
                  <w:rFonts w:ascii="Times New Roman;sans-serif" w:hAnsi="Times New Roman;sans-serif"/>
                  <w:b w:val="false"/>
                  <w:color w:val="0000FF"/>
                  <w:sz w:val="20"/>
                  <w:u w:val="single"/>
                </w:rPr>
                <w:t>LEGAL MATTERS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1ab73087d0e440dc9e240397dc92b95a_49">
              <w:r>
                <w:rPr>
                  <w:rStyle w:val="InternetLink"/>
                  <w:rFonts w:ascii="Times New Roman;sans-serif" w:hAnsi="Times New Roman;sans-serif"/>
                  <w:b w:val="false"/>
                  <w:color w:val="0000FF"/>
                  <w:sz w:val="20"/>
                  <w:u w:val="single"/>
                </w:rPr>
                <w:t>32</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52">
              <w:r>
                <w:rPr>
                  <w:rStyle w:val="InternetLink"/>
                  <w:rFonts w:ascii="Times New Roman;sans-serif" w:hAnsi="Times New Roman;sans-serif"/>
                  <w:b w:val="false"/>
                  <w:color w:val="0000FF"/>
                  <w:sz w:val="20"/>
                  <w:u w:val="single"/>
                </w:rPr>
                <w:t>EXPERTS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1ab73087d0e440dc9e240397dc92b95a_52">
              <w:r>
                <w:rPr>
                  <w:rStyle w:val="InternetLink"/>
                  <w:rFonts w:ascii="Times New Roman;sans-serif" w:hAnsi="Times New Roman;sans-serif"/>
                  <w:b w:val="false"/>
                  <w:color w:val="0000FF"/>
                  <w:sz w:val="20"/>
                  <w:u w:val="single"/>
                </w:rPr>
                <w:t>32</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55">
              <w:r>
                <w:rPr>
                  <w:rStyle w:val="InternetLink"/>
                  <w:rFonts w:ascii="Times New Roman;sans-serif" w:hAnsi="Times New Roman;sans-serif"/>
                  <w:b w:val="false"/>
                  <w:color w:val="0000FF"/>
                  <w:sz w:val="20"/>
                  <w:u w:val="single"/>
                </w:rPr>
                <w:t>WHERE YOU CAN FIND MORE INFORMATION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1ab73087d0e440dc9e240397dc92b95a_55">
              <w:r>
                <w:rPr>
                  <w:rStyle w:val="InternetLink"/>
                  <w:rFonts w:ascii="Times New Roman;sans-serif" w:hAnsi="Times New Roman;sans-serif"/>
                  <w:b w:val="false"/>
                  <w:color w:val="0000FF"/>
                  <w:sz w:val="20"/>
                  <w:u w:val="single"/>
                </w:rPr>
                <w:t>32</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58">
              <w:r>
                <w:rPr>
                  <w:rStyle w:val="InternetLink"/>
                  <w:rFonts w:ascii="Times New Roman;sans-serif" w:hAnsi="Times New Roman;sans-serif"/>
                  <w:b w:val="false"/>
                  <w:color w:val="0000FF"/>
                  <w:sz w:val="20"/>
                  <w:u w:val="single"/>
                </w:rPr>
                <w:t>INCORPORATION OF DOCUMENTS BY REFERENCE</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b73087d0e440dc9e240397dc92b95a_58">
              <w:r>
                <w:rPr>
                  <w:rStyle w:val="InternetLink"/>
                  <w:rFonts w:ascii="Times New Roman;sans-serif" w:hAnsi="Times New Roman;sans-serif"/>
                  <w:b w:val="false"/>
                  <w:color w:val="0000FF"/>
                  <w:sz w:val="20"/>
                  <w:u w:val="single"/>
                </w:rPr>
                <w:t>33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ABOUT THIS PROSPECTUS SUPPLEMENT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supplement and the accompanying prospectus are part of a registration statement on Form S-3 that we filed with the Securities and Exchange Commission, or SEC, utilizing a “shelf” registration process. Under the shelf registration process, we may sell any combination of the securities described in our base prospectus included in the shelf registration statement in one or more offerings up to a total aggregate offering price of $150.0 million. The $10.2 million of common stock that may be offered, issued and sold under this prospectus supplement is included in the $150.0 million of securities that may be offered, issued and sold by us pursuant to our shelf registration statement.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supplement and the accompanying prospectus relate to the offering of our common stock. Before buying any of the common stock that we are offering, we urge you to carefully read this prospectus supplement and the accompanying prospectus, together with the information incorporated by reference herein and therein, as described under the headings “Where You Can Find More Information” and “Incorporation of Certain Information By Reference.” These documents contain important information that you should consider when making your investment decision.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supplement describes the terms of this offering of common stock and also adds to and updates the information contained in the accompanying prospectus and the documents incorporated by reference into this prospectus supplement and the accompanying prospectus. The accompanying prospectus gives more general information, some of which may not apply to this offering. If there is a conflict between the information contained in this prospectus supplement and the information contained in the accompanying prospectus, you should rely on the information in this prospectus supplement. However,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 as our business, financial condition, results of operations and prospects may have changed since the earlier date. Generally, when we refer to the prospectus, we are referring collectively to this prospectus supplement and the accompanying prospectus.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and TD Cowen has not, authorized anyone to provide any information other than that contained in or incorporated by reference in this prospectus supplement, the accompanying prospectus and any free writing prospectus prepared by or on behalf of us or to which we have referred you. We and TD Cowen take no responsibility for, and can provide no assurance as to the reliability of, any other information that others may give you. We and the sales agent are offering to sell, and seeking offers to buy, shares of our common stock only in jurisdictions where such offers and sales are permitted. You should assume that the information appearing in this prospectus supplement, the accompanying prospectus and the documents incorporated by reference herein and therein, and in any free writing prospectus that we have authorized for use in connection with this offering, is accurate only as of the dates of those respective documents, regardless of the time of delivery of such documents or of any sale of shares of our common stock. Our business, financial condition, results of operations and prospects may have changed since those dates. You should read this prospectus supplement and the accompanying prospectus, the documents incorporated by reference herein and therein, and any free writing prospectus that we have authorized for use in connection with this offering in their entirety before making an investment decision.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Except as otherwise indicated herein or as the context otherwise requires, references in this prospectus supplement and the accompanying prospectus to “Exagen,” “the Company,” “we,” “us,” “our” and similar references refer to Exagen Inc.</w:t>
      </w:r>
    </w:p>
    <w:p>
      <w:pPr>
        <w:pStyle w:val="TextBody"/>
        <w:bidi w:val="0"/>
        <w:spacing w:lineRule="auto" w:line="288" w:before="0" w:after="180"/>
        <w:jc w:val="both"/>
        <w:rPr/>
      </w:pPr>
      <w:r>
        <w:rPr>
          <w:rFonts w:ascii="Times New Roman;sans-serif" w:hAnsi="Times New Roman;sans-serif"/>
          <w:b w:val="false"/>
          <w:color w:val="000000"/>
          <w:sz w:val="20"/>
        </w:rPr>
        <w:t>This prospectus supplement and the accompanying prospectus, including the information incorporated by reference herein and therein, and any free writing prospectuses we have authorized for use in connection with this offering, contains registered marks, trademarks and trade names </w:t>
      </w:r>
      <w:r>
        <w:rPr>
          <w:rFonts w:ascii="Times New Roman;sans-serif" w:hAnsi="Times New Roman;sans-serif"/>
          <w:b w:val="false"/>
          <w:color w:val="000000"/>
          <w:sz w:val="20"/>
          <w:shd w:fill="FFFFFF" w:val="clear"/>
        </w:rPr>
        <w:t>owned by us or other</w:t>
      </w:r>
      <w:r>
        <w:rPr>
          <w:color w:val="000000"/>
        </w:rPr>
        <w:t> </w:t>
      </w:r>
      <w:r>
        <w:rPr>
          <w:rFonts w:ascii="Times New Roman;sans-serif" w:hAnsi="Times New Roman;sans-serif"/>
          <w:b w:val="false"/>
          <w:color w:val="000000"/>
          <w:sz w:val="20"/>
        </w:rPr>
        <w:t>companies, which are the property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PROSPECTUS SUMMARY</w:t>
      </w:r>
    </w:p>
    <w:p>
      <w:pPr>
        <w:pStyle w:val="TextBody"/>
        <w:bidi w:val="0"/>
        <w:spacing w:lineRule="auto" w:line="288" w:before="0" w:after="180"/>
        <w:jc w:val="both"/>
        <w:rPr>
          <w:rFonts w:ascii="Times New Roman;sans-serif" w:hAnsi="Times New Roman;sans-serif"/>
          <w:b w:val="false"/>
          <w:i/>
          <w:color w:val="000000"/>
          <w:sz w:val="20"/>
          <w:bdr w:val="single" w:sz="8" w:space="36" w:color="000000"/>
          <w:shd w:fill="FFFFFF" w:val="clear"/>
        </w:rPr>
      </w:pPr>
      <w:r>
        <w:rPr>
          <w:rFonts w:ascii="Times New Roman;sans-serif" w:hAnsi="Times New Roman;sans-serif"/>
          <w:b w:val="false"/>
          <w:i/>
          <w:color w:val="000000"/>
          <w:sz w:val="20"/>
          <w:bdr w:val="single" w:sz="8" w:space="36" w:color="000000"/>
          <w:shd w:fill="FFFFFF" w:val="clear"/>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pStyle w:val="TextBody"/>
        <w:bidi w:val="0"/>
        <w:spacing w:lineRule="auto" w:line="288" w:before="0" w:after="180"/>
        <w:jc w:val="both"/>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About Exagen Inc.</w:t>
      </w:r>
    </w:p>
    <w:p>
      <w:pPr>
        <w:pStyle w:val="TextBody"/>
        <w:bidi w:val="0"/>
        <w:spacing w:lineRule="auto" w:line="288" w:before="0" w:after="180"/>
        <w:jc w:val="both"/>
        <w:rPr>
          <w:rFonts w:ascii="Times New Roman;sans-serif" w:hAnsi="Times New Roman;sans-serif"/>
          <w:b w:val="false"/>
          <w:color w:val="000000"/>
          <w:sz w:val="20"/>
          <w:bdr w:val="single" w:sz="8" w:space="36" w:color="000000"/>
          <w:shd w:fill="FFFFFF" w:val="clear"/>
        </w:rPr>
      </w:pPr>
      <w:r>
        <w:rPr>
          <w:rFonts w:ascii="Times New Roman;sans-serif" w:hAnsi="Times New Roman;sans-serif"/>
          <w:b w:val="false"/>
          <w:color w:val="000000"/>
          <w:sz w:val="20"/>
          <w:bdr w:val="single" w:sz="8" w:space="36" w:color="000000"/>
          <w:shd w:fill="FFFFFF" w:val="clear"/>
        </w:rPr>
        <w:t>We exist to provide clarity in autoimmune disease decision making with the goal of improving patients' clinical outcomes. We have developed and are commercializing a portfolio of innovative testing products under our AVISE® brand which demonstrate excellent quality and performance. We believe our focus on and experience in the field of rheumatology, combined with our commitment to excellent customer service and support, position us very well to respond to the needs of rheumatologists and the patients they serve.</w:t>
      </w:r>
    </w:p>
    <w:p>
      <w:pPr>
        <w:pStyle w:val="TextBody"/>
        <w:bidi w:val="0"/>
        <w:spacing w:lineRule="auto" w:line="288" w:before="0" w:after="180"/>
        <w:jc w:val="both"/>
        <w:rPr>
          <w:rFonts w:ascii="Times New Roman;sans-serif" w:hAnsi="Times New Roman;sans-serif"/>
          <w:b w:val="false"/>
          <w:color w:val="000000"/>
          <w:sz w:val="20"/>
          <w:bdr w:val="single" w:sz="8" w:space="36" w:color="000000"/>
          <w:shd w:fill="FFFFFF" w:val="clear"/>
        </w:rPr>
      </w:pPr>
      <w:r>
        <w:rPr>
          <w:rFonts w:ascii="Times New Roman;sans-serif" w:hAnsi="Times New Roman;sans-serif"/>
          <w:b w:val="false"/>
          <w:color w:val="000000"/>
          <w:sz w:val="20"/>
          <w:bdr w:val="single" w:sz="8" w:space="36" w:color="000000"/>
          <w:shd w:fill="FFFFFF" w:val="clear"/>
        </w:rPr>
        <w:t>Marketed under our AVISE® brand, our testing products allow for the differential diagnosis, prognosis and monitoring of complex autoimmune and autoimmune-related diseases, including systemic lupus erythematosus (SLE) and rheumatoid arthritis (RA). We commercially launched our lead testing product, AVISE® CTD, in 2012. AVISE® CTD enables differential diagnosis for patients presenting with symptoms indicative of a wide variety of connective tissue diseases (CTDs) and other related diseases with overlapping symptoms. Revenue from this product comprised 88% and 81% of our revenue for the six months ended June 30, 2023 and 2022, respectively. There is an unmet need for rheumatologists to add clarity in their CTD clinical evaluation, and we believe there is a significant opportunity for our tests that enable the differential diagnosis of these diseases, particularly for potentially life-threatening diseases such as SLE.</w:t>
      </w:r>
    </w:p>
    <w:p>
      <w:pPr>
        <w:pStyle w:val="TextBody"/>
        <w:bidi w:val="0"/>
        <w:spacing w:lineRule="auto" w:line="288" w:before="0" w:after="180"/>
        <w:jc w:val="both"/>
        <w:rPr>
          <w:rFonts w:ascii="Times New Roman;sans-serif" w:hAnsi="Times New Roman;sans-serif"/>
          <w:b w:val="false"/>
          <w:color w:val="000000"/>
          <w:sz w:val="20"/>
          <w:bdr w:val="single" w:sz="8" w:space="36" w:color="000000"/>
          <w:shd w:fill="FFFFFF" w:val="clear"/>
        </w:rPr>
      </w:pPr>
      <w:r>
        <w:rPr>
          <w:rFonts w:ascii="Times New Roman;sans-serif" w:hAnsi="Times New Roman;sans-serif"/>
          <w:b w:val="false"/>
          <w:color w:val="000000"/>
          <w:sz w:val="20"/>
          <w:bdr w:val="single" w:sz="8" w:space="36" w:color="000000"/>
          <w:shd w:fill="FFFFFF" w:val="clear"/>
        </w:rPr>
        <w:t>We perform all of our AVISE® tests in our approximately 13,000 square foot laboratory located in Vista, California, which is certified under the Clinical Laboratory Improvement Amendments of 1988 (CLIA) and accredited by the College of American Pathologists (CAP). Our laboratory is certified for performance of high-complexity testing by the Centers for Medicare &amp; Medicaid Services (CMS) in accordance with CLIA and is licensed by all states requiring out-of-state licensure. Our clinical laboratory typically reports all AVISE® testing product results within five business days.</w:t>
      </w:r>
    </w:p>
    <w:p>
      <w:pPr>
        <w:pStyle w:val="TextBody"/>
        <w:bidi w:val="0"/>
        <w:spacing w:lineRule="auto" w:line="288" w:before="0" w:after="180"/>
        <w:jc w:val="both"/>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Additional Information</w:t>
      </w:r>
    </w:p>
    <w:p>
      <w:pPr>
        <w:pStyle w:val="TextBody"/>
        <w:bidi w:val="0"/>
        <w:spacing w:lineRule="auto" w:line="288" w:before="0" w:after="180"/>
        <w:jc w:val="both"/>
        <w:rPr/>
      </w:pPr>
      <w:r>
        <w:rPr>
          <w:rFonts w:ascii="Times New Roman;sans-serif" w:hAnsi="Times New Roman;sans-serif"/>
          <w:b w:val="false"/>
          <w:color w:val="000000"/>
          <w:sz w:val="20"/>
          <w:bdr w:val="single" w:sz="8" w:space="36" w:color="000000"/>
          <w:shd w:fill="FFFFFF" w:val="clear"/>
        </w:rPr>
        <w:t>For additional information related to our business and operations, please refer to the reports incorporated herein by reference, as described under the caption “</w:t>
      </w:r>
      <w:hyperlink w:anchor="i1ab73087d0e440dc9e240397dc92b95a_103">
        <w:r>
          <w:rPr>
            <w:rStyle w:val="InternetLink"/>
            <w:rFonts w:ascii="Times New Roman;sans-serif" w:hAnsi="Times New Roman;sans-serif"/>
            <w:b w:val="false"/>
            <w:color w:val="0000FF"/>
            <w:sz w:val="20"/>
            <w:u w:val="single"/>
            <w:bdr w:val="single" w:sz="8" w:space="36" w:color="000000"/>
            <w:shd w:fill="FFFFFF" w:val="clear"/>
          </w:rPr>
          <w:t>Incorporation of Documents by Reference</w:t>
        </w:r>
      </w:hyperlink>
      <w:r>
        <w:rPr>
          <w:color w:val="000000"/>
          <w:bdr w:val="single" w:sz="8" w:space="36" w:color="000000"/>
          <w:shd w:fill="FFFFFF" w:val="clear"/>
        </w:rPr>
        <w:t xml:space="preserve">” </w:t>
      </w:r>
      <w:r>
        <w:rPr>
          <w:rFonts w:ascii="Times New Roman;sans-serif" w:hAnsi="Times New Roman;sans-serif"/>
          <w:b w:val="false"/>
          <w:color w:val="000000"/>
          <w:sz w:val="20"/>
          <w:bdr w:val="single" w:sz="8" w:space="36" w:color="000000"/>
          <w:shd w:fill="FFFFFF" w:val="clear"/>
        </w:rPr>
        <w:t>on page </w:t>
      </w:r>
      <w:hyperlink w:anchor="i1ab73087d0e440dc9e240397dc92b95a_103">
        <w:r>
          <w:rPr>
            <w:rStyle w:val="InternetLink"/>
          </w:rPr>
          <w:t>S-</w:t>
        </w:r>
      </w:hyperlink>
      <w:hyperlink w:anchor="i1ab73087d0e440dc9e240397dc92b95a_103">
        <w:r>
          <w:rPr>
            <w:rStyle w:val="InternetLink"/>
          </w:rPr>
          <w:t>14</w:t>
        </w:r>
      </w:hyperlink>
      <w:r>
        <w:rPr>
          <w:color w:val="000000"/>
          <w:bdr w:val="single" w:sz="8" w:space="36" w:color="000000"/>
          <w:shd w:fill="FFFFFF" w:val="clear"/>
        </w:rPr>
        <w:t xml:space="preserve"> </w:t>
      </w:r>
      <w:r>
        <w:rPr>
          <w:rFonts w:ascii="Times New Roman;sans-serif" w:hAnsi="Times New Roman;sans-serif"/>
          <w:b w:val="false"/>
          <w:color w:val="000000"/>
          <w:sz w:val="20"/>
          <w:bdr w:val="single" w:sz="8" w:space="36" w:color="000000"/>
          <w:shd w:fill="FFFFFF" w:val="clear"/>
        </w:rPr>
        <w:t>of this prospectus.</w:t>
      </w:r>
    </w:p>
    <w:p>
      <w:pPr>
        <w:pStyle w:val="TextBody"/>
        <w:bidi w:val="0"/>
        <w:spacing w:lineRule="auto" w:line="288" w:before="0" w:after="180"/>
        <w:jc w:val="both"/>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Our Corporate Information</w: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were incorporated under the laws of the state of New Mexico in 2002, under the name Exagen Corporation. In 2003, we changed our state of incorporation from New Mexico to Delaware by merging with and into Exagen Diagnostics, Inc., pursuant to which we changed our name to Exagen Diagnostics, Inc. In January 2019 we changed our name to Exagen Inc. In September 2019, we completed our initial public offering and in March 2021, we completed our secondary public offering. Our principal executive offices are located at 1261 Liberty Way, Vista, California 92081. Our telephone number is (760) 560-1501.</w:t>
      </w:r>
    </w:p>
    <w:p>
      <w:pPr>
        <w:pStyle w:val="TextBody"/>
        <w:bidi w:val="0"/>
        <w:spacing w:lineRule="auto" w:line="288" w:before="0" w:after="180"/>
        <w:jc w:val="both"/>
        <w:rPr>
          <w:bdr w:val="single" w:sz="8" w:space="36" w:color="000000"/>
        </w:rPr>
      </w:pPr>
      <w:r>
        <w:rPr>
          <w:rFonts w:ascii="Times New Roman;sans-serif" w:hAnsi="Times New Roman;sans-serif"/>
          <w:b w:val="false"/>
          <w:color w:val="000000"/>
          <w:sz w:val="20"/>
          <w:bdr w:val="single" w:sz="8" w:space="36" w:color="000000"/>
          <w:shd w:fill="FFFFFF" w:val="clear"/>
        </w:rPr>
        <w:t xml:space="preserve">We maintain a website at </w:t>
      </w:r>
      <w:r>
        <w:rPr>
          <w:rFonts w:ascii="Times New Roman;sans-serif" w:hAnsi="Times New Roman;sans-serif"/>
          <w:b w:val="false"/>
          <w:i/>
          <w:color w:val="000000"/>
          <w:sz w:val="20"/>
          <w:bdr w:val="single" w:sz="8" w:space="36" w:color="000000"/>
          <w:shd w:fill="FFFFFF" w:val="clear"/>
        </w:rPr>
        <w:t>http://www.exagen.com</w:t>
      </w:r>
      <w:r>
        <w:rPr>
          <w:color w:val="000000"/>
          <w:bdr w:val="single" w:sz="8" w:space="36" w:color="000000"/>
          <w:shd w:fill="FFFFFF" w:val="clear"/>
        </w:rPr>
        <w:t xml:space="preserve"> </w:t>
      </w:r>
      <w:r>
        <w:rPr>
          <w:rFonts w:ascii="Times New Roman;sans-serif" w:hAnsi="Times New Roman;sans-serif"/>
          <w:b w:val="false"/>
          <w:color w:val="000000"/>
          <w:sz w:val="20"/>
          <w:bdr w:val="single" w:sz="8" w:space="36" w:color="000000"/>
          <w:shd w:fill="FFFFFF" w:val="clear"/>
        </w:rPr>
        <w:t>to which we regularly post copies of our press releases as well as additional information about us. The information contained on, or that can be accessed through, our website is not a part of this prospectus. We have included our website address in this prospectus solely as an inactive textual reference.</w:t>
      </w: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S-2</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bdr w:val="single" w:sz="8" w:space="36" w:color="000000"/>
          <w:shd w:fill="FFFFFF" w:val="clear"/>
        </w:rPr>
      </w:pPr>
      <w:r>
        <w:rPr>
          <w:rFonts w:ascii="Times New Roman;sans-serif" w:hAnsi="Times New Roman;sans-serif"/>
          <w:b w:val="false"/>
          <w:color w:val="000000"/>
          <w:sz w:val="20"/>
          <w:bdr w:val="single" w:sz="8" w:space="36" w:color="000000"/>
          <w:shd w:fill="FFFFFF" w:val="clear"/>
        </w:rPr>
        <w:t>Our Annual Reports on Form 10-K, Quarterly Reports on Form 10-Q, Current Reports on Form 8-K and all amendments to those reports filed or furnished pursuant to Section 13(a) or 15(d) of the Securities Exchange Act of 1934, as amended are available free of charge through the investor relations page of our website as soon as reasonably practicable after we electronically file such material with, or furnish it to, the SEC.</w:t>
      </w:r>
    </w:p>
    <w:p>
      <w:pPr>
        <w:pStyle w:val="TextBody"/>
        <w:bidi w:val="0"/>
        <w:spacing w:lineRule="auto" w:line="288" w:before="0" w:after="180"/>
        <w:jc w:val="both"/>
        <w:rPr>
          <w:rFonts w:ascii="Times New Roman;sans-serif" w:hAnsi="Times New Roman;sans-serif"/>
          <w:b w:val="false"/>
          <w:color w:val="000000"/>
          <w:sz w:val="20"/>
          <w:bdr w:val="single" w:sz="8" w:space="36" w:color="000000"/>
          <w:shd w:fill="FFFFFF" w:val="clear"/>
        </w:rPr>
      </w:pPr>
      <w:r>
        <w:rPr>
          <w:rFonts w:ascii="Times New Roman;sans-serif" w:hAnsi="Times New Roman;sans-serif"/>
          <w:b w:val="false"/>
          <w:color w:val="000000"/>
          <w:sz w:val="20"/>
          <w:bdr w:val="single" w:sz="8" w:space="36" w:color="000000"/>
          <w:shd w:fill="FFFFFF" w:val="clear"/>
        </w:rPr>
        <w:t>All brand names or trademarks appearing in this prospectus are the property of their respective holders. Use or display by us of other parties’ trademarks, trade dress, or products in this prospectus is not intended to, and does not, imply a relationship with, or endorsements or sponsorship of, us by the trademark or trade dress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S-3</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THE OFFERING</w:t>
      </w:r>
    </w:p>
    <w:tbl>
      <w:tblPr>
        <w:tblW w:w="10205" w:type="dxa"/>
        <w:jc w:val="left"/>
        <w:tblInd w:w="0" w:type="dxa"/>
        <w:tblLayout w:type="fixed"/>
        <w:tblCellMar>
          <w:top w:w="28" w:type="dxa"/>
          <w:left w:w="28" w:type="dxa"/>
          <w:bottom w:w="28" w:type="dxa"/>
          <w:right w:w="28" w:type="dxa"/>
        </w:tblCellMar>
      </w:tblPr>
      <w:tblGrid>
        <w:gridCol w:w="816"/>
        <w:gridCol w:w="546"/>
        <w:gridCol w:w="549"/>
        <w:gridCol w:w="2515"/>
        <w:gridCol w:w="2389"/>
        <w:gridCol w:w="3390"/>
      </w:tblGrid>
      <w:tr>
        <w:trPr/>
        <w:tc>
          <w:tcPr>
            <w:tcW w:w="81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515"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339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Offered By Us</w:t>
            </w:r>
          </w:p>
        </w:tc>
        <w:tc>
          <w:tcPr>
            <w:tcW w:w="829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Shares of our common stock having an aggregate offering price of up to $10,223,534.</w:t>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to Be Outstanding After This Offering</w:t>
            </w:r>
          </w:p>
        </w:tc>
        <w:tc>
          <w:tcPr>
            <w:tcW w:w="829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Up to 23,527,722 shares (as more fully described in the notes following this table), assuming sales of 6,595,828 shares of our common stock in this offering at an offering price of $1.55 per share, which was the last reported sale price of our common stock on Nasdaq on November 24, 2023. The actual number of shares issued will vary depending on the sales price under this offering.</w:t>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Manner of Offering</w:t>
            </w:r>
          </w:p>
        </w:tc>
        <w:tc>
          <w:tcPr>
            <w:tcW w:w="8294"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ans-serif" w:hAnsi="Times New Roman;sans-serif"/>
                <w:b w:val="false"/>
                <w:color w:val="000000"/>
                <w:sz w:val="20"/>
              </w:rPr>
              <w:t>At the market offering” that may be made from time to time through our sales agent, TD Cowen. See “</w:t>
            </w:r>
            <w:hyperlink w:anchor="i1ab73087d0e440dc9e240397dc92b95a_91">
              <w:r>
                <w:rPr>
                  <w:rStyle w:val="InternetLink"/>
                  <w:rFonts w:ascii="Times New Roman;sans-serif" w:hAnsi="Times New Roman;sans-serif"/>
                  <w:b w:val="false"/>
                  <w:color w:val="0000FF"/>
                  <w:sz w:val="20"/>
                  <w:u w:val="single"/>
                </w:rPr>
                <w:t>Plan of Distribution</w:t>
              </w:r>
            </w:hyperlink>
            <w:r>
              <w:rPr>
                <w:color w:val="000000"/>
              </w:rPr>
              <w:t xml:space="preserve">” </w:t>
            </w:r>
            <w:r>
              <w:rPr>
                <w:rFonts w:ascii="Times New Roman;sans-serif" w:hAnsi="Times New Roman;sans-serif"/>
                <w:b w:val="false"/>
                <w:color w:val="000000"/>
                <w:sz w:val="20"/>
              </w:rPr>
              <w:t xml:space="preserve">on page </w:t>
            </w:r>
            <w:hyperlink w:anchor="i1ab73087d0e440dc9e240397dc92b95a_91">
              <w:r>
                <w:rPr>
                  <w:rStyle w:val="InternetLink"/>
                  <w:rFonts w:ascii="Times New Roman;sans-serif" w:hAnsi="Times New Roman;sans-serif"/>
                  <w:b w:val="false"/>
                  <w:color w:val="000080"/>
                  <w:sz w:val="20"/>
                  <w:u w:val="single"/>
                </w:rPr>
                <w:t>S-</w:t>
              </w:r>
            </w:hyperlink>
            <w:hyperlink w:anchor="i1ab73087d0e440dc9e240397dc92b95a_91">
              <w:r>
                <w:rPr>
                  <w:rStyle w:val="InternetLink"/>
                  <w:rFonts w:ascii="Times New Roman;sans-serif" w:hAnsi="Times New Roman;sans-serif"/>
                  <w:b w:val="false"/>
                  <w:color w:val="000080"/>
                  <w:sz w:val="20"/>
                  <w:u w:val="single"/>
                </w:rPr>
                <w:t>12</w:t>
              </w:r>
            </w:hyperlink>
            <w:r>
              <w:rPr>
                <w:color w:val="000000"/>
              </w:rPr>
              <w:t xml:space="preserve"> </w:t>
            </w:r>
            <w:r>
              <w:rPr>
                <w:rFonts w:ascii="Times New Roman;sans-serif" w:hAnsi="Times New Roman;sans-serif"/>
                <w:b w:val="false"/>
                <w:color w:val="000000"/>
                <w:sz w:val="20"/>
              </w:rPr>
              <w:t>of this prospectus supplement.</w:t>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 of Proceeds</w:t>
            </w:r>
          </w:p>
        </w:tc>
        <w:tc>
          <w:tcPr>
            <w:tcW w:w="829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We currently intend to use the net proceeds from this offering, if any, for general corporate purposes, including working capital and other general and administrative purposes. See “</w:t>
            </w:r>
            <w:hyperlink w:anchor="i1ab73087d0e440dc9e240397dc92b95a_85">
              <w:r>
                <w:rPr>
                  <w:rStyle w:val="InternetLink"/>
                  <w:rFonts w:ascii="Times New Roman;sans-serif" w:hAnsi="Times New Roman;sans-serif"/>
                  <w:b w:val="false"/>
                  <w:color w:val="0000FF"/>
                  <w:sz w:val="20"/>
                  <w:u w:val="single"/>
                </w:rPr>
                <w:t>Use of Proceeds</w:t>
              </w:r>
            </w:hyperlink>
            <w:r>
              <w:rPr>
                <w:color w:val="000000"/>
              </w:rPr>
              <w:t xml:space="preserve">” </w:t>
            </w:r>
            <w:r>
              <w:rPr>
                <w:rFonts w:ascii="Times New Roman;sans-serif" w:hAnsi="Times New Roman;sans-serif"/>
                <w:b w:val="false"/>
                <w:color w:val="000000"/>
                <w:sz w:val="20"/>
              </w:rPr>
              <w:t xml:space="preserve">on page </w:t>
            </w:r>
            <w:hyperlink w:anchor="i1ab73087d0e440dc9e240397dc92b95a_85">
              <w:r>
                <w:rPr>
                  <w:rStyle w:val="InternetLink"/>
                  <w:rFonts w:ascii="Times New Roman;sans-serif" w:hAnsi="Times New Roman;sans-serif"/>
                  <w:b w:val="false"/>
                  <w:color w:val="000080"/>
                  <w:sz w:val="20"/>
                  <w:u w:val="single"/>
                </w:rPr>
                <w:t>S-</w:t>
              </w:r>
            </w:hyperlink>
            <w:hyperlink w:anchor="i1ab73087d0e440dc9e240397dc92b95a_85">
              <w:r>
                <w:rPr>
                  <w:rStyle w:val="InternetLink"/>
                  <w:rFonts w:ascii="Times New Roman;sans-serif" w:hAnsi="Times New Roman;sans-serif"/>
                  <w:b w:val="false"/>
                  <w:color w:val="000080"/>
                  <w:sz w:val="20"/>
                  <w:u w:val="single"/>
                </w:rPr>
                <w:t>9</w:t>
              </w:r>
            </w:hyperlink>
            <w:r>
              <w:rPr>
                <w:color w:val="000000"/>
              </w:rPr>
              <w:t xml:space="preserve"> </w:t>
            </w:r>
            <w:r>
              <w:rPr>
                <w:rFonts w:ascii="Times New Roman;sans-serif" w:hAnsi="Times New Roman;sans-serif"/>
                <w:b w:val="false"/>
                <w:color w:val="000000"/>
                <w:sz w:val="20"/>
              </w:rPr>
              <w:t>of this prospectus supplement.</w:t>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Factors</w:t>
            </w:r>
          </w:p>
        </w:tc>
        <w:tc>
          <w:tcPr>
            <w:tcW w:w="829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Investing in our common stock involves a high degree of risk. See “Risk Factors” and other information included in this prospectus supplement and the documents incorporated by reference herein and in the accompanying prospectus for a discussion of factors you should carefully consider before deciding to invest in shares of our common stock.</w:t>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Capital Market Symbol</w:t>
            </w:r>
          </w:p>
        </w:tc>
        <w:tc>
          <w:tcPr>
            <w:tcW w:w="8294"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r>
              <w:rPr>
                <w:rFonts w:ascii="Times New Roman;sans-serif" w:hAnsi="Times New Roman;sans-serif"/>
                <w:b w:val="false"/>
                <w:color w:val="000000"/>
                <w:sz w:val="20"/>
              </w:rPr>
              <w:t>XGN”</w:t>
            </w:r>
          </w:p>
        </w:tc>
      </w:tr>
    </w:tbl>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number of shares of common stock outstanding immediately following this offering set forth above is based on 16,931,894 shares of our common stock outstanding as of September 30, 2023. This number excludes: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1,004,855 shares of our common stock issuable upon the exercise of stock options outstanding as of September 30, 2023 under our equity incentive plans at a weighted-average exercise price of $11.88 per share;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1,568,112 restricted stock units, or RSUs, outstanding as of September 30, 2023 under our equity incentive plans;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449,332 shares of our common stock reserved as of September 30, 2023 for future issuance under our 2019 Employee Stock Purchase Plan, or the ESPP;</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1,746,478 shares of our common stock reserved as of September 30, 2023 for future issuance under our 2019 Incentive Award Plan, or the 2019 Plan;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1,214,059 shares of our common stock issuable upon the exercise of warrants outstanding as of September 30, 2023 at a weighted-average exercise price of $1.70 per share.</w: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Unless otherwise indicated, all information in this prospectus supplement assumes no exercise of outstanding stock options or warrants subsequent to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S-4</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bidi w:val="0"/>
        <w:spacing w:lineRule="auto" w:line="288" w:before="0" w:after="18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An investment in our securities involves a high degree of risk. You should carefully review the risks and uncertainties described below and in the section titled “Risk Factors” in our Annual Report on Form 10-K for the year ended December 31, 2022 and Quarterly Report on Form 10-Q for the quarters ended March 30, 2023, June 30, 2023 and September 30, 2023, as updated by our subsequent filings under the Exchange Act, each of which are incorporated by reference into this prospectus supplement in their entirety, together with all of the other information contained in or incorporated by reference into this prospectus supplement, the accompanying prospectus and any free writing prospectus that we have authorized for use in connection with this offering, before deciding whether to purchase any of the securities being registered pursuant to the registration statement of which this prospectus supplement and the accompanying prospectus is a part. The risks and uncertainties described in these risk factors are not the only ones facing us. Additional risks and uncertainties of which we are currently unaware or that we currently consider to be immaterial may also become important factors that affect us. If any of these risks occur, our business, financial condition or results of operations could be materially and adversely affected. In that case, the value of our common stock could decline, and you may lose some or all of your investment. Please also carefully read the section below titled “Cautionary Note Regarding Forward-Looking Statements.”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Additional Risks Related to this Offering</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you purchase our common stock in this offering, you may experience immediate and substantial dilution.</w:t>
      </w:r>
    </w:p>
    <w:p>
      <w:pPr>
        <w:pStyle w:val="TextBody"/>
        <w:bidi w:val="0"/>
        <w:spacing w:lineRule="auto" w:line="288" w:before="0" w:after="180"/>
        <w:jc w:val="both"/>
        <w:rPr/>
      </w:pPr>
      <w:r>
        <w:rPr>
          <w:rFonts w:ascii="Times New Roman;sans-serif" w:hAnsi="Times New Roman;sans-serif"/>
          <w:b w:val="false"/>
          <w:color w:val="000000"/>
          <w:sz w:val="20"/>
          <w:shd w:fill="FFFFFF" w:val="clear"/>
        </w:rPr>
        <w:t>The offering price per share in this offering may exceed the net tangible book value per share of our common stock outstanding prior to this offering. Assuming that an aggregate o</w:t>
      </w:r>
      <w:r>
        <w:rPr>
          <w:rFonts w:ascii="Times New Roman;sans-serif" w:hAnsi="Times New Roman;sans-serif"/>
          <w:b w:val="false"/>
          <w:color w:val="000000"/>
          <w:sz w:val="20"/>
        </w:rPr>
        <w:t>f 6,595,828 shares of our common stock are sold at a price of $1.55 per share, the last reported sale price of our common stock on Nasdaq on November 24, 2023, for aggregate gross proceeds of $10.2 million, and after deducting estimated offering commissions and offering expenses payable by us, you would experience immediate accretion of $0.03 per share, representing the difference between our as adjusted net tangible book value per share as of September 30, 2023 after giving effect to this offering and the assumed offering price. The exercise of outstanding stock options, vesting of RSUs and exercise of warrants would result in further dilution of your investment. See the section below titled “Dilution” for a more detailed illustration of the dilution you will incur if you participate in this offering. Because the sales of the s</w:t>
      </w:r>
      <w:r>
        <w:rPr>
          <w:rFonts w:ascii="Times New Roman;sans-serif" w:hAnsi="Times New Roman;sans-serif"/>
          <w:b w:val="false"/>
          <w:color w:val="000000"/>
          <w:sz w:val="20"/>
          <w:shd w:fill="FFFFFF" w:val="clear"/>
        </w:rPr>
        <w:t>hares offered hereby will be made directly into the market or in negotiated transactions, the prices at which we sell these shares will vary and these variations may be significant. Purchasers of the shares we sell, as well as our existing stockholders, will experience significant dilution if we sell shares at prices significantly below the price at which they invested.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you purchase our common stock in this offering, you may experience future dilution as a result of future equity offerings.</w:t>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order to raise additional capital, we may in the future offer additional shares of our common stock or other securities convertible into or exchangeable for our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management might apply the net proceeds from this offering in ways with which you do not agree and in ways that may impair the value of your investment.</w:t>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currently intend to use the net proceeds from this offering, if any, for general corporate purposes, including working capital and other general and administrative purposes. We may also use any net proceeds from this offering for acquisitions of complementary products, technologies or businesses, but we do not have any agreements or commitments for any specific acquisitions as of the date of this prospectus supplement. We have not reserved or allocated specific amounts for any of these purposes and we cannot specify with certainty how we will use any net proceeds, and the timing and amount of our actual expenditures will be based on many factors, including, among others, cash flows from operations and any growth of our business. Until the funds are used as described above, we </w:t>
      </w: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S-5</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intend to invest any net proceeds from this offering in interest bearing, investment grade securities. Our management will have broad discretion in applying any net proceeds of this offering and you will be relying on the judgment of our management regarding the application of these proceeds. We might apply these proceeds in ways with which you do not agree or in ways that do not yield a favorable return. If our management applies these proceeds in a manner that does not yield a significant return, if any, on our investment of these net proceeds, it could compromise our ability to pursue our growth strategy and adversely affect the market price of our common stock.</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The actual number of shares we will issue under the sales agreement, at any one time or in total, is uncertain.</w:t>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Subject to certain limitations in the sales agreement and compliance with applicable law, we have the discretion to deliver a placement notice to TD Cowen at any time throughout the term of the sales agreement. The number of shares that are sold by TD Cowen after delivering a placement notice will fluctuate based on the market price of the common shares during the sales period and limits we set with TD Cowen. Because the price per share of each share sold will fluctuate based on the market price of our common stock during the sales period, it is not possible at this stage to predict the number of shares that will be ultimately issued.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The shares of common stock offered hereby will be sold in “at the market offerings,” and investors who buy shares of our common stock at different times will likely pay different prices.</w:t>
      </w:r>
    </w:p>
    <w:p>
      <w:pPr>
        <w:pStyle w:val="TextBody"/>
        <w:bidi w:val="0"/>
        <w:spacing w:lineRule="auto" w:line="288" w:before="0" w:after="18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Investors who purchase shares of our common stock in this offering at different times will likely pay different prices, and so may experience different levels of dilution and different outcomes in their investment results. We will have discretion, subject to market demand, to vary the timing, prices, and numbers of shares of our common stock sold in this offering. In addition, subject to the final determination by our board of directors, there is no minimum or maximum sales price for shares of our common stock to be sold in this offering. Investors may experience a decline in the value of the shares of common stock they purchase in this offering as a result of sales made at prices lower than the prices they paid.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S-6</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supplement and the accompanying prospectus, including documents incorporated by reference herein and therein, and any free writing prospectus that we have authorized for use in connection with this offering, contain forward-looking statements within the meaning of Section 27A of the Securities Act of 1933, as amended, or Securities Act, and Section 21E of the Securities Exchange Act of 1934, as amended, or Exchange Act.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words “believe,” “may,” “will,” “potentially,” “estimate,” “continue,” “anticipate,” “intend,” “could,” “would,” “project,” “plan,” “expect,” “possible,” “likely,” “probable,” and similar expressions that convey uncertainty of future events or outcomes identify forward-looking statements. These statements include, among other things, statements regarding:</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have a history of losses, we expect to incur net losses in the future and we may not be able to generate sufficient revenue to achieve and maintain profitability;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 the near-term, we expect that our financial results will depend primarily on sales of our testing products, and we will need to generate sufficient revenue from these testing products to grow our business;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may be unable to manage our ongoing growth effectively, which could make it difficult to execute our business strategy;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commercial success depends on attaining and maintaining significant market acceptance of our testing products and promoted therapeutics among rheumatologists, patients, third-party payors and others in the medical community;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rely on sole suppliers for some of the reagents, equipment and other materials used in our testing products, and we may not be able to fund replacements or transition to alternative suppliers;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we are unable to support demand for our current testing products or any of our future testing products or solutions, our business could suffer;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third-party payors do not provide coverage and adequate reimbursement for our testing products, or they breach, rescind or modify their contracts or reimbursement policies or delay payments for our tests, or if we or our partners are unable to successfully negotiate payor contracts, gross margins and commercial success could be materially adversely affected;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we are unable to compete successfully, we may be unable to increase or sustain our revenue or achieve profitability;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Developing new testing products involves a lengthy and complex process, and we may not be able to commercialize on a timely basis, or at all, other testing products we are developing;</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our sole laboratory facility becomes damaged or inoperable, we are required to vacate our existing facility or we are unable to expand our existing facility as needed, we will be unable to perform our testing services and our business will be harmed and, in addition, we are in the process of converting warehouse space into additional laboratory facilities, but this may not be successful;</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may require substantial additional capital to finance our planned operations, which may not be available to us on acceptable terms or at all. Our failure to obtain additional financing when needed on acceptable terms, or at all, could force us to delay, limit, reduce or eliminate our product development programs, commercialization efforts or other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conduct business in a heavily regulated industry. Complying with the numerous statutes and regulations pertaining to our business is expensive and time-consuming, and any failure by us, our consultants or commercial partners to comply could result in substantial penalties;</w:t>
      </w: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S-7</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we are unable to maintain intellectual property protection our competitive position could be harmed;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impact of the above factors and other future events on the market price of our common stock;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anticipated use of proceeds from this offering, if any.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Although forward-looking statements in this prospectus supplement and the accompanying prospectus, including the documents incorporated by reference herein and therein, and in any free writing prospectus that we have authorized for use in connection with this offering, reflect the good faith judgment of our management, such statements can only be based on facts and factors currently known by us. Consequently, forward-looking statements are inherently subject to risks and uncertainties and actual results and outcomes may differ materially from the results and outcomes discussed in or anticipated by the forward-looking statements. Factors that could cause or contribute to such differences in results and outcomes include, without limitation, those specifically addressed under the heading “Risk Factors” contained in this prospectus supplement, the accompanying prospectus and any related free writing prospectus, and under similar headings in the other documents that are incorporated by reference into this prospectus supplement and the accompanying prospectus, including our most recent annual report on Form 10-K and quarterly reports on Form 10-Q, as well as any amendments thereto reflected in subsequent filings with the SEC. Readers are urged not to place undue reliance on these forward-looking statements, which speak only as of the date made. We file reports with the SEC, and our electronic filings with the SEC (including our annual reports on Form 10-K, quarterly reports on Form 10-Q and current reports on Form 8-K, and any amendments to these reports) are available free of charge on the SEC’s website at www.sec.gov.</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undertake no obligation to revise or update any forward-looking statements in order to reflect any event or circumstance that may arise after the date of this prospectus supplement, except as required by law. Readers are urged to carefully review and consider the various disclosures made throughout the entirety of this prospectus supplement, the accompanying prospectus and any related free writing prospectus, and the documents incorporated by reference into this prospectus supplement and the accompanying prospectus, which disclosures are designed to advise interested parties of the risks and factors that may affect our business, financial condition, results of operations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USE OF PROCEEDS</w:t>
      </w:r>
    </w:p>
    <w:p>
      <w:pPr>
        <w:pStyle w:val="TextBody"/>
        <w:bidi w:val="0"/>
        <w:spacing w:lineRule="auto" w:line="288" w:before="0" w:after="180"/>
        <w:jc w:val="both"/>
        <w:rPr/>
      </w:pPr>
      <w:r>
        <w:rPr>
          <w:rFonts w:ascii="Times New Roman;sans-serif" w:hAnsi="Times New Roman;sans-serif"/>
          <w:b w:val="false"/>
          <w:color w:val="000000"/>
          <w:sz w:val="20"/>
        </w:rPr>
        <w:t>We may issue and sell shares of our common stock having aggregate sales proceeds of up to </w:t>
      </w:r>
      <w:r>
        <w:rPr>
          <w:rFonts w:ascii="Times New Roman;sans-serif" w:hAnsi="Times New Roman;sans-serif"/>
          <w:b w:val="false"/>
          <w:color w:val="000000"/>
          <w:sz w:val="20"/>
          <w:shd w:fill="FFFFFF" w:val="clear"/>
        </w:rPr>
        <w:t>$10.2 million</w:t>
      </w:r>
      <w:r>
        <w:rPr>
          <w:color w:val="000000"/>
        </w:rPr>
        <w:t> </w:t>
      </w:r>
      <w:r>
        <w:rPr>
          <w:rFonts w:ascii="Times New Roman;sans-serif" w:hAnsi="Times New Roman;sans-serif"/>
          <w:b w:val="false"/>
          <w:color w:val="000000"/>
          <w:sz w:val="20"/>
        </w:rPr>
        <w:t>from time to time.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the sales agreement with TD Cowen as a source of financing.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intend to use the net proceeds from this offering, if any, for general corporate purposes, including working capital and other general and administrative purposes. We may also use any net proceeds from this offering for acquisitions of complementary products, technologies or businesses, but we do not have any agreements or commitments for any specific acquisitions as of the date of this prospectus supplement. We have not reserved or allocated specific amounts for any of these purposes and we cannot specify with certainty how we will use any net proceeds, and the timing and amount of our actual expenditures will be based on many factors, including, among others, cash flows from operations and any growth of our business. Our management will have broad discretion in applying any net proceeds of this offering. Until the funds are used as described above, we intend to invest any net proceeds from this offering in interest bearing, investment grade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S-9</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DILUTION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net tangible book value as of September 30, 2023 was approximately $27.5 million, or $1.62 per share. Net tangible book value per share is determined by dividing our total tangible assets, less total liabilities, by the number of shares of our common stock outstanding as of September 30, 2023. Dilution with respect to net tangible book value per share represents the difference between the amount per share paid by purchasers of shares of common stock in this offering and the as adjusted net tangible book value per share of our common stock immediately after giving effect to this offering.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After giving effect to the sale of 6,595,828 shares of our common stock in this offering at an assumed offering price of $1.55 per share, the last reported sale price of our common stock on Nasdaq on November 24, 2023, and after deducting estimated offering commissions and offering expenses payable by us, our as adjusted net tangible book value as of September 30, 2023 would have been approximately $37.1 million, or $1.58 per share. This represents an immediate decrease in net tangible book value of $0.04 per share to existing stockholders and immediate accretion of $0.03 per share to investors purchasing our common stock in this offering at the public offering price. The following table illustrates this dilution on a per share basis:</w:t>
      </w:r>
    </w:p>
    <w:tbl>
      <w:tblPr>
        <w:tblW w:w="10205" w:type="dxa"/>
        <w:jc w:val="left"/>
        <w:tblInd w:w="0" w:type="dxa"/>
        <w:tblLayout w:type="fixed"/>
        <w:tblCellMar>
          <w:top w:w="28" w:type="dxa"/>
          <w:left w:w="28" w:type="dxa"/>
          <w:bottom w:w="28" w:type="dxa"/>
          <w:right w:w="28" w:type="dxa"/>
        </w:tblCellMar>
      </w:tblPr>
      <w:tblGrid>
        <w:gridCol w:w="2965"/>
        <w:gridCol w:w="2593"/>
        <w:gridCol w:w="2612"/>
        <w:gridCol w:w="211"/>
        <w:gridCol w:w="511"/>
        <w:gridCol w:w="109"/>
        <w:gridCol w:w="109"/>
        <w:gridCol w:w="109"/>
        <w:gridCol w:w="109"/>
        <w:gridCol w:w="211"/>
        <w:gridCol w:w="511"/>
        <w:gridCol w:w="155"/>
      </w:tblGrid>
      <w:tr>
        <w:trPr/>
        <w:tc>
          <w:tcPr>
            <w:tcW w:w="2965"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8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public offering price per share</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tangible book value per share of as September 30, 2023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net tangible book value per share attributable to this offering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adjusted net tangible book value per share as of September 30, 2023, after giving effect to this offering</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per share to investors purchasing our common stock in this offering</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shares of common stock outstanding immediately following this offering is based on 16,931,894 shares of our common stock outstanding as of September 30, 2023. This number excludes: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1,004,855 shares of our common stock issuable upon the exercise of stock options outstanding as of September 30, 2023 under our equity incentive plans at a weighted-average exercise price of $11.88 per share;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1,568,112 restricted stock units, or RSUs, outstanding as of September 30, 2023 under our equity incentive plans;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449,332 shares of our common stock reserved as of September 30, 2023 for future issuance under our 2019 Employee Stock Purchase Plan, or the ESPP;</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1,746,478 shares of our common stock reserved as of September 30, 2023 for future issuance under our 2019 Incentive Award Plan, or the 2019 Plan;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1,214,059 shares of our common stock issuable upon the exercise of warrants outstanding as of September 30, 2023 at a weighted-average exercise price of $1.70 per share.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above assumes for illustrative purposes that an aggregate of 6,595,828 shares of our common stock are sold during the term of the sales agreement with TD Cowen at a price of $1.55 per share, the last reported sale price of our common stock on Nasdaq on November 24, 2023, for aggregate gross proceeds of $10.2 million. The shares subject to the sales agreement with TD Cowen may be sold from time to time at various prices. An increase of $1.00 per share in the price at which the shares are sold from the assumed offering price of $1.55 per share shown in the table above, assuming all of our common stock in the aggregate amount of $10.2 million during the term of the sales agreement with TD Cowen is sold at that price, would increase our adjusted net tangible book value per share after the offering to $1.85 per share and would result in an immediate dilution in as adjusted net tangible book value per share of approximately $0.70 per share to new investors in this offering, after deducting estimated offering commissions and offering expenses payable by us. A decrease of $1.00 per share in the price at which the shares are sold from the assumed offering price of $1.55 per share shown in the table above, assuming all of our common stock in the aggregate amount of $10.2 million during the term of the sales agreement with TD Cowen is sold at that price, </w:t>
      </w:r>
    </w:p>
    <w:p>
      <w:pPr>
        <w:pStyle w:val="TextBody"/>
        <w:bidi w:val="0"/>
        <w:spacing w:before="0" w:after="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S-10</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would decrease our adjusted net tangible book value per share after the offering to $1.31 per share and would result in an immediate accretion in net tangible book value per share of approximately $0.76 per share to new investors in this offering, after deducting estimated offering commissions and offering expenses payable by us. This information is supplied for illustrative purposes only.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options or warrants outstanding as of September 30, 2023 have been or may be exercised, RSUs outstanding as of September 30, 2023 have been or may be vested, or we issue additional options, RSUs, warrants or shares of our common stock, investors purchasing our common stock in this offering may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S-11</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PLAN OF DISTRIBUTION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a sales agreement with TD Cowen, under which we may issue and sell from time to time up to $50.0 million of our common stock through TD Cowen as our sales agent, of which $10.2 million of common stock may be offered, issued and sold under this prospectus supplement and is included in the $150.0 million of securities that may be offered, issued and sold by us pursuant to our shelf registration statement. Sales of our common stock, if any, will be made at market prices by any method that is deemed to be an “at the market offering” as defined in Rule 415(a)(4) under the Securities Act, including sales made directly on Nasdaq or any other trading market for our common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TD Cowen will offer our common stock subject to the terms and conditions of the sales agreement on a daily basis or as otherwise agreed upon by us and TD Cowen. We will designate the maximum amount of common stock to be sold through TD Cowen on a daily basis or otherwise determine such maximum amount together with TD Cowen. Subject to the terms and conditions of the sales agreement, TD Cowen will use its commercially reasonable efforts to sell on our behalf all of the shares of common stock requested to be sold by us. We may instruct TD Cowen not to sell common stock if the sales cannot be effected at or above the price designated by us in any such instruction. TD Cowen or we may suspend the offering of our common stock being made through TD Cowen under the sales agreement upon proper notice to the other party. TD Cowen and we each have the right, by giving written notice as specified in the sales agreement, to terminate the sales agreement in each party’s sole discretion at any time.</w:t>
      </w:r>
    </w:p>
    <w:p>
      <w:pPr>
        <w:pStyle w:val="TextBody"/>
        <w:bidi w:val="0"/>
        <w:spacing w:lineRule="auto" w:line="288" w:before="0" w:after="180"/>
        <w:jc w:val="both"/>
        <w:rPr/>
      </w:pPr>
      <w:r>
        <w:rPr>
          <w:rFonts w:ascii="Times New Roman;sans-serif" w:hAnsi="Times New Roman;sans-serif"/>
          <w:b w:val="false"/>
          <w:color w:val="000000"/>
          <w:sz w:val="20"/>
        </w:rPr>
        <w:t>The aggregate compensation payable to TD Cowen as sales agent is equal to 3.0% of the gross sales price of the shares sold through it pursuant to the sales agreement. We have also agreed to reimburse TD Cowen up to $75,000 of TD Cowen’s actual outside legal expenses incurred by TD Cowen in connection with this offering. We estimate that the tot</w:t>
      </w:r>
      <w:r>
        <w:rPr>
          <w:rFonts w:ascii="Times New Roman;sans-serif" w:hAnsi="Times New Roman;sans-serif"/>
          <w:b w:val="false"/>
          <w:color w:val="000000"/>
          <w:sz w:val="20"/>
          <w:shd w:fill="FFFFFF" w:val="clear"/>
        </w:rPr>
        <w:t>al expenses of the offering payable by us, excluding commissions payable to TD Cowen under the sales agreement, will be approximately $0.3 million.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remaining sales proceeds, after deducting any expenses payable by us and any transaction fees imposed by any governmental, regulatory, or self-regulatory organization in connection with the sales, will equal our net proceeds for the sale of such common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TD Cowen will provide written confirmation to us following the close of trading on Nasdaq on each day in which common stock is sold through it as sales agent under the sales agreement. Each confirmation will include the number of shares of common stock sold through it as sales agent on that day, the volume weighted average price of the shares sold, the percentage of the daily trading volume and the net proceeds to us.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will report at least quarterly the number of shares of common stock sold through TD Cowen under the sales agreement, the net proceeds to us and the compensation paid by us to TD Cowen in connection with the sales of common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Settlement for sales of common stock will occur, unless the parties agree otherwise, on the second business day that is also a trading day following the date on which any sales were made in return for payment of the net proceeds to us. There is no arrangement for funds to be received in an escrow, trust or similar arrangement.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sales of our common stock on our behalf, TD Cowen will be deemed to be an “underwriter” within the meaning of the Securities Act, and the compensation paid to TD Cowen will be deemed to be underwriting commissions or discounts. We have agreed in the sales agreement to provide indemnification and contribution to TD Cowen against certain liabilities, including liabilities under the Securities Act. As sales agent, TD Cowen will not engage in any transaction that stabilizes our common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Nasdaq and trades under the symbol “XGN.” The transfer agent of our common stock is Computershare Trust Company, N.A.</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TD Cowen and/or its affiliates have provided, and may in the future provide, various investment banking and other financial services for us for which services they have received and, may in the future receive, customary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S-12</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legal matters relating to the issuance of the shares offered by this prospectus supplement and the accompanying prospectus will be passed upon for us by Mintz, Levin, Cohn, Ferris, Glovsky and Popeo, P.C., San Diego, California. Duane Morris LLP, New York, New York, is counsel to TD Cowen in connection with this offering.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EXPERTS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statements as of December 31, 2022 and 2021 and for the years then ended incorporated by reference in this prospectus supplement have been so incorporated in reliance on the report of BDO USA, LLP (n/k/a BDO USA, P.C.), an independent registered public accounting firm, incorporated herein by reference, given on the authority of said firm as experts in auditing and accounting.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WHERE YOU CAN FIND MORE INFORMATION</w:t>
      </w:r>
    </w:p>
    <w:p>
      <w:pPr>
        <w:pStyle w:val="TextBody"/>
        <w:bidi w:val="0"/>
        <w:spacing w:lineRule="auto" w:line="288" w:before="0" w:after="180"/>
        <w:jc w:val="both"/>
        <w:rPr/>
      </w:pPr>
      <w:r>
        <w:rPr>
          <w:rFonts w:ascii="Times New Roman;sans-serif" w:hAnsi="Times New Roman;sans-serif"/>
          <w:b w:val="false"/>
          <w:color w:val="000000"/>
          <w:sz w:val="20"/>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Times New Roman;sans-serif" w:hAnsi="Times New Roman;sans-serif"/>
          <w:b w:val="false"/>
          <w:i/>
          <w:color w:val="000000"/>
          <w:sz w:val="20"/>
          <w:u w:val="single"/>
        </w:rPr>
        <w:t>http://www.sec.gov</w:t>
      </w:r>
      <w:r>
        <w:rPr>
          <w:rFonts w:ascii="Times New Roman;sans-serif" w:hAnsi="Times New Roman;sans-serif"/>
          <w:b w:val="false"/>
          <w:i/>
          <w:color w:val="000000"/>
          <w:sz w:val="20"/>
        </w:rPr>
        <w:t>.</w:t>
      </w:r>
    </w:p>
    <w:p>
      <w:pPr>
        <w:pStyle w:val="TextBody"/>
        <w:bidi w:val="0"/>
        <w:spacing w:lineRule="auto" w:line="288" w:before="0" w:after="180"/>
        <w:jc w:val="both"/>
        <w:rPr/>
      </w:pPr>
      <w:r>
        <w:rPr>
          <w:rFonts w:ascii="Times New Roman;sans-serif" w:hAnsi="Times New Roman;sans-serif"/>
          <w:b w:val="false"/>
          <w:color w:val="000000"/>
          <w:sz w:val="20"/>
        </w:rPr>
        <w:t xml:space="preserve">Our website address is </w:t>
      </w:r>
      <w:r>
        <w:rPr>
          <w:rFonts w:ascii="Times New Roman;sans-serif" w:hAnsi="Times New Roman;sans-serif"/>
          <w:b w:val="false"/>
          <w:i/>
          <w:color w:val="000000"/>
          <w:sz w:val="20"/>
        </w:rPr>
        <w:t>http://www.exagen.com</w:t>
      </w:r>
      <w:r>
        <w:rPr>
          <w:rFonts w:ascii="Times New Roman;sans-serif" w:hAnsi="Times New Roman;sans-serif"/>
          <w:b w:val="false"/>
          <w:color w:val="000000"/>
          <w:sz w:val="20"/>
        </w:rPr>
        <w:t>. The information on our website, however, is not, and should not be deemed to be, a part of this prospectus.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S-13</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INCORPORATION OF DOCUMENTS BY REFERENCE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This prospectus and any accompanying prospectus supplement incorporate by reference the documents set forth below that have previously been filed with the SEC:</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Annual Report on Form 10-K for the year ended December 31, 2022, filed with the SEC on </w:t>
      </w:r>
      <w:hyperlink r:id="rId3">
        <w:r>
          <w:rPr>
            <w:rStyle w:val="InternetLink"/>
            <w:rFonts w:ascii="Times New Roman;sans-serif" w:hAnsi="Times New Roman;sans-serif"/>
            <w:b w:val="false"/>
            <w:color w:val="0000FF"/>
            <w:sz w:val="20"/>
            <w:u w:val="single"/>
          </w:rPr>
          <w:t>March 20, 2023</w:t>
        </w:r>
      </w:hyperlink>
      <w:r>
        <w:rPr>
          <w:rFonts w:ascii="Times New Roman;sans-serif" w:hAnsi="Times New Roman;sans-serif"/>
          <w:b w:val="false"/>
          <w:color w:val="000000"/>
          <w:sz w:val="20"/>
        </w:rPr>
        <w:t>, including the information incorporated by reference into our Annual Report on Form 10-K from our definitive proxy statement for our 2023 Annual Meeting of Stockholders;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Quarterly Report on Form 10-Q for the quarter ended March 31, 2023, June 30, 2023 and September 30, 2023 filed with the SEC on </w:t>
      </w:r>
      <w:hyperlink r:id="rId4">
        <w:r>
          <w:rPr>
            <w:rStyle w:val="InternetLink"/>
            <w:rFonts w:ascii="Times New Roman;sans-serif" w:hAnsi="Times New Roman;sans-serif"/>
            <w:b w:val="false"/>
            <w:color w:val="0000FF"/>
            <w:sz w:val="20"/>
            <w:u w:val="single"/>
          </w:rPr>
          <w:t>May 15, 2023</w:t>
        </w:r>
      </w:hyperlink>
      <w:r>
        <w:rPr>
          <w:rFonts w:ascii="Times New Roman;sans-serif" w:hAnsi="Times New Roman;sans-serif"/>
          <w:b w:val="false"/>
          <w:color w:val="000000"/>
          <w:sz w:val="20"/>
        </w:rPr>
        <w:t xml:space="preserve">, </w:t>
      </w:r>
      <w:hyperlink r:id="rId5">
        <w:r>
          <w:rPr>
            <w:rStyle w:val="InternetLink"/>
            <w:rFonts w:ascii="Times New Roman;sans-serif" w:hAnsi="Times New Roman;sans-serif"/>
            <w:b w:val="false"/>
            <w:color w:val="0000FF"/>
            <w:sz w:val="20"/>
            <w:u w:val="single"/>
          </w:rPr>
          <w:t>August 7, 2023</w:t>
        </w:r>
      </w:hyperlink>
      <w:r>
        <w:rPr>
          <w:color w:val="000000"/>
        </w:rPr>
        <w:t xml:space="preserve"> </w:t>
      </w:r>
      <w:r>
        <w:rPr>
          <w:rFonts w:ascii="Times New Roman;sans-serif" w:hAnsi="Times New Roman;sans-serif"/>
          <w:b w:val="false"/>
          <w:color w:val="000000"/>
          <w:sz w:val="20"/>
        </w:rPr>
        <w:t xml:space="preserve">and </w:t>
      </w:r>
      <w:hyperlink r:id="rId6">
        <w:r>
          <w:rPr>
            <w:rStyle w:val="InternetLink"/>
            <w:rFonts w:ascii="Times New Roman;sans-serif" w:hAnsi="Times New Roman;sans-serif"/>
            <w:b w:val="false"/>
            <w:color w:val="0000FF"/>
            <w:sz w:val="20"/>
            <w:u w:val="single"/>
          </w:rPr>
          <w:t>November 13, 2023</w:t>
        </w:r>
      </w:hyperlink>
      <w:r>
        <w:rPr>
          <w:rFonts w:ascii="Times New Roman;sans-serif" w:hAnsi="Times New Roman;sans-serif"/>
          <w:b w:val="false"/>
          <w:color w:val="000000"/>
          <w:sz w:val="20"/>
        </w:rPr>
        <w:t>, respectively;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Current Reports on Form 8-K filed with the SEC on </w:t>
      </w:r>
      <w:hyperlink r:id="rId7">
        <w:r>
          <w:rPr>
            <w:rStyle w:val="InternetLink"/>
            <w:rFonts w:ascii="Times New Roman;sans-serif" w:hAnsi="Times New Roman;sans-serif"/>
            <w:b w:val="false"/>
            <w:color w:val="0000FF"/>
            <w:sz w:val="20"/>
            <w:u w:val="single"/>
          </w:rPr>
          <w:t>January 9, 2023</w:t>
        </w:r>
      </w:hyperlink>
      <w:r>
        <w:rPr>
          <w:rFonts w:ascii="Times New Roman;sans-serif" w:hAnsi="Times New Roman;sans-serif"/>
          <w:b w:val="false"/>
          <w:color w:val="000000"/>
          <w:sz w:val="20"/>
        </w:rPr>
        <w:t>, </w:t>
      </w:r>
      <w:hyperlink r:id="rId8">
        <w:r>
          <w:rPr>
            <w:rStyle w:val="InternetLink"/>
            <w:rFonts w:ascii="Times New Roman;sans-serif" w:hAnsi="Times New Roman;sans-serif"/>
            <w:b w:val="false"/>
            <w:color w:val="0000FF"/>
            <w:sz w:val="20"/>
            <w:u w:val="single"/>
          </w:rPr>
          <w:t>January 23, 2023</w:t>
        </w:r>
      </w:hyperlink>
      <w:r>
        <w:rPr>
          <w:rFonts w:ascii="Times New Roman;sans-serif" w:hAnsi="Times New Roman;sans-serif"/>
          <w:b w:val="false"/>
          <w:color w:val="000000"/>
          <w:sz w:val="20"/>
        </w:rPr>
        <w:t>, </w:t>
      </w:r>
      <w:hyperlink r:id="rId9">
        <w:r>
          <w:rPr>
            <w:rStyle w:val="InternetLink"/>
            <w:rFonts w:ascii="Times New Roman;sans-serif" w:hAnsi="Times New Roman;sans-serif"/>
            <w:b w:val="false"/>
            <w:color w:val="0000FF"/>
            <w:sz w:val="20"/>
            <w:u w:val="single"/>
          </w:rPr>
          <w:t>March 23, 2023</w:t>
        </w:r>
      </w:hyperlink>
      <w:r>
        <w:rPr>
          <w:rFonts w:ascii="Times New Roman;sans-serif" w:hAnsi="Times New Roman;sans-serif"/>
          <w:b w:val="false"/>
          <w:color w:val="000000"/>
          <w:sz w:val="20"/>
        </w:rPr>
        <w:t>, </w:t>
      </w:r>
      <w:hyperlink r:id="rId10">
        <w:r>
          <w:rPr>
            <w:rStyle w:val="InternetLink"/>
            <w:rFonts w:ascii="Times New Roman;sans-serif" w:hAnsi="Times New Roman;sans-serif"/>
            <w:b w:val="false"/>
            <w:color w:val="0000FF"/>
            <w:sz w:val="20"/>
            <w:u w:val="single"/>
          </w:rPr>
          <w:t>May 4, 2023</w:t>
        </w:r>
      </w:hyperlink>
      <w:r>
        <w:rPr>
          <w:rFonts w:ascii="Times New Roman;sans-serif" w:hAnsi="Times New Roman;sans-serif"/>
          <w:b w:val="false"/>
          <w:color w:val="000000"/>
          <w:sz w:val="20"/>
        </w:rPr>
        <w:t xml:space="preserve">, </w:t>
      </w:r>
      <w:hyperlink r:id="rId11">
        <w:r>
          <w:rPr>
            <w:rStyle w:val="InternetLink"/>
            <w:rFonts w:ascii="Times New Roman;sans-serif" w:hAnsi="Times New Roman;sans-serif"/>
            <w:b w:val="false"/>
            <w:color w:val="0000FF"/>
            <w:sz w:val="20"/>
            <w:u w:val="single"/>
          </w:rPr>
          <w:t>June 14, 2023</w:t>
        </w:r>
      </w:hyperlink>
      <w:r>
        <w:rPr>
          <w:rFonts w:ascii="Times New Roman;sans-serif" w:hAnsi="Times New Roman;sans-serif"/>
          <w:b w:val="false"/>
          <w:color w:val="000000"/>
          <w:sz w:val="20"/>
        </w:rPr>
        <w:t xml:space="preserve">, </w:t>
      </w:r>
      <w:hyperlink r:id="rId12">
        <w:r>
          <w:rPr>
            <w:rStyle w:val="InternetLink"/>
            <w:rFonts w:ascii="Times New Roman;sans-serif" w:hAnsi="Times New Roman;sans-serif"/>
            <w:b w:val="false"/>
            <w:color w:val="0000FF"/>
            <w:sz w:val="20"/>
            <w:u w:val="single"/>
          </w:rPr>
          <w:t>July 24, 2023</w:t>
        </w:r>
      </w:hyperlink>
      <w:r>
        <w:rPr>
          <w:rFonts w:ascii="Times New Roman;sans-serif" w:hAnsi="Times New Roman;sans-serif"/>
          <w:b w:val="false"/>
          <w:color w:val="000000"/>
          <w:sz w:val="20"/>
        </w:rPr>
        <w:t xml:space="preserve">, </w:t>
      </w:r>
      <w:hyperlink r:id="rId13">
        <w:r>
          <w:rPr>
            <w:rStyle w:val="InternetLink"/>
            <w:rFonts w:ascii="Times New Roman;sans-serif" w:hAnsi="Times New Roman;sans-serif"/>
            <w:b w:val="false"/>
            <w:color w:val="0000FF"/>
            <w:sz w:val="20"/>
            <w:u w:val="single"/>
          </w:rPr>
          <w:t>October 26, 2023</w:t>
        </w:r>
      </w:hyperlink>
      <w:r>
        <w:rPr>
          <w:color w:val="000000"/>
        </w:rPr>
        <w:t xml:space="preserve"> </w:t>
      </w:r>
      <w:r>
        <w:rPr>
          <w:rFonts w:ascii="Times New Roman;sans-serif" w:hAnsi="Times New Roman;sans-serif"/>
          <w:b w:val="false"/>
          <w:color w:val="000000"/>
          <w:sz w:val="20"/>
        </w:rPr>
        <w:t xml:space="preserve">and </w:t>
      </w:r>
      <w:hyperlink r:id="rId14">
        <w:r>
          <w:rPr>
            <w:rStyle w:val="InternetLink"/>
            <w:rFonts w:ascii="Times New Roman;sans-serif" w:hAnsi="Times New Roman;sans-serif"/>
            <w:b w:val="false"/>
            <w:color w:val="0000FF"/>
            <w:sz w:val="20"/>
            <w:u w:val="single"/>
          </w:rPr>
          <w:t>November 17, 2023</w:t>
        </w:r>
      </w:hyperlink>
      <w:r>
        <w:rPr>
          <w:rFonts w:ascii="Times New Roman;sans-serif" w:hAnsi="Times New Roman;sans-serif"/>
          <w:b w:val="false"/>
          <w:color w:val="000000"/>
          <w:sz w:val="20"/>
        </w:rPr>
        <w:t>;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description of our common stock set forth in the Registrant's registration statement on Form 8-A12B (Registration No. 001-39049), filed by the Registrant with the SEC under Section 12(b) of the Securities Exchange Act of 1934, as amended, or the Exchange Act, on </w:t>
      </w:r>
      <w:hyperlink r:id="rId15">
        <w:r>
          <w:rPr>
            <w:rStyle w:val="InternetLink"/>
            <w:rFonts w:ascii="Times New Roman;sans-serif" w:hAnsi="Times New Roman;sans-serif"/>
            <w:b w:val="false"/>
            <w:color w:val="0000FF"/>
            <w:sz w:val="20"/>
            <w:u w:val="single"/>
          </w:rPr>
          <w:t>September 13, 2019</w:t>
        </w:r>
      </w:hyperlink>
      <w:r>
        <w:rPr>
          <w:rFonts w:ascii="Times New Roman;sans-serif" w:hAnsi="Times New Roman;sans-serif"/>
          <w:b w:val="false"/>
          <w:color w:val="000000"/>
          <w:sz w:val="20"/>
        </w:rPr>
        <w:t>, including any amendments or reports filed for the purpose of updating such description.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all reports and other documents filed by us pursuant to the Exchange Act after the date of the initial registration statement and prior to effectiveness of the registration statement shall be deemed to be incorporated by reference into this prospectus and deemed to be a part of this prospectus from the date of filing of such reports and documents. Notwithstanding the foregoing, we are not incorporating by reference any documents or portions thereof that are not deemed “filed” with the SEC, including our Compensation Committee report and performance graph or any information furnished pursuant to Items 2.02 or 7.01 of Form 8-K or related exhibits furnished pursuant to Item 9.01 of Form 8-K.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You may request a free copy of any of the documents incorporated by reference in this prospectus (other than exhibits, unless they are specifically incorporated by reference in the documents) by writing or telephoning us at the following address: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Exagen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Attention: Corporate Secretary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1261 Liberty Way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Vista, California 92081</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(760) 560-1501</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Exhibits to the filings will not be sent, however, unless those exhibits have specifically been incorporated by reference in this prospectus or any accompanying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S-14</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8"/>
        </w:rPr>
      </w:pPr>
      <w:r>
        <w:rPr>
          <w:rFonts w:ascii="Times New Roman;sans-serif" w:hAnsi="Times New Roman;sans-serif"/>
          <w:b/>
          <w:color w:val="000000"/>
          <w:sz w:val="28"/>
        </w:rPr>
        <w:t>$10,223,534</w:t>
      </w:r>
    </w:p>
    <w:p>
      <w:pPr>
        <w:pStyle w:val="TextBody"/>
        <w:bidi w:val="0"/>
        <w:spacing w:before="0" w:after="180"/>
        <w:jc w:val="center"/>
        <w:rPr/>
      </w:pPr>
      <w:r>
        <w:rPr/>
        <w:drawing>
          <wp:inline distT="0" distB="0" distL="0" distR="0">
            <wp:extent cx="2743200" cy="1009650"/>
            <wp:effectExtent l="0" t="0" r="0" b="0"/>
            <wp:docPr id="1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 descr=""/>
                    <pic:cNvPicPr>
                      <a:picLocks noChangeAspect="1" noChangeArrowheads="1"/>
                    </pic:cNvPicPr>
                  </pic:nvPicPr>
                  <pic:blipFill>
                    <a:blip r:embed="rId16"/>
                    <a:stretch>
                      <a:fillRect/>
                    </a:stretch>
                  </pic:blipFill>
                  <pic:spPr bwMode="auto">
                    <a:xfrm>
                      <a:off x="0" y="0"/>
                      <a:ext cx="2743200" cy="1009650"/>
                    </a:xfrm>
                    <a:prstGeom prst="rect">
                      <a:avLst/>
                    </a:prstGeom>
                  </pic:spPr>
                </pic:pic>
              </a:graphicData>
            </a:graphic>
          </wp:inline>
        </w:drawing>
      </w:r>
    </w:p>
    <w:p>
      <w:pPr>
        <w:pStyle w:val="TextBody"/>
        <w:bidi w:val="0"/>
        <w:spacing w:before="0" w:after="240"/>
        <w:jc w:val="center"/>
        <w:rPr/>
      </w:pPr>
      <w:r>
        <w:rPr/>
      </w:r>
    </w:p>
    <w:p>
      <w:pPr>
        <w:pStyle w:val="TextBody"/>
        <w:bidi w:val="0"/>
        <w:spacing w:lineRule="auto" w:line="288" w:before="0" w:after="240"/>
        <w:jc w:val="center"/>
        <w:rPr>
          <w:rFonts w:ascii="Times New Roman;sans-serif" w:hAnsi="Times New Roman;sans-serif"/>
          <w:b/>
          <w:color w:val="000000"/>
          <w:sz w:val="28"/>
        </w:rPr>
      </w:pPr>
      <w:r>
        <w:rPr>
          <w:rFonts w:ascii="Times New Roman;sans-serif" w:hAnsi="Times New Roman;sans-serif"/>
          <w:b/>
          <w:color w:val="000000"/>
          <w:sz w:val="28"/>
        </w:rPr>
        <w:t>Common Stock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70"/>
        <w:jc w:val="center"/>
        <w:rPr>
          <w:rFonts w:ascii="Times New Roman;sans-serif" w:hAnsi="Times New Roman;sans-serif"/>
          <w:b/>
          <w:color w:val="000000"/>
          <w:sz w:val="32"/>
        </w:rPr>
      </w:pPr>
      <w:r>
        <w:rPr>
          <w:rFonts w:ascii="Times New Roman;sans-serif" w:hAnsi="Times New Roman;sans-serif"/>
          <w:b/>
          <w:color w:val="000000"/>
          <w:sz w:val="32"/>
        </w:rPr>
        <w:t>PROSPECTUS SUPPLEMENT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color w:val="000000"/>
          <w:sz w:val="32"/>
        </w:rPr>
      </w:pPr>
      <w:r>
        <w:rPr>
          <w:rFonts w:ascii="Times New Roman;sans-serif" w:hAnsi="Times New Roman;sans-serif"/>
          <w:b/>
          <w:color w:val="000000"/>
          <w:sz w:val="32"/>
        </w:rPr>
        <w:t>TD Cowen</w:t>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November 29,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9"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PROSPECTUS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$150,000,000</w:t>
      </w:r>
    </w:p>
    <w:p>
      <w:pPr>
        <w:pStyle w:val="TextBody"/>
        <w:bidi w:val="0"/>
        <w:spacing w:before="0" w:after="180"/>
        <w:jc w:val="center"/>
        <w:rPr/>
      </w:pPr>
      <w:r>
        <w:rPr/>
        <w:drawing>
          <wp:inline distT="0" distB="0" distL="0" distR="0">
            <wp:extent cx="2514600" cy="923925"/>
            <wp:effectExtent l="0" t="0" r="0" b="0"/>
            <wp:docPr id="2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 descr=""/>
                    <pic:cNvPicPr>
                      <a:picLocks noChangeAspect="1" noChangeArrowheads="1"/>
                    </pic:cNvPicPr>
                  </pic:nvPicPr>
                  <pic:blipFill>
                    <a:blip r:embed="rId17"/>
                    <a:stretch>
                      <a:fillRect/>
                    </a:stretch>
                  </pic:blipFill>
                  <pic:spPr bwMode="auto">
                    <a:xfrm>
                      <a:off x="0" y="0"/>
                      <a:ext cx="2514600" cy="92392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Common Stock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Preferred Stock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Debt Securities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Warrants </w:t>
      </w:r>
    </w:p>
    <w:p>
      <w:pPr>
        <w:pStyle w:val="TextBody"/>
        <w:bidi w:val="0"/>
        <w:spacing w:lineRule="auto" w:line="288" w:before="0" w:after="180"/>
        <w:jc w:val="center"/>
        <w:rPr>
          <w:rFonts w:ascii="Times New Roman;sans-serif" w:hAnsi="Times New Roman;sans-serif"/>
          <w:b/>
          <w:color w:val="000000"/>
          <w:sz w:val="36"/>
        </w:rPr>
      </w:pPr>
      <w:r>
        <w:rPr>
          <w:rFonts w:ascii="Times New Roman;sans-serif" w:hAnsi="Times New Roman;sans-serif"/>
          <w:b/>
          <w:color w:val="000000"/>
          <w:sz w:val="36"/>
        </w:rPr>
        <w:t>Units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offer and sell up to $150.0 million in the aggregate of the securities identified above from time to time in one or more offerings. This prospectus provides you with a general description of the securities.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describes the general terms of these securities and the general manner in which these securities will be offered. 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the documents we incorporate by reference before you invest in any of our securities.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pStyle w:val="TextBody"/>
        <w:bidi w:val="0"/>
        <w:spacing w:lineRule="auto" w:line="288" w:before="0" w:after="180"/>
        <w:jc w:val="both"/>
        <w:rPr/>
      </w:pPr>
      <w:r>
        <w:rPr>
          <w:rFonts w:ascii="Times New Roman;sans-serif" w:hAnsi="Times New Roman;sans-serif"/>
          <w:b/>
          <w:color w:val="000000"/>
          <w:sz w:val="20"/>
        </w:rPr>
        <w:t>INVESTING IN OUR SECURITIES INVOLVES RISKS. SEE THE “</w:t>
      </w:r>
      <w:hyperlink w:anchor="i1ab73087d0e440dc9e240397dc92b95a_19">
        <w:r>
          <w:rPr>
            <w:rStyle w:val="InternetLink"/>
            <w:rFonts w:ascii="Times New Roman;sans-serif" w:hAnsi="Times New Roman;sans-serif"/>
            <w:b/>
            <w:color w:val="0000FF"/>
            <w:sz w:val="20"/>
            <w:u w:val="single"/>
          </w:rPr>
          <w:t>RISK FACTORS</w:t>
        </w:r>
      </w:hyperlink>
      <w:r>
        <w:rPr>
          <w:color w:val="000000"/>
        </w:rPr>
        <w:t xml:space="preserve">” </w:t>
      </w:r>
      <w:r>
        <w:rPr>
          <w:rFonts w:ascii="Times New Roman;sans-serif" w:hAnsi="Times New Roman;sans-serif"/>
          <w:b/>
          <w:color w:val="000000"/>
          <w:sz w:val="20"/>
        </w:rPr>
        <w:t xml:space="preserve">ON PAGE </w:t>
      </w:r>
      <w:hyperlink w:anchor="i1ab73087d0e440dc9e240397dc92b95a_19">
        <w:r>
          <w:rPr>
            <w:rStyle w:val="InternetLink"/>
            <w:rFonts w:ascii="Times New Roman;sans-serif" w:hAnsi="Times New Roman;sans-serif"/>
            <w:b/>
            <w:color w:val="0000FF"/>
            <w:sz w:val="20"/>
            <w:u w:val="single"/>
          </w:rPr>
          <w:t>4</w:t>
        </w:r>
      </w:hyperlink>
      <w:r>
        <w:rPr>
          <w:color w:val="000000"/>
        </w:rPr>
        <w:t xml:space="preserve"> </w:t>
      </w:r>
      <w:r>
        <w:rPr>
          <w:rFonts w:ascii="Times New Roman;sans-serif" w:hAnsi="Times New Roman;sans-serif"/>
          <w:b/>
          <w:color w:val="000000"/>
          <w:sz w:val="20"/>
        </w:rPr>
        <w:t>OF THIS PROSPECTUS AND ANY SIMILAR SECTION CONTAINED IN THE APPLICABLE PROSPECTUS SUPPLEMENT CONCERNING FACTORS YOU SHOULD CONSIDER BEFORE INVESTING IN OUR SECURITIES.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The Nasdaq Global Market under the symbol “XGN.” On November 24, 2023, the last reported sale price of our common stock on The Nasdaq Global Market was $1.55 per share. On March 20, 2023, the date we filed our Annual Report on Form 10-K for the fiscal year ended December 31, 2022, our prospectus became subject to the offering limits in General Instruction I.B.6 of Form S-3. As of the date hereof, the aggregate market value of our common stock held by non-affiliates pursuant to General Instruction I.B.6 of Form S-3 is $30.7 million, which was calculated based on 12,832,888 shares of our common stock outstanding held by non-affiliates and a price of $2.39 per share, the closing price of our common stock on October 2, 2023. As of the date of this prospectus, we have not sold any securities pursuant to General Instruction I.B.6 of Form S-3 during the 12 calendar months prior to, and including, the date of this prospectus.  Pursuant to General Instruction I.B.6 of Form S-3, in no event will we sell securities in public primary offerings on Form S-3 with a value exceeding more than one-third of our public float (as defined by General Instruction I.B.6) in any 12 calendar month period so long as our public float remains below $75 million.</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The date of this prospectus is November 29,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1"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6840" w:type="dxa"/>
        <w:jc w:val="center"/>
        <w:tblInd w:w="0" w:type="dxa"/>
        <w:tblLayout w:type="fixed"/>
        <w:tblCellMar>
          <w:top w:w="28" w:type="dxa"/>
          <w:left w:w="28" w:type="dxa"/>
          <w:bottom w:w="28" w:type="dxa"/>
          <w:right w:w="28" w:type="dxa"/>
        </w:tblCellMar>
      </w:tblPr>
      <w:tblGrid>
        <w:gridCol w:w="2291"/>
        <w:gridCol w:w="2014"/>
        <w:gridCol w:w="2024"/>
        <w:gridCol w:w="149"/>
        <w:gridCol w:w="149"/>
        <w:gridCol w:w="213"/>
      </w:tblGrid>
      <w:tr>
        <w:trPr/>
        <w:tc>
          <w:tcPr>
            <w:tcW w:w="2291"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13">
              <w:r>
                <w:rPr>
                  <w:rStyle w:val="InternetLink"/>
                  <w:rFonts w:ascii="Times New Roman;sans-serif" w:hAnsi="Times New Roman;sans-serif"/>
                  <w:b w:val="false"/>
                  <w:color w:val="0000FF"/>
                  <w:sz w:val="20"/>
                  <w:u w:val="single"/>
                </w:rPr>
                <w:t>ABOUT THIS PROSPECTUS</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1ab73087d0e440dc9e240397dc92b95a_13">
              <w:r>
                <w:rPr>
                  <w:rStyle w:val="InternetLink"/>
                  <w:rFonts w:ascii="Times New Roman;sans-serif" w:hAnsi="Times New Roman;sans-serif"/>
                  <w:b w:val="false"/>
                  <w:color w:val="0000FF"/>
                  <w:sz w:val="20"/>
                  <w:u w:val="single"/>
                </w:rPr>
                <w:t>1</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16">
              <w:r>
                <w:rPr>
                  <w:rStyle w:val="InternetLink"/>
                  <w:rFonts w:ascii="Times New Roman;sans-serif" w:hAnsi="Times New Roman;sans-serif"/>
                  <w:b w:val="false"/>
                  <w:color w:val="0000FF"/>
                  <w:sz w:val="20"/>
                  <w:u w:val="single"/>
                </w:rPr>
                <w:t>PROSPECTUS SUMMARY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b73087d0e440dc9e240397dc92b95a_16">
              <w:r>
                <w:rPr>
                  <w:rStyle w:val="InternetLink"/>
                  <w:rFonts w:ascii="Times New Roman;sans-serif" w:hAnsi="Times New Roman;sans-serif"/>
                  <w:b w:val="false"/>
                  <w:color w:val="0000FF"/>
                  <w:sz w:val="20"/>
                  <w:u w:val="single"/>
                </w:rPr>
                <w:t>2</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19">
              <w:r>
                <w:rPr>
                  <w:rStyle w:val="InternetLink"/>
                  <w:rFonts w:ascii="Times New Roman;sans-serif" w:hAnsi="Times New Roman;sans-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b73087d0e440dc9e240397dc92b95a_19">
              <w:r>
                <w:rPr>
                  <w:rStyle w:val="InternetLink"/>
                  <w:rFonts w:ascii="Times New Roman;sans-serif" w:hAnsi="Times New Roman;sans-serif"/>
                  <w:b w:val="false"/>
                  <w:color w:val="0000FF"/>
                  <w:sz w:val="20"/>
                  <w:u w:val="single"/>
                </w:rPr>
                <w:t>4</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22">
              <w:r>
                <w:rPr>
                  <w:rStyle w:val="InternetLink"/>
                  <w:rFonts w:ascii="Times New Roman;sans-serif" w:hAnsi="Times New Roman;sans-serif"/>
                  <w:b w:val="false"/>
                  <w:color w:val="0000FF"/>
                  <w:sz w:val="20"/>
                  <w:u w:val="single"/>
                </w:rPr>
                <w:t>CAUTIONARY NOTE REGARDING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b73087d0e440dc9e240397dc92b95a_22">
              <w:r>
                <w:rPr>
                  <w:rStyle w:val="InternetLink"/>
                  <w:rFonts w:ascii="Times New Roman;sans-serif" w:hAnsi="Times New Roman;sans-serif"/>
                  <w:b w:val="false"/>
                  <w:color w:val="0000FF"/>
                  <w:sz w:val="20"/>
                  <w:u w:val="single"/>
                </w:rPr>
                <w:t>5</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25">
              <w:r>
                <w:rPr>
                  <w:rStyle w:val="InternetLink"/>
                  <w:rFonts w:ascii="Times New Roman;sans-serif" w:hAnsi="Times New Roman;sans-serif"/>
                  <w:b w:val="false"/>
                  <w:color w:val="0000FF"/>
                  <w:sz w:val="20"/>
                  <w:u w:val="single"/>
                </w:rPr>
                <w:t>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b73087d0e440dc9e240397dc92b95a_25">
              <w:r>
                <w:rPr>
                  <w:rStyle w:val="InternetLink"/>
                  <w:rFonts w:ascii="Times New Roman;sans-serif" w:hAnsi="Times New Roman;sans-serif"/>
                  <w:b w:val="false"/>
                  <w:color w:val="0000FF"/>
                  <w:sz w:val="20"/>
                  <w:u w:val="single"/>
                </w:rPr>
                <w:t>7</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28">
              <w:r>
                <w:rPr>
                  <w:rStyle w:val="InternetLink"/>
                  <w:rFonts w:ascii="Times New Roman;sans-serif" w:hAnsi="Times New Roman;sans-serif"/>
                  <w:b w:val="false"/>
                  <w:color w:val="0000FF"/>
                  <w:sz w:val="20"/>
                  <w:u w:val="single"/>
                </w:rPr>
                <w:t>DIVIDEND POLICY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b73087d0e440dc9e240397dc92b95a_28">
              <w:r>
                <w:rPr>
                  <w:rStyle w:val="InternetLink"/>
                  <w:rFonts w:ascii="Times New Roman;sans-serif" w:hAnsi="Times New Roman;sans-serif"/>
                  <w:b w:val="false"/>
                  <w:color w:val="0000FF"/>
                  <w:sz w:val="20"/>
                  <w:u w:val="single"/>
                </w:rPr>
                <w:t>8</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31">
              <w:r>
                <w:rPr>
                  <w:rStyle w:val="InternetLink"/>
                  <w:rFonts w:ascii="Times New Roman;sans-serif" w:hAnsi="Times New Roman;sans-serif"/>
                  <w:b w:val="false"/>
                  <w:color w:val="0000FF"/>
                  <w:sz w:val="20"/>
                  <w:u w:val="single"/>
                </w:rPr>
                <w:t>DESCRIPTION OF CAPITAL STOCK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b73087d0e440dc9e240397dc92b95a_31">
              <w:r>
                <w:rPr>
                  <w:rStyle w:val="InternetLink"/>
                  <w:rFonts w:ascii="Times New Roman;sans-serif" w:hAnsi="Times New Roman;sans-serif"/>
                  <w:b w:val="false"/>
                  <w:color w:val="0000FF"/>
                  <w:sz w:val="20"/>
                  <w:u w:val="single"/>
                </w:rPr>
                <w:t>9</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34">
              <w:r>
                <w:rPr>
                  <w:rStyle w:val="InternetLink"/>
                  <w:rFonts w:ascii="Times New Roman;sans-serif" w:hAnsi="Times New Roman;sans-serif"/>
                  <w:b w:val="false"/>
                  <w:color w:val="0000FF"/>
                  <w:sz w:val="20"/>
                  <w:u w:val="single"/>
                </w:rPr>
                <w:t>DESCRIPTION OF DEBT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b73087d0e440dc9e240397dc92b95a_34">
              <w:r>
                <w:rPr>
                  <w:rStyle w:val="InternetLink"/>
                  <w:rFonts w:ascii="Times New Roman;sans-serif" w:hAnsi="Times New Roman;sans-serif"/>
                  <w:b w:val="false"/>
                  <w:color w:val="0000FF"/>
                  <w:sz w:val="20"/>
                  <w:u w:val="single"/>
                </w:rPr>
                <w:t>14</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37">
              <w:r>
                <w:rPr>
                  <w:rStyle w:val="InternetLink"/>
                  <w:rFonts w:ascii="Times New Roman;sans-serif" w:hAnsi="Times New Roman;sans-serif"/>
                  <w:b w:val="false"/>
                  <w:color w:val="0000FF"/>
                  <w:sz w:val="20"/>
                  <w:u w:val="single"/>
                </w:rPr>
                <w:t>DESCRIPTION OF WARRANTS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b73087d0e440dc9e240397dc92b95a_37">
              <w:r>
                <w:rPr>
                  <w:rStyle w:val="InternetLink"/>
                  <w:rFonts w:ascii="Times New Roman;sans-serif" w:hAnsi="Times New Roman;sans-serif"/>
                  <w:b w:val="false"/>
                  <w:color w:val="0000FF"/>
                  <w:sz w:val="20"/>
                  <w:u w:val="single"/>
                </w:rPr>
                <w:t>22</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40">
              <w:r>
                <w:rPr>
                  <w:rStyle w:val="InternetLink"/>
                  <w:rFonts w:ascii="Times New Roman;sans-serif" w:hAnsi="Times New Roman;sans-serif"/>
                  <w:b w:val="false"/>
                  <w:color w:val="0000FF"/>
                  <w:sz w:val="20"/>
                  <w:u w:val="single"/>
                </w:rPr>
                <w:t>DESCRIPTION OF UNITS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b73087d0e440dc9e240397dc92b95a_40">
              <w:r>
                <w:rPr>
                  <w:rStyle w:val="InternetLink"/>
                  <w:rFonts w:ascii="Times New Roman;sans-serif" w:hAnsi="Times New Roman;sans-serif"/>
                  <w:b w:val="false"/>
                  <w:color w:val="0000FF"/>
                  <w:sz w:val="20"/>
                  <w:u w:val="single"/>
                </w:rPr>
                <w:t>24</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43">
              <w:r>
                <w:rPr>
                  <w:rStyle w:val="InternetLink"/>
                  <w:rFonts w:ascii="Times New Roman;sans-serif" w:hAnsi="Times New Roman;sans-serif"/>
                  <w:b w:val="false"/>
                  <w:color w:val="0000FF"/>
                  <w:sz w:val="20"/>
                  <w:u w:val="single"/>
                </w:rPr>
                <w:t>GLOBAL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b73087d0e440dc9e240397dc92b95a_43">
              <w:r>
                <w:rPr>
                  <w:rStyle w:val="InternetLink"/>
                  <w:rFonts w:ascii="Times New Roman;sans-serif" w:hAnsi="Times New Roman;sans-serif"/>
                  <w:b w:val="false"/>
                  <w:color w:val="0000FF"/>
                  <w:sz w:val="20"/>
                  <w:u w:val="single"/>
                </w:rPr>
                <w:t>26</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46">
              <w:r>
                <w:rPr>
                  <w:rStyle w:val="InternetLink"/>
                  <w:rFonts w:ascii="Times New Roman;sans-serif" w:hAnsi="Times New Roman;sans-serif"/>
                  <w:b w:val="false"/>
                  <w:color w:val="0000FF"/>
                  <w:sz w:val="20"/>
                  <w:u w:val="single"/>
                </w:rPr>
                <w:t>PLAN OF DISTRIBUTION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b73087d0e440dc9e240397dc92b95a_46">
              <w:r>
                <w:rPr>
                  <w:rStyle w:val="InternetLink"/>
                  <w:rFonts w:ascii="Times New Roman;sans-serif" w:hAnsi="Times New Roman;sans-serif"/>
                  <w:b w:val="false"/>
                  <w:color w:val="0000FF"/>
                  <w:sz w:val="20"/>
                  <w:u w:val="single"/>
                </w:rPr>
                <w:t>30</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49">
              <w:r>
                <w:rPr>
                  <w:rStyle w:val="InternetLink"/>
                  <w:rFonts w:ascii="Times New Roman;sans-serif" w:hAnsi="Times New Roman;sans-serif"/>
                  <w:b w:val="false"/>
                  <w:color w:val="0000FF"/>
                  <w:sz w:val="20"/>
                  <w:u w:val="single"/>
                </w:rPr>
                <w:t>LEGAL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b73087d0e440dc9e240397dc92b95a_49">
              <w:r>
                <w:rPr>
                  <w:rStyle w:val="InternetLink"/>
                  <w:rFonts w:ascii="Times New Roman;sans-serif" w:hAnsi="Times New Roman;sans-serif"/>
                  <w:b w:val="false"/>
                  <w:color w:val="0000FF"/>
                  <w:sz w:val="20"/>
                  <w:u w:val="single"/>
                </w:rPr>
                <w:t>32</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52">
              <w:r>
                <w:rPr>
                  <w:rStyle w:val="InternetLink"/>
                  <w:rFonts w:ascii="Times New Roman;sans-serif" w:hAnsi="Times New Roman;sans-serif"/>
                  <w:b w:val="false"/>
                  <w:color w:val="0000FF"/>
                  <w:sz w:val="20"/>
                  <w:u w:val="single"/>
                </w:rPr>
                <w:t>EXPERTS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b73087d0e440dc9e240397dc92b95a_52">
              <w:r>
                <w:rPr>
                  <w:rStyle w:val="InternetLink"/>
                  <w:rFonts w:ascii="Times New Roman;sans-serif" w:hAnsi="Times New Roman;sans-serif"/>
                  <w:b w:val="false"/>
                  <w:color w:val="0000FF"/>
                  <w:sz w:val="20"/>
                  <w:u w:val="single"/>
                </w:rPr>
                <w:t>32</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55">
              <w:r>
                <w:rPr>
                  <w:rStyle w:val="InternetLink"/>
                  <w:rFonts w:ascii="Times New Roman;sans-serif" w:hAnsi="Times New Roman;sans-serif"/>
                  <w:b w:val="false"/>
                  <w:color w:val="0000FF"/>
                  <w:sz w:val="20"/>
                  <w:u w:val="single"/>
                </w:rPr>
                <w:t>WHERE YOU CAN FIND MORE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b73087d0e440dc9e240397dc92b95a_55">
              <w:r>
                <w:rPr>
                  <w:rStyle w:val="InternetLink"/>
                  <w:rFonts w:ascii="Times New Roman;sans-serif" w:hAnsi="Times New Roman;sans-serif"/>
                  <w:b w:val="false"/>
                  <w:color w:val="0000FF"/>
                  <w:sz w:val="20"/>
                  <w:u w:val="single"/>
                </w:rPr>
                <w:t>32</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ab73087d0e440dc9e240397dc92b95a_58">
              <w:r>
                <w:rPr>
                  <w:rStyle w:val="InternetLink"/>
                  <w:rFonts w:ascii="Times New Roman;sans-serif" w:hAnsi="Times New Roman;sans-serif"/>
                  <w:b w:val="false"/>
                  <w:color w:val="0000FF"/>
                  <w:sz w:val="20"/>
                  <w:u w:val="single"/>
                </w:rPr>
                <w:t>INCORPORATION OF DOCUMENTS BY REFERENCE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ab73087d0e440dc9e240397dc92b95a_58">
              <w:r>
                <w:rPr>
                  <w:rStyle w:val="InternetLink"/>
                  <w:rFonts w:ascii="Times New Roman;sans-serif" w:hAnsi="Times New Roman;sans-serif"/>
                  <w:b w:val="false"/>
                  <w:color w:val="0000FF"/>
                  <w:sz w:val="20"/>
                  <w:u w:val="single"/>
                </w:rPr>
                <w:t>33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ABOUT THIS PROSPECTUS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is part of a registration statement that we filed with the U.S. Securities and Exchange Commission, or the SEC, using a “shelf’ registration process. By using a shelf registration statement, we may sell securities from time to time and in one or more offerings up to a total dollar amount of $150.0 million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headings “Where You Can Find More Information” and “Incorporation of Documents by Reference.”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When we refer to “Exagen,” “we,” “our,” “us” and the “Company” in this prospectus, we mean Exagen Inc., unless otherwise specified. When we refer to “you,” we mean the holders of the applicable series of securities.</w:t>
      </w:r>
    </w:p>
    <w:p>
      <w:pPr>
        <w:pStyle w:val="TextBody"/>
        <w:bidi w:val="0"/>
        <w:spacing w:lineRule="auto" w:line="288" w:before="0" w:after="180"/>
        <w:jc w:val="both"/>
        <w:rPr/>
      </w:pPr>
      <w:r>
        <w:rPr>
          <w:rFonts w:ascii="Times New Roman;sans-serif" w:hAnsi="Times New Roman;sans-serif"/>
          <w:b w:val="false"/>
          <w:color w:val="000000"/>
          <w:sz w:val="20"/>
        </w:rPr>
        <w:t xml:space="preserve">We use our trademarks in this prospectus as well as trademarks, tradenames and service marks that are the property of other organizations. Solely for convenience, certain trademarks and tradenames referred to in this prospectus appear without the ® and </w:t>
      </w:r>
      <w:r>
        <w:rPr>
          <w:rFonts w:ascii="Times New Roman;sans-serif" w:hAnsi="Times New Roman;sans-serif"/>
          <w:b/>
          <w:color w:val="000000"/>
          <w:sz w:val="13"/>
        </w:rPr>
        <w:t>TM</w:t>
      </w:r>
      <w:r>
        <w:rPr>
          <w:color w:val="000000"/>
        </w:rPr>
        <w:t xml:space="preserve"> </w:t>
      </w:r>
      <w:r>
        <w:rPr>
          <w:rFonts w:ascii="Times New Roman;sans-serif" w:hAnsi="Times New Roman;sans-serif"/>
          <w:b w:val="false"/>
          <w:color w:val="000000"/>
          <w:sz w:val="20"/>
        </w:rPr>
        <w:t>symbols, but those references are not intended to indicate, in any way, that we will not assert, to the fullest extent under applicable law, our rights or that the applicable owner will not assert its rights, to these trademarks and tradenames.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PROSPECTUS SUMMARY</w:t>
      </w:r>
    </w:p>
    <w:p>
      <w:pPr>
        <w:pStyle w:val="TextBody"/>
        <w:bidi w:val="0"/>
        <w:spacing w:lineRule="auto" w:line="288" w:before="0" w:after="180"/>
        <w:jc w:val="both"/>
        <w:rPr>
          <w:rFonts w:ascii="Times New Roman;sans-serif" w:hAnsi="Times New Roman;sans-serif"/>
          <w:b w:val="false"/>
          <w:i/>
          <w:color w:val="000000"/>
          <w:sz w:val="20"/>
          <w:bdr w:val="single" w:sz="8" w:space="36" w:color="000000"/>
          <w:shd w:fill="FFFFFF" w:val="clear"/>
        </w:rPr>
      </w:pPr>
      <w:r>
        <w:rPr>
          <w:rFonts w:ascii="Times New Roman;sans-serif" w:hAnsi="Times New Roman;sans-serif"/>
          <w:b w:val="false"/>
          <w:i/>
          <w:color w:val="000000"/>
          <w:sz w:val="20"/>
          <w:bdr w:val="single" w:sz="8" w:space="36" w:color="000000"/>
          <w:shd w:fill="FFFFFF" w:val="clear"/>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pStyle w:val="TextBody"/>
        <w:bidi w:val="0"/>
        <w:spacing w:lineRule="auto" w:line="288" w:before="0" w:after="180"/>
        <w:jc w:val="both"/>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About Exagen Inc.</w:t>
      </w:r>
    </w:p>
    <w:p>
      <w:pPr>
        <w:pStyle w:val="TextBody"/>
        <w:bidi w:val="0"/>
        <w:spacing w:lineRule="auto" w:line="288" w:before="0" w:after="180"/>
        <w:jc w:val="both"/>
        <w:rPr>
          <w:rFonts w:ascii="Times New Roman;sans-serif" w:hAnsi="Times New Roman;sans-serif"/>
          <w:b w:val="false"/>
          <w:color w:val="000000"/>
          <w:sz w:val="20"/>
          <w:bdr w:val="single" w:sz="8" w:space="36" w:color="000000"/>
          <w:shd w:fill="FFFFFF" w:val="clear"/>
        </w:rPr>
      </w:pPr>
      <w:r>
        <w:rPr>
          <w:rFonts w:ascii="Times New Roman;sans-serif" w:hAnsi="Times New Roman;sans-serif"/>
          <w:b w:val="false"/>
          <w:color w:val="000000"/>
          <w:sz w:val="20"/>
          <w:bdr w:val="single" w:sz="8" w:space="36" w:color="000000"/>
          <w:shd w:fill="FFFFFF" w:val="clear"/>
        </w:rPr>
        <w:t>We exist to provide clarity in autoimmune disease decision making with the goal of improving patients' clinical outcomes. We have developed and are commercializing a portfolio of innovative testing products under our AVISE® brand which demonstrate excellent quality and performance. We believe our focus on and experience in the field of rheumatology, combined with our commitment to excellent customer service and support, position us very well to respond to the needs of rheumatologists and the patients they serve.</w:t>
      </w:r>
    </w:p>
    <w:p>
      <w:pPr>
        <w:pStyle w:val="TextBody"/>
        <w:bidi w:val="0"/>
        <w:spacing w:lineRule="auto" w:line="288" w:before="0" w:after="180"/>
        <w:jc w:val="both"/>
        <w:rPr>
          <w:rFonts w:ascii="Times New Roman;sans-serif" w:hAnsi="Times New Roman;sans-serif"/>
          <w:b w:val="false"/>
          <w:color w:val="000000"/>
          <w:sz w:val="20"/>
          <w:bdr w:val="single" w:sz="8" w:space="36" w:color="000000"/>
          <w:shd w:fill="FFFFFF" w:val="clear"/>
        </w:rPr>
      </w:pPr>
      <w:r>
        <w:rPr>
          <w:rFonts w:ascii="Times New Roman;sans-serif" w:hAnsi="Times New Roman;sans-serif"/>
          <w:b w:val="false"/>
          <w:color w:val="000000"/>
          <w:sz w:val="20"/>
          <w:bdr w:val="single" w:sz="8" w:space="36" w:color="000000"/>
          <w:shd w:fill="FFFFFF" w:val="clear"/>
        </w:rPr>
        <w:t>Marketed under our AVISE® brand, our testing products allow for the differential diagnosis, prognosis and monitoring of complex autoimmune and autoimmune-related diseases, including systemic lupus erythematosus (SLE) and rheumatoid arthritis (RA). We commercially launched our lead testing product, AVISE® CTD, in 2012. AVISE® CTD enables differential diagnosis for patients presenting with symptoms indicative of a wide variety of connective tissue diseases (CTDs) and other related diseases with overlapping symptoms. There is an unmet need for rheumatologists to add clarity in their CTD clinical evaluation, and we believe there is a significant opportunity for our tests that enable the differential diagnosis of these diseases, particularly for potentially life-threatening diseases such as SLE.</w:t>
      </w:r>
    </w:p>
    <w:p>
      <w:pPr>
        <w:pStyle w:val="TextBody"/>
        <w:bidi w:val="0"/>
        <w:spacing w:lineRule="auto" w:line="288" w:before="0" w:after="180"/>
        <w:jc w:val="both"/>
        <w:rPr>
          <w:rFonts w:ascii="Times New Roman;sans-serif" w:hAnsi="Times New Roman;sans-serif"/>
          <w:b w:val="false"/>
          <w:color w:val="000000"/>
          <w:sz w:val="20"/>
          <w:bdr w:val="single" w:sz="8" w:space="36" w:color="000000"/>
          <w:shd w:fill="FFFFFF" w:val="clear"/>
        </w:rPr>
      </w:pPr>
      <w:r>
        <w:rPr>
          <w:rFonts w:ascii="Times New Roman;sans-serif" w:hAnsi="Times New Roman;sans-serif"/>
          <w:b w:val="false"/>
          <w:color w:val="000000"/>
          <w:sz w:val="20"/>
          <w:bdr w:val="single" w:sz="8" w:space="36" w:color="000000"/>
          <w:shd w:fill="FFFFFF" w:val="clear"/>
        </w:rPr>
        <w:t>We perform all of our AVISE® tests in our approximately 13,000 square foot laboratory located in Vista, California, which is certified under the Clinical Laboratory Improvement Amendments of 1988, or CLIA, and accredited by the College of American Pathologist. Our laboratory is certified for performance of high-complexity testing by the Centers for Medicare &amp; Medicaid Services in accordance with CLIA and is licensed by all states requiring out-of-state licensure. Our clinical laboratory typically reports all AVISE® testing product results within five business days.</w:t>
      </w:r>
    </w:p>
    <w:p>
      <w:pPr>
        <w:pStyle w:val="TextBody"/>
        <w:bidi w:val="0"/>
        <w:spacing w:lineRule="auto" w:line="288" w:before="0" w:after="180"/>
        <w:jc w:val="both"/>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Additional Information</w:t>
      </w:r>
    </w:p>
    <w:p>
      <w:pPr>
        <w:pStyle w:val="TextBody"/>
        <w:bidi w:val="0"/>
        <w:spacing w:lineRule="auto" w:line="288" w:before="0" w:after="180"/>
        <w:jc w:val="both"/>
        <w:rPr/>
      </w:pPr>
      <w:r>
        <w:rPr>
          <w:rFonts w:ascii="Times New Roman;sans-serif" w:hAnsi="Times New Roman;sans-serif"/>
          <w:b w:val="false"/>
          <w:color w:val="000000"/>
          <w:sz w:val="20"/>
          <w:bdr w:val="single" w:sz="8" w:space="36" w:color="000000"/>
          <w:shd w:fill="FFFFFF" w:val="clear"/>
        </w:rPr>
        <w:t>For additional information related to our business and operations, please refer to the reports incorporated herein by reference, as described under the caption “</w:t>
      </w:r>
      <w:hyperlink w:anchor="i1ab73087d0e440dc9e240397dc92b95a_58">
        <w:r>
          <w:rPr>
            <w:rStyle w:val="InternetLink"/>
            <w:rFonts w:ascii="Times New Roman;sans-serif" w:hAnsi="Times New Roman;sans-serif"/>
            <w:b w:val="false"/>
            <w:color w:val="0000FF"/>
            <w:sz w:val="20"/>
            <w:u w:val="single"/>
            <w:bdr w:val="single" w:sz="8" w:space="36" w:color="000000"/>
            <w:shd w:fill="FFFFFF" w:val="clear"/>
          </w:rPr>
          <w:t>Incorporation of Documents by Reference</w:t>
        </w:r>
      </w:hyperlink>
      <w:r>
        <w:rPr>
          <w:color w:val="000000"/>
          <w:bdr w:val="single" w:sz="8" w:space="36" w:color="000000"/>
          <w:shd w:fill="FFFFFF" w:val="clear"/>
        </w:rPr>
        <w:t xml:space="preserve">” </w:t>
      </w:r>
      <w:r>
        <w:rPr>
          <w:rFonts w:ascii="Times New Roman;sans-serif" w:hAnsi="Times New Roman;sans-serif"/>
          <w:b w:val="false"/>
          <w:color w:val="000000"/>
          <w:sz w:val="20"/>
          <w:bdr w:val="single" w:sz="8" w:space="36" w:color="000000"/>
          <w:shd w:fill="FFFFFF" w:val="clear"/>
        </w:rPr>
        <w:t>on page </w:t>
      </w:r>
      <w:hyperlink w:anchor="i1ab73087d0e440dc9e240397dc92b95a_58">
        <w:r>
          <w:rPr>
            <w:rStyle w:val="InternetLink"/>
            <w:rFonts w:ascii="Times New Roman;sans-serif" w:hAnsi="Times New Roman;sans-serif"/>
            <w:b w:val="false"/>
            <w:color w:val="0000FF"/>
            <w:sz w:val="20"/>
            <w:u w:val="single"/>
            <w:bdr w:val="single" w:sz="8" w:space="36" w:color="000000"/>
            <w:shd w:fill="FFFFFF" w:val="clear"/>
          </w:rPr>
          <w:t>33</w:t>
        </w:r>
      </w:hyperlink>
      <w:r>
        <w:rPr>
          <w:color w:val="000000"/>
          <w:bdr w:val="single" w:sz="8" w:space="36" w:color="000000"/>
          <w:shd w:fill="FFFFFF" w:val="clear"/>
        </w:rPr>
        <w:t xml:space="preserve"> </w:t>
      </w:r>
      <w:r>
        <w:rPr>
          <w:rFonts w:ascii="Times New Roman;sans-serif" w:hAnsi="Times New Roman;sans-serif"/>
          <w:b w:val="false"/>
          <w:color w:val="000000"/>
          <w:sz w:val="20"/>
          <w:bdr w:val="single" w:sz="8" w:space="36" w:color="000000"/>
          <w:shd w:fill="FFFFFF" w:val="clear"/>
        </w:rPr>
        <w:t>of this prospectus.</w:t>
      </w:r>
    </w:p>
    <w:p>
      <w:pPr>
        <w:pStyle w:val="TextBody"/>
        <w:bidi w:val="0"/>
        <w:spacing w:lineRule="auto" w:line="288" w:before="0" w:after="180"/>
        <w:jc w:val="both"/>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Our Corporate Information</w: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were incorporated under the laws of the state of New Mexico in 2002, under the name Exagen Corporation. In 2003, we changed our state of incorporation from New Mexico to Delaware by merging with and into Exagen Diagnostics, Inc., pursuant to which we changed our name to Exagen Diagnostics, Inc. In January 2019 we changed our name to Exagen Inc. In September 2019, we completed our initial public offering and in March 2021, we completed our secondary public offering. Our principal executive offices are located at 1261 Liberty Way, Vista, California 92081. Our telephone number is (760) 560-1501.</w:t>
      </w:r>
    </w:p>
    <w:p>
      <w:pPr>
        <w:pStyle w:val="TextBody"/>
        <w:bidi w:val="0"/>
        <w:spacing w:lineRule="auto" w:line="288" w:before="0" w:after="180"/>
        <w:jc w:val="both"/>
        <w:rPr>
          <w:bdr w:val="single" w:sz="8" w:space="36" w:color="000000"/>
        </w:rPr>
      </w:pPr>
      <w:r>
        <w:rPr>
          <w:rFonts w:ascii="Times New Roman;sans-serif" w:hAnsi="Times New Roman;sans-serif"/>
          <w:b w:val="false"/>
          <w:color w:val="000000"/>
          <w:sz w:val="20"/>
          <w:bdr w:val="single" w:sz="8" w:space="36" w:color="000000"/>
        </w:rPr>
        <w:t xml:space="preserve">We maintain a website at </w:t>
      </w:r>
      <w:r>
        <w:rPr>
          <w:rFonts w:ascii="Times New Roman;sans-serif" w:hAnsi="Times New Roman;sans-serif"/>
          <w:b w:val="false"/>
          <w:i/>
          <w:color w:val="000000"/>
          <w:sz w:val="20"/>
          <w:bdr w:val="single" w:sz="8" w:space="36" w:color="000000"/>
        </w:rPr>
        <w:t>http://www.exagen.com</w:t>
      </w:r>
      <w:r>
        <w:rPr>
          <w:color w:val="000000"/>
          <w:bdr w:val="single" w:sz="8" w:space="36" w:color="000000"/>
        </w:rPr>
        <w:t xml:space="preserve"> </w:t>
      </w:r>
      <w:r>
        <w:rPr>
          <w:rFonts w:ascii="Times New Roman;sans-serif" w:hAnsi="Times New Roman;sans-serif"/>
          <w:b w:val="false"/>
          <w:color w:val="000000"/>
          <w:sz w:val="20"/>
          <w:bdr w:val="single" w:sz="8" w:space="36" w:color="000000"/>
        </w:rPr>
        <w:t>to which we regularly post copies of our press releases as well as additional information about us. The information contained on, or that can be accessed through, our website is not a part of this prospectus. We have included our website address in this prospectus solely as an inactive textual reference.</w:t>
      </w:r>
    </w:p>
    <w:p>
      <w:pPr>
        <w:pStyle w:val="TextBody"/>
        <w:bidi w:val="0"/>
        <w:spacing w:before="0" w:after="18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Our Annual Reports on Form 10-K, Quarterly Reports on Form 10-Q, Current Reports on Form 8-K and all amendments to those reports filed or furnished pursuant to Section 13(a) or 15(d) of the Securities Exchange Act of 1934, as amended are available free of charge through the investor relations page of our website as soon as reasonably practicable after we electronically file such material with, or furnish it to, the SEC.</w: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All brand names or trademarks appearing in this prospectus are the property of their respective holders. Use or display by us of other parties’ trademarks, trade dress, or products in this prospectus is not intended to, and does not, imply a relationship with, or endorsements or sponsorship of, us by the trademark or trade dress owners.</w:t>
      </w:r>
    </w:p>
    <w:p>
      <w:pPr>
        <w:pStyle w:val="TextBody"/>
        <w:bidi w:val="0"/>
        <w:spacing w:lineRule="auto" w:line="288" w:before="0" w:after="180"/>
        <w:jc w:val="both"/>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Offerings Under This Prospectus</w: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Under this prospectus, we may offer shares of our common stock or preferred stock, various series of debt securities and/or warrants to purchase any of such securities, either individually or in units, with a total aggregate offering price of up to $150.0 million,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designation or classification;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aggregate principal amount or aggregate offering price;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maturity, if applicable;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rates and times of payment of interest or dividends, if any;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redemption, conversion or sinking fund terms, if any;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voting or other rights, if any;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conversion or exercise prices, if any.</w: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pStyle w:val="TextBody"/>
        <w:bidi w:val="0"/>
        <w:spacing w:lineRule="auto" w:line="288" w:before="0" w:after="180"/>
        <w:jc w:val="both"/>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names of those agents or underwriters;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applicable fees, discounts and commissions to be paid to them;</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details regarding over-allotment options, if any;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net proceeds to us.</w:t>
      </w:r>
    </w:p>
    <w:p>
      <w:pPr>
        <w:pStyle w:val="TextBody"/>
        <w:bidi w:val="0"/>
        <w:spacing w:lineRule="auto" w:line="288" w:before="0" w:after="180"/>
        <w:jc w:val="both"/>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This prospectus may not be used to consummate a sale of any securities unless it is accompanied by a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bidi w:val="0"/>
        <w:spacing w:lineRule="auto" w:line="288" w:before="0" w:after="180"/>
        <w:jc w:val="both"/>
        <w:rPr/>
      </w:pPr>
      <w:r>
        <w:rPr>
          <w:rFonts w:ascii="Times New Roman;sans-serif" w:hAnsi="Times New Roman;sans-serif"/>
          <w:b w:val="false"/>
          <w:color w:val="000000"/>
          <w:sz w:val="20"/>
        </w:rPr>
        <w:t xml:space="preserve">Investment in any securities offered pursuant to this prospectus and the applicable prospectus supplement involves a high degree of risk. You should carefully consider the risk factors incorporated by reference to our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the applicable prospectus supplement before acquiring any such securities. The occurrence of any of these risks might cause you to lose all or part of your investment in the offered securities. </w:t>
      </w:r>
      <w:r>
        <w:rPr>
          <w:rFonts w:ascii="Times New Roman;sans-serif" w:hAnsi="Times New Roman;sans-serif"/>
          <w:b w:val="false"/>
          <w:color w:val="000000"/>
          <w:sz w:val="20"/>
          <w:shd w:fill="FFFFFF" w:val="clear"/>
        </w:rPr>
        <w:t>Additional risks and uncertainties that we do not presently know or that we currently deem immaterial may also have a material adverse effect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supplement and the accompanying prospectus, including documents incorporated by reference herein and therein, and any free writing prospectus that we have authorized for use in connection with this offering, contain forward-looking statements within the meaning of Section 27A of the Securities Act of 1933, as amended, or Securities Act, and Section 21E of the Securities Exchange Act of 1934, as amended, or Exchange Act.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words “believe,” “may,” “will,” “potentially,” “estimate,” “continue,” “anticipate,” “intend,” “could,” “would,” “project,” “plan,” “expect,” “possible,” “likely,” “probable,” and similar expressions that convey uncertainty of future events or outcomes identify forward-looking statements. These statements include, among other things, statements regarding:</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have a history of losses, we expect to incur net losses in the future and we may not be able to generate sufficient revenue to achieve and maintain profitability;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In the near-term, we expect that our financial results will depend primarily on sales of our testing products, and we will need to generate sufficient revenue from these testing products to grow our business;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may be unable to manage our ongoing growth effectively, which could make it difficult to execute our business strategy;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commercial success depends on attaining and maintaining significant market acceptance of our testing products and promoted therapeutics among rheumatologists, patients, third-party payors and others in the medical community;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rely on sole suppliers for some of the reagents, equipment and other materials used in our testing products, and we may not be able to fund replacements or transition to alternative suppliers;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we are unable to support demand for our current testing products or any of our future testing products or solutions, our business could suffer;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third-party payors do not provide coverage and adequate reimbursement for our testing products, or they breach, rescind or modify their contracts or reimbursement policies or delay payments for our tests, or if we or our partners are unable to successfully negotiate payor contracts, gross margins and commercial success could be materially adversely affected;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we are unable to compete successfully, we may be unable to increase or sustain our revenue or achieve profitability;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Developing new testing products involves a lengthy and complex process, and we may not be able to commercialize on a timely basis, or at all, other testing products we are developing;</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our sole laboratory facility becomes damaged or inoperable, we are required to vacate our existing facility or we are unable to expand our existing facility as needed, we will be unable to perform our testing services and our business will be harmed and, in addition, we are in the process of converting warehouse space into additional laboratory facilities, but this may not be successful;</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may require substantial additional capital to finance our planned operations, which may not be available to us on acceptable terms or at all. Our failure to obtain additional financing when needed on acceptable terms, or at all, could force us to delay, limit, reduce or eliminate our product development programs, commercialization efforts or other operations;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conduct business in a heavily regulated industry. Complying with the numerous statutes and regulations pertaining to our business is expensive and time-consuming, and any failure by us, our consultants or commercial partners to comply could result in substantial penalties;</w:t>
      </w:r>
    </w:p>
    <w:p>
      <w:pPr>
        <w:pStyle w:val="TextBody"/>
        <w:bidi w:val="0"/>
        <w:spacing w:before="0" w:after="18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we are unable to maintain intellectual property protection our competitive position could be harmed;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impact of the above factors and other future events on the market price of our common stock;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anticipated use of proceeds from this offering, if any.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Although forward-looking statements in this prospectus supplement and the accompanying prospectus, including the documents incorporated by reference herein and therein, and in any free writing prospectus that we have authorized for use in connection with this offering, reflect the good faith judgment of our management, such statements can only be based on facts and factors currently known by us. Consequently, forward-looking statements are inherently subject to risks and uncertainties and actual results and outcomes may differ materially from the results and outcomes discussed in or anticipated by the forward-looking statements. Factors that could cause or contribute to such differences in results and outcomes include, without limitation, those specifically addressed under the heading “Risk Factors” contained in this prospectus supplement, the accompanying prospectus and any related free writing prospectus, and under similar headings in the other documents that are incorporated by reference into this prospectus supplement and the accompanying prospectus, including our most recent annual report on Form 10-K and quarterly reports on Form 10-Q, as well as any amendments thereto reflected in subsequent filings with the SEC. Readers are urged not to place undue reliance on these forward-looking statements, which speak only as of the date made. We file reports with the SEC, and our electronic filings with the SEC (including our annual reports on Form 10-K, quarterly reports on Form 10-Q and current reports on Form 8-K, and any amendments to these reports) are available free of charge on the SEC’s website at www.sec.gov.</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undertake no obligation to revise or update any forward-looking statements in order to reflect any event or circumstance that may arise after the date of this prospectus supplement, except as required by law. Readers are urged to carefully review and consider the various disclosures made throughout the entirety of this prospectus supplement, the accompanying prospectus and any related free writing prospectus, and the documents incorporated by reference into this prospectus supplement and the accompanying prospectus, which disclosures are designed to advise interested parties of the risks and factors that may affect our business, financial condition, results of operations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USE OF PROCEEDS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use the net proceeds from the sale of the securities as set forth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capital stock. We intend to retain future earnings, if any, to finance the operation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prohibited by the terms of our loan and security agreement, as amended, with Innovatus Life Science Lending Fund I, LP.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DESCRIPTION OF CAPITAL STOCK</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description summarizes some of the terms of capital stock. Because it is only a summary, it does not contain all the information that may be important to you and is subject to and qualified in its entirety by reference to our amended and restated certificate of incorporation, or the Certificate of Incorporation, and amended and restated bylaws, or the Bylaws, which are filed as exhibits to our most recent Annual Report on Form 10-K and are incorporated by reference herein. We encourage you to read our Certificate of Incorporation and our Bylaws for additional information.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authorized capital stock consists of 200,000,000 shares of common stock, $0.001 par value per share, and 10,000,000 shares of preferred stock, $0.001 par value per share.</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there were 16,931,894 shares of our common stock issued and outstanding and held of record by 33 stockholders. Holders of our common stock are entitled to one vote for each share held on all matters submitted to a vote of stockholders, including 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the supermajority votes for some matters, other matters shall be decided by the affirmative vote of our stockholders having a majority in voting power of the votes cast by the stockholders present or represented and voting on such matter. Our Certificate of Incorporation and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Certificate of Incorporation.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preferences that may be applicable to any then outstanding preferred stock, holders of common stock are entitled to receive ratably those dividends, if any, as may be declared by the board of directors out of legally available funds. 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 Holders of common stock have no preemptive or conversion rights or other subscription rights and there are no redemption or sinking funds provisions applicable to the common stock. All outstanding shares of common stock are, and the common stock to be outstanding upon the closing of this offering will be, duly authorized,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Transfer Agent and Registrar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transfer agent and registrar for our common stock is Computershare Trust Company, N.A. The transfer agent and registrar’s address is 6200 S. Quebec St., Greenwood Village, CO 80111.</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Stock Exchange Listing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for trading on Nasdaq under the symbol “XGN.”</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there were no shares of our preferred stock outstanding. Under the terms of our Certificate of Incorporation, our board of directors has the authority, without further action by our stockholders, to issue up to 10,000,000 shares of preferred stock in one or more series, to establish from time to time the number of shares to be included in each such series, to fix the dividend, voting and other rights, preferences and privileges of </w:t>
      </w:r>
    </w:p>
    <w:p>
      <w:pPr>
        <w:pStyle w:val="TextBody"/>
        <w:bidi w:val="0"/>
        <w:spacing w:before="0" w:after="18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shares of each wholly unissued series and any qualifications, limitations or restrictions thereon, and to increase or decrease the number of shares of any such series, but not below the number of shares of such series then outstanding.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 We have no current plans to issue any shares of preferred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issuance of shares of each series, the board of directors is required by the General Corporation Law of the State of Delaware, or the DGCL, and our Certificate of Incorporation to adopt resolutions and file a certificate of designation with the Secretary of State of the State of Delaware. The certificate of designation fixes for each class or series the designations, powers, preferences, rights, qualifications, limitations and restrictions, including dividend rights, conversion rights, redemption privileges and liquidation preferences.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All shares of preferred stock offered by this prospectus will, when issued, be fully paid and nonassessable and will not have any preemptive or similar rights.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will describe in a prospectus supplement relating to the class or series of preferred stock being offered the following terms: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title and stated value of the preferred stock;</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number of shares of the preferred stock offered, the liquidation preference per share and the offering price of the preferred stock;</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dividend rate(s), period(s) or payment date(s) or method(s) of calculation applicable to the preferred stock;</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whether dividends are cumulative or non-cumulative and, if cumulative, the date from which dividends on the preferred stock will accumulate;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procedures for any auction and remarketing, if any, for the preferred stock;</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provisions for a sinking fund, if any, for the preferred stock;</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provision for redemption, if applicable, of the preferred stock;</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listing of the preferred stock on any securities exchange;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terms and conditions, if applicable, upon which the preferred stock will be convertible into common stock, including the conversion price or manner of calculation and conversion period;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voting rights, if any, of the preferred stock;</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discussion of any material or special U.S. federal income tax considerations applicable to the preferred stock;</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relative ranking and preferences of the preferred stock as to dividend rights and rights upon the liquidation, dissolution or winding up of our affairs;</w:t>
      </w:r>
    </w:p>
    <w:p>
      <w:pPr>
        <w:pStyle w:val="TextBody"/>
        <w:bidi w:val="0"/>
        <w:spacing w:before="0" w:after="18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limitations on issuance of any class or series of preferred stock ranking senior to or on a parity with the class or series of preferred stock as to dividend rights and rights upon liquidation, dissolution or winding up of our affairs;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other specific terms, preferences, rights, limitations or restrictions of the preferred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Unless we specify otherwise in the applicable prospectus supplement, the preferred stock will rank, relating to dividends and upon our liquidation, dissolution or winding up:</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senior to all classes or series of our common stock and to all of our equity securities ranking junior to the preferred stock;</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on a parity with all of our equity securities the terms of which specifically provide that the equity securities rank on a parity with the preferred stock;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junior to all of our equity securities the terms of which specifically provide that the equity securities rank senior to the preferred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term equity securities does not include convertible debt securities.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Warrants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1,214,059 shares of our common stock were issuable upon exercise of outstanding warrants to purchase common stock with a weighted average exercise price of $1.70 per share.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above warrants has a net exercise provision under which the holder may, in lieu of payment of the exercise price in cash, surrender the warrant and receive a net amount of shares of our common stock based on the fair market value of our common stock at the time of the net exercise of the warrant after deduction of the aggregate exercise price. These warrants also contain provisions for the adjustment of the exercise price and the aggregate number of shares issuable upon the exercise of the warrants in the event of stock dividends, stock splits, reorganizations and reclassifications and consolidations.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Registration Rights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party to an investors' rights agreement between certain common stockholders and holders of warrants to purchase shares of common stock, pursuant to which those holders are, as of the date of this prospectus, entitled to certain piggyback and demand registration rights with respect to the registration of such shares under the Securities Act. We filed a registration statement on Form S-3 with the SEC on November 10, 2020 in connection with these obligations. In connection with the registration rights, we are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securityholders, blue sky fees and expenses and the expenses of any special audits incident to the registration.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Anti-Takeover Effects of Delaware Law and Our Certificate of Incorporation and Bylaws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Some provisions of Delaware law, our Certificate of Incorporation and our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w:t>
      </w:r>
    </w:p>
    <w:p>
      <w:pPr>
        <w:pStyle w:val="TextBody"/>
        <w:bidi w:val="0"/>
        <w:spacing w:before="0" w:after="18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disadvantages of discouraging these proposals because negotiation of these proposals could result in an improvement of their terms.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Undesignated Preferred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ability of our board of directors, without action by the stockholders, to issue up to 10,000,000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Stockholder Meetings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Bylaws provide that a special meeting of stockholders may be called only by our chairman of the board, chief executive officer or president, or by a resolution adopted by a majority of our board of directors.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Requirements for Advance Notification of Stockholder Nominations and Proposals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Elimination of Stockholder Action by Written Consent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and Bylaws eliminate the right of stockholders to act by written consent without a meeting.</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Staggered Board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is divided into three classes. The directors in each class will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Removal of Directors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provides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Stockholders Not Entitled to Cumulative Voting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Delaware Anti-Takeover Statute</w:t>
      </w:r>
    </w:p>
    <w:p>
      <w:pPr>
        <w:pStyle w:val="TextBody"/>
        <w:bidi w:val="0"/>
        <w:spacing w:lineRule="auto" w:line="288" w:before="0" w:after="180"/>
        <w:jc w:val="both"/>
        <w:rPr/>
      </w:pPr>
      <w:r>
        <w:rPr>
          <w:rFonts w:ascii="Times New Roman;sans-serif" w:hAnsi="Times New Roman;sans-serif"/>
          <w:b w:val="false"/>
          <w:color w:val="000000"/>
          <w:sz w:val="20"/>
        </w:rPr>
        <w:t>We</w:t>
      </w:r>
      <w:r>
        <w:rPr>
          <w:color w:val="000000"/>
        </w:rPr>
        <w:t xml:space="preserve"> </w:t>
      </w:r>
      <w:r>
        <w:rPr>
          <w:rFonts w:ascii="Times New Roman;sans-serif" w:hAnsi="Times New Roman;sans-serif"/>
          <w:b w:val="false"/>
          <w:color w:val="000000"/>
          <w:sz w:val="20"/>
        </w:rPr>
        <w:t>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pStyle w:val="TextBody"/>
        <w:bidi w:val="0"/>
        <w:spacing w:before="0" w:after="18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Choice of Forum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provides that, unless we consent in writing to the selection of an alternative form, the Court of Chancery of the State of Delaware will be the sole and exclusive forum for: (i) any derivative action or proceeding brought on our behalf; (ii) any action asserting a claim of breach of a fiduciary duty or other wrongdoing by any of our directors, officers, employees or agents to us or our stockholders, creditors or other constituents; (iii) any action asserting a claim against us arising pursuant to any provision of the General Corporation Law of the State of Delaware or our Certificate of Incorporation or Bylaws; (iv) any action to interpret, apply, enforce or determine the validity of our Certificate of Incorporation or Bylaws; or (v) any action asserting a claim governed by the internal affairs doctrine. This exclusive forum provision would not apply to suits brought to enforce any liability or duty created by the Securities Act or the Exchange Act or any other claim for which the federal courts have exclusive jurisdiction. Our Bylaws provide that, unless we consent in writing to the selection of an alternative forum, the federal district courts of the United States of America shall be the sole and exclusive forum for the resolution of any complaint asserting a cause of action arising under the Securities Act. To the extent that any such claims may be based upon federal law claims, Section 27 of the Exchange Act creates exclusive federal jurisdiction over all suits brought to enforce any duty or liability created by the Exchange Act or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Our Certificate of Incorporation and Bylaws also provide that any person or entity purchasing or otherwise acquiring any interest in shares of our capital stock will be deemed to have notice of and to have consented to this choice of forum provision.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Amendment of Charter Provisions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amendment of any of the above provisions, except for the provision making it possible for our board of directors to issue preferred stock, would require approval by holders of at least two thirds of the total voting power of all of our outstanding voting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provisions of Delaware law, our Certificate of Incorporation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DESCRIPTION OF DEBT SECURITIES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To the extent the information contained in the prospectus supplement differs from this summary description, you should rely on the information in the prospectus supplement.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debt securities will be issued under an indenture between us and a trustee named in the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title and ranking of the debt securities (including the terms of any subordination provisions);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price or prices (expressed as a percentage of the principal amount) at which we will sell the debt securities;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limit on the aggregate principal amount of the debt securities;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date or dates on which the principal on a particular series of debt securities is payable;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place or places where principal of, and interest, if any, on the debt securities will be payable (and the method of such payment), where the debt securities of such series may be surrendered for registration of transfer or exchange, and where notices and demands to us in respect of the debt securities may be delivered;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period or periods within which, the price or prices at which and the terms and conditions upon which we may redeem the debt securities;</w:t>
      </w:r>
    </w:p>
    <w:p>
      <w:pPr>
        <w:pStyle w:val="TextBody"/>
        <w:bidi w:val="0"/>
        <w:spacing w:before="0" w:after="18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the debt securities of a particular series shall be redeemed or purchased, in whole or in part, pursuant to such obligation;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dates on which and the price or prices at which we will repurchase debt securities at the option of the holders of debt securities and other detailed terms and provisions of these repurchase obligations;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denominations in which the debt securities will be issued, if other than denominations of $1,000 and any integral multiple thereof;</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whether the debt securities will be issued in the form of certificated debt securities or global debt securities;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portion of principal amount of the debt securities payable upon declaration of acceleration of the maturity date, if other than the principal amount;</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currency of denomination of the debt securities, which may be U.S. dollars or any foreign currency, and if such currency of denomination is a composite currency, the agency or organization, if any, responsible for overseeing such composite currency;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designation of the currency, currencies or currency units in which payment of principal of, and premium and interest on, the debt securities will be made;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if payments of principal of, or premium or interest on, the debt securities will be made in one or more currencies or currency units other than that or those in which the debt securities are denominated, the manner in which the exchange rate with respect to these payments will be determined;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manner in which the amounts of payment of principal of, and premium, if any, and interest on, the debt securities will be determined, if these amounts may be determined by reference to an index based on a currency or currencies or by reference to a commodity, commodity index, stock exchange index or financial index;</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provisions relating to any security provided for the debt securities;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addition to, deletion of or change in the Events of Default described below or in the indenture with respect to the debt securities and any change in the acceleration provisions described in this prospectus or in the indenture with respect to the debt securities;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addition to, deletion of or change in the covenants described in this prospectus or in the indenture with respect to the debt securities;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depositaries, interest rate calculation agents, exchange rate calculation agents or other agents with respect to the debt securities;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whether any of our direct or indirect subsidiaries will guarantee the debt securities of that series, including the terms of subordination, if any, of such guarantees.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issue debt securities that provide for an amount less than their stated principal amount to be due and payable upon declaration of acceleration of their maturity pursuant to the terms of the indenture. We will provide </w:t>
      </w:r>
    </w:p>
    <w:p>
      <w:pPr>
        <w:pStyle w:val="TextBody"/>
        <w:bidi w:val="0"/>
        <w:spacing w:before="0" w:after="18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you with information on the federal income tax considerations and other special considerations applicable to any of these debt securities in the applicable prospectus supplement.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we denominate the purchase price of any of the debt securities in a foreign currency or currencies or a foreign currency unit or units, or if the principal of, and premium, if any,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Transfer and Exchange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w:t>
      </w:r>
    </w:p>
    <w:p>
      <w:pPr>
        <w:pStyle w:val="TextBody"/>
        <w:bidi w:val="0"/>
        <w:spacing w:lineRule="auto" w:line="288" w:before="0" w:after="180"/>
        <w:jc w:val="both"/>
        <w:rPr/>
      </w:pPr>
      <w:r>
        <w:rPr>
          <w:rFonts w:ascii="Times New Roman;sans-serif" w:hAnsi="Times New Roman;sans-serif"/>
          <w:b w:val="false"/>
          <w:i/>
          <w:color w:val="000000"/>
          <w:sz w:val="20"/>
        </w:rPr>
        <w:t>Certificated Debt Securities.</w:t>
      </w:r>
      <w:r>
        <w:rPr>
          <w:color w:val="000000"/>
        </w:rPr>
        <w:t xml:space="preserve"> </w:t>
      </w:r>
      <w:r>
        <w:rPr>
          <w:rFonts w:ascii="Times New Roman;sans-serif" w:hAnsi="Times New Roman;sans-serif"/>
          <w:b w:val="false"/>
          <w:color w:val="000000"/>
          <w:sz w:val="20"/>
        </w:rPr>
        <w:t xml:space="preserve">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Global Debt Securities and Book-Entry System. Each global debt security representing book-entry debt securities will be deposited with, or on behalf of, the Depositary, and registered in the name of the Depositary or a nominee of the Depositary. Please see the section entitled “Global Securities” for more information.</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Covenants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set forth in the applicable prospectus supplement any restrictive covenants applicable to any issue of debt securities.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No Protection in the Event of a Change of Control</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Unless we state otherwise in the applicable prospectus supplement, the debt securities will not contain any provisions that may afford holders of the debt securities protection in the event we have a change in control or in the event of a highly leveraged transaction (whether or not such transaction results in a change in control) that could adversely affect holders of debt securities.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Consolidation, Merger and Sale of Assets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consolidate with or merge with or into, or convey, transfer or lease all or substantially all of our properties and assets to, any person, or a successor person, unless: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are the surviving corporation or the successor person (if other than Exagen) is a corporation organized and validly existing under the laws of any U.S. domestic jurisdiction and expressly assumes our obligations on the debt securities and under the indenture;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immediately after giving effect to the transaction, no Event of Default, shall have occurred and be continuing;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certain other conditions are met.</w:t>
      </w:r>
    </w:p>
    <w:p>
      <w:pPr>
        <w:pStyle w:val="TextBody"/>
        <w:bidi w:val="0"/>
        <w:spacing w:before="0" w:after="18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above, any of our subsidiaries may consolidate with, merge into or transfer all or part of its properties to us.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Events of Default</w:t>
      </w:r>
    </w:p>
    <w:p>
      <w:pPr>
        <w:pStyle w:val="TextBody"/>
        <w:bidi w:val="0"/>
        <w:spacing w:lineRule="auto" w:line="288" w:before="0" w:after="180"/>
        <w:jc w:val="both"/>
        <w:rPr>
          <w:color w:val="000000"/>
        </w:rPr>
      </w:pPr>
      <w:r>
        <w:rPr>
          <w:color w:val="000000"/>
        </w:rPr>
        <w:t>“</w:t>
      </w:r>
      <w:r>
        <w:rPr>
          <w:rFonts w:ascii="Times New Roman;sans-serif" w:hAnsi="Times New Roman;sans-serif"/>
          <w:b w:val="false"/>
          <w:color w:val="000000"/>
          <w:sz w:val="20"/>
        </w:rPr>
        <w:t>Event of Default” means with respect to any series of debt securities, any of the following:</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default in the payment of principal of any debt security of that series at its maturity;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default in the performance or breach of any other covenant or warranty by us in the indenture or any debt security (other than a covenant or warranty that has been included in the indenture solely for the benefit of a series of debt securities other than that series), which default continues uncured for a period of 60 days after we receive written notice from the trustee or Exagen and the trustee receive written notice from the holders of not less than 25% in principal amount of the outstanding debt securities of that series as provided in the indenture;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certain voluntary or involuntary events of bankruptcy, insolvency or reorganization of Exagen; 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any other Event of Default provided with respect to debt securities of that series that is described in the applicable prospectus supplement.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provide the trustee written notice of any Event of Default within 30 days of becoming aware of the occurrence of such Event of Default, which notice will describe in reasonable detail the status of such Event of Default and what action we are taking or propose to take in respect thereof.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indenture provides that the trustee may refuse to perform any duty or exercise any of its rights or powers under the indenture, unless the trustee receives indemnity satisfactory to it against any cost, liability or expense that might be incurred by it in performing such duty or exercising such right or power. Subject to certain rights of the trustee, the holders of a majority in principal amount of the outstanding debt securities of any series will have the </w:t>
      </w:r>
    </w:p>
    <w:p>
      <w:pPr>
        <w:pStyle w:val="TextBody"/>
        <w:bidi w:val="0"/>
        <w:spacing w:before="0" w:after="18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 holder of any debt security of any series will have any right to institute any proceeding, judicial or otherwise, with respect to the indenture or for the appointment of a receiver or trustee, or for any remedy under the indenture, unless: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that holder has previously given to the trustee written notice of a continuing Event of Default with respect to debt securities of that series;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any other provision in the indenture, the holder of any debt security will have an absolute and unconditional right to receive payment of the principal of, and premium and any interest on, that debt security on or after the due dates expressed in that debt security and to institute suit for the enforcement of payment.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requires us, within 120 days after the end of our fiscal year, to furnish to the trustee a statement as to compliance with the indenture. If an Event of Default occurs and is continuing with respect to the securities of any series and if it is known to a responsible officer of the trustee, the trustee shall mail to each holder of the securities of that series notice of an Event of Default within 90 days after it occurs or, if later, after a responsible officer of the trustee has knowledge of such Event of Default. The indenture provides that the trustee may withhold notice to the holders of debt securities of any series of any Event of Default (except in payment on any debt securities of that series) with respect to debt securities of that series if the trustee determines in good faith that withholding notice is in the interest of the holders of those debt securities.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Modification and Waiver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and the trustee may modify, amend or supplement the indenture or the debt securities of any series without the consent of any holder of any debt security: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to cure any ambiguity, defect or inconsistency;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to comply with covenants in the indenture described above under the heading “Consolidation, Merger and Sale of Assets;”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to provide for uncertificated securities in addition to or in place of certificated securities;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to add guarantees with respect to debt securities of any series or secure debt securities of any series;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to surrender any of our rights or powers under the indenture;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to add covenants or Events of Default for the benefit of the holders of debt securities of any series;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to comply with the applicable procedures of the applicable depositary;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to make any change that does not adversely affect the rights of any holder of debt securities;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to provide for the issuance of and establish the form and terms and conditions of debt securities of any series as permitted by the indenture;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to effect the appointment of a successor trustee with respect to the debt securities of any series and to add to or change any of the provisions of the indenture to provide for or facilitate administration by more than one trustee; or</w:t>
      </w:r>
    </w:p>
    <w:p>
      <w:pPr>
        <w:pStyle w:val="TextBody"/>
        <w:bidi w:val="0"/>
        <w:spacing w:before="0" w:after="18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to comply with requirements of the SEC in order to effect or maintain the qualification of the indenture under the Trust Indenture Act of 1939, as amended.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reduce the amount of debt securities whose holders must consent to an amendment, supplement or waiver;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reduce the rate of or extend the time for payment of interest (including default interest) on any debt security;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reduce the principal of or premium on or change the fixed maturity of any debt security or reduce the amount of, or postpone the date fixed for, the payment of any sinking fund or analogous obligation with respect to any series of debt securities;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reduce the principal amount of discount securities payable upon acceleration of maturity;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waive an Event of Default in the payment of the principal of, or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make the principal of, or premium or interest on, any debt security payable in currency other than that stated in the debt security;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make any change to certain provisions of the indenture relating to, among other things, the right of holders of debt securities to receive payment of the principal of, and premium and interest on, those debt securities and to institute suit for the enforcement of any such payment and to waivers or amendments; 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waive a redemption payment with respect to any debt security.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Defeasance of Debt Securities and Certain Covenants in Certain Circumstances</w:t>
      </w:r>
    </w:p>
    <w:p>
      <w:pPr>
        <w:pStyle w:val="TextBody"/>
        <w:bidi w:val="0"/>
        <w:spacing w:lineRule="auto" w:line="288" w:before="0" w:after="180"/>
        <w:jc w:val="both"/>
        <w:rPr/>
      </w:pPr>
      <w:r>
        <w:rPr>
          <w:rFonts w:ascii="Times New Roman;sans-serif" w:hAnsi="Times New Roman;sans-serif"/>
          <w:b w:val="false"/>
          <w:i/>
          <w:color w:val="000000"/>
          <w:sz w:val="20"/>
        </w:rPr>
        <w:t xml:space="preserve">Legal Defeasance. </w:t>
      </w:r>
      <w:r>
        <w:rPr>
          <w:rFonts w:ascii="Times New Roman;sans-serif" w:hAnsi="Times New Roman;sans-serif"/>
          <w:b w:val="false"/>
          <w:color w:val="000000"/>
          <w:sz w:val="20"/>
        </w:rPr>
        <w:t>The indenture provides that, unless otherwise provided by the terms of the applicable series of debt securities, we may be discharged from any and all obligations in respect of the debt securities of any series (subject to certain exceptions). We will be so discharged upon the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discharge may occur only if, among other things, we have delivered to the trustee an opinion of counsel stating that we have received from, or there has been published by, the U.S. Internal Revenue Service a ruling or, </w:t>
      </w:r>
    </w:p>
    <w:p>
      <w:pPr>
        <w:pStyle w:val="TextBody"/>
        <w:bidi w:val="0"/>
        <w:spacing w:before="0" w:after="18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the date of execution of the indenture, there has been a change in the applicable U.S. federal income tax law, in either case to the effect that, and based thereon such opinion shall confirm that, the holders of the debt securities of that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 </w:t>
      </w:r>
    </w:p>
    <w:p>
      <w:pPr>
        <w:pStyle w:val="TextBody"/>
        <w:bidi w:val="0"/>
        <w:spacing w:lineRule="auto" w:line="288" w:before="0" w:after="180"/>
        <w:jc w:val="both"/>
        <w:rPr/>
      </w:pPr>
      <w:r>
        <w:rPr>
          <w:rFonts w:ascii="Times New Roman;sans-serif" w:hAnsi="Times New Roman;sans-serif"/>
          <w:b w:val="false"/>
          <w:i/>
          <w:color w:val="000000"/>
          <w:sz w:val="20"/>
        </w:rPr>
        <w:t xml:space="preserve">Defeasance of Certain Covenants. </w:t>
      </w:r>
      <w:r>
        <w:rPr>
          <w:rFonts w:ascii="Times New Roman;sans-serif" w:hAnsi="Times New Roman;sans-serif"/>
          <w:b w:val="false"/>
          <w:color w:val="000000"/>
          <w:sz w:val="20"/>
        </w:rPr>
        <w:t>The indenture provides that, unless otherwise provided by the terms of the applicable series of debt securities, upon compliance with certain conditions: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may omit to comply with the covenant described under the heading “Consolidation, Merger and Sale of Assets” and certain other covenants set forth in the indenture, as well as any additional covenants that may be set forth in the applicable prospectus supplement;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any omission to comply with those covenants will not constitute a Default or an Event of Default with respect to the debt securities of that series, or a covenant defeasance.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conditions include: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delivering to the trustee an opinion of counsel to the effect that the holders of the debt securities of that series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 </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No Personal Liability of Directors, Officers, Employees or Securityholders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Governing Law</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and the debt securities, including any claim or controversy arising out of or relating to the indenture or the debt securities, will be governed by the laws of the State of New York.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w:t>
      </w:r>
    </w:p>
    <w:p>
      <w:pPr>
        <w:pStyle w:val="TextBody"/>
        <w:bidi w:val="0"/>
        <w:spacing w:before="0" w:after="18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DESCRIPTION OF WARRANTS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is subject to, and qualified in its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particular terms of any issue of warrants will be described in the prospectus supplement relating to the issue. Those terms may include: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number of shares of common stock or preferred stock purchasable upon the exercise of warrants to purchase such shares and the price at which such number of shares may be purchased upon such exercise;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designation, stated value and terms (including, without limitation, liquidation, dividend, conversion and voting rights) of the series of preferred stock purchasable upon exercise of warrants to purchase preferred stock;</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principal amount of debt securities that may be purchased upon exercise of a debt warrant and the exercise price for the warrants, which may be payable in cash, securities or other property;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date, if any, on and after which the warrants and the related debt securities, preferred stock or common stock will be separately transferable;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terms of any rights to redeem or call the warrants;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date on which the right to exercise the warrants will commence and the date on which the right will expire;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U.S. federal income tax consequences applicable to the warrants;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additional terms of the warrants, including terms, procedures, and limitations relating to the exchange, exercise and settlement of the warrants.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equity warrants will not be entitled to:</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vote, consent or receive dividends;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receive notice as stockholders with respect to any meeting of stockholders for the election of our directors or any other matter; 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exercise any rights as stockholders of Exagen.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w:t>
      </w:r>
    </w:p>
    <w:p>
      <w:pPr>
        <w:pStyle w:val="TextBody"/>
        <w:bidi w:val="0"/>
        <w:spacing w:before="0" w:after="18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Transfer Agent and Registrar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transfer agent and registrar for any warrants will be set forth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DESCRIPTION OF UNITS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we offer any units, certain terms of that series of units will be described in the applicable prospectus supplement, including, without limitation, the following, as applicable: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title of the series of units;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identification and description of the separate constituent securities comprising the units;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price or prices at which the units will be issued;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date, if any, on and after which the constituent securities comprising the units will be separately transferable;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discussion of certain U.S. federal income tax considerations applicable to the units;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any other terms of the units and their constituent securities.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Unit Agent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name and address of the unit agent for any units we offer will be set forth in the applicable prospectus supplement.</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Issuance in Series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issue units in such amounts and in such numerous distinct series as we determine.</w:t>
      </w:r>
    </w:p>
    <w:p>
      <w:pPr>
        <w:pStyle w:val="TextBody"/>
        <w:bidi w:val="0"/>
        <w:spacing w:before="0" w:after="18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Enforceability of Rights by Holders of Units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GLOBAL SECURITIES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Book-Entry, Delivery and Form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DTC has advised us that it is: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limited-purpose trust company organized under the New York Banking Law;</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“banking organization” within the meaning of the New York Banking Law;</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member of the Federal Reserve System;</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“clearing corporation” within the meaning of the New York Uniform Commercial Code;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 “clearing agency” registered pursuant to the provisions of Section 17A of the Exchange Act.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w:t>
      </w:r>
    </w:p>
    <w:p>
      <w:pPr>
        <w:pStyle w:val="TextBody"/>
        <w:bidi w:val="0"/>
        <w:spacing w:before="0" w:after="18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respect of the securities and the indenture may be delivered to us and where certificated securities may be surrendered for payment, registration of transfer or exchange.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laws of some jurisdictions may require that some purchasers of securities take physical delivery of securities in definitive form. Those laws may impair the ability to transfer or pledge beneficial interests in securities.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noted above, beneficial owners of a particular series of securities generally will not receive certificates representing their ownership interests in those securities. However, if:</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t>
      </w:r>
    </w:p>
    <w:p>
      <w:pPr>
        <w:pStyle w:val="TextBody"/>
        <w:bidi w:val="0"/>
        <w:spacing w:before="0" w:after="18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within 90 days of the notification to us or of our becoming aware of DTC’s ceasing to be so registered, as the case may be;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 determine, in our sole discretion, not to have such securities represented by one or more global securities; 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 Event of Default has occurred and is continuing with respect to such series of securities,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Euroclear and Clearstream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so provided in the applicable prospectus supplement, you may hold interests in a global security through Clearstream Banking S.A., or Clearstream, or Euroclear Bank S.A./N.V., as operator of the Euroclear System, or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w:t>
      </w:r>
    </w:p>
    <w:p>
      <w:pPr>
        <w:pStyle w:val="TextBody"/>
        <w:bidi w:val="0"/>
        <w:spacing w:before="0" w:after="18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available in the relevant Euroclear or Clearstream cash account only as of the business day for Euroclear or Clearstream following DTC’s settlement date.</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Other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PLAN OF DISTRIBUTION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at a fixed price or prices, which may be changed;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at market prices prevailing at the time of sale;</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at prices related to such prevailing market prices; or</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at negotiated prices.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common stock will be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w:t>
      </w:r>
    </w:p>
    <w:p>
      <w:pPr>
        <w:pStyle w:val="TextBody"/>
        <w:bidi w:val="0"/>
        <w:spacing w:before="0" w:after="18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at a level above that which might otherwise prevail in the open market. These transactions may be discontinued at any time.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specific terms of any lock-up provisions in respect of any given offering will be described in the applicable prospectus supplement.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underwriters, dealers and agents may engage in transactions with us, or perform services for us, in the ordinary course of business for which they receive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Unless the applicable prospectus supplement indicates otherwise, Mintz, Levin, Cohn, Ferris, Glovsky and Popeo, P.C. will pass upon the validity of the issuance of the securities to be offered by this prospectus. Additional legal matters may be passed upon for any underwriters, dealers or agents by counsel that we will name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EXPERTS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as of December 31, 2022 and 2021 and for the years then ended incorporated by reference in this prospectus and in the registration statement have been so incorporated in reliance on the report of BDO USA, LLP (n/k/a BDO USA, P.C.), an independent registered public accounting firm, incorporated herein by reference, given on the authority of said firm as experts in auditing and accounting.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WHERE YOU CAN FIND MORE INFORMATION</w:t>
      </w:r>
    </w:p>
    <w:p>
      <w:pPr>
        <w:pStyle w:val="TextBody"/>
        <w:bidi w:val="0"/>
        <w:spacing w:lineRule="auto" w:line="288" w:before="0" w:after="180"/>
        <w:jc w:val="both"/>
        <w:rPr/>
      </w:pPr>
      <w:r>
        <w:rPr>
          <w:rFonts w:ascii="Times New Roman;sans-serif" w:hAnsi="Times New Roman;sans-serif"/>
          <w:b w:val="false"/>
          <w:color w:val="000000"/>
          <w:sz w:val="20"/>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Times New Roman;sans-serif" w:hAnsi="Times New Roman;sans-serif"/>
          <w:b w:val="false"/>
          <w:i/>
          <w:color w:val="000000"/>
          <w:sz w:val="20"/>
        </w:rPr>
        <w:t>http://www.sec.gov</w:t>
      </w:r>
      <w:r>
        <w:rPr>
          <w:rFonts w:ascii="Times New Roman;sans-serif" w:hAnsi="Times New Roman;sans-serif"/>
          <w:b w:val="false"/>
          <w:color w:val="000000"/>
          <w:sz w:val="20"/>
        </w:rPr>
        <w:t>.</w:t>
      </w:r>
    </w:p>
    <w:p>
      <w:pPr>
        <w:pStyle w:val="TextBody"/>
        <w:bidi w:val="0"/>
        <w:spacing w:lineRule="auto" w:line="288" w:before="0" w:after="180"/>
        <w:jc w:val="both"/>
        <w:rPr/>
      </w:pPr>
      <w:r>
        <w:rPr>
          <w:rFonts w:ascii="Times New Roman;sans-serif" w:hAnsi="Times New Roman;sans-serif"/>
          <w:b w:val="false"/>
          <w:color w:val="000000"/>
          <w:sz w:val="20"/>
        </w:rPr>
        <w:t xml:space="preserve">Our website address is </w:t>
      </w:r>
      <w:r>
        <w:rPr>
          <w:rFonts w:ascii="Times New Roman;sans-serif" w:hAnsi="Times New Roman;sans-serif"/>
          <w:b w:val="false"/>
          <w:i/>
          <w:color w:val="000000"/>
          <w:sz w:val="20"/>
        </w:rPr>
        <w:t>http://www.exagen.com.</w:t>
      </w:r>
      <w:r>
        <w:rPr>
          <w:color w:val="000000"/>
        </w:rPr>
        <w:t xml:space="preserve"> </w:t>
      </w:r>
      <w:r>
        <w:rPr>
          <w:rFonts w:ascii="Times New Roman;sans-serif" w:hAnsi="Times New Roman;sans-serif"/>
          <w:b w:val="false"/>
          <w:color w:val="000000"/>
          <w:sz w:val="20"/>
        </w:rPr>
        <w:t>The information on our website, however, is not, and should not be deemed to be, a part of this prospectus.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INCORPORATION OF DOCUMENTS BY REFERENCE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This prospectus and any accompanying prospectus supplement incorporate by reference the documents set forth below that have previously been filed with the SEC:</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Annual Report on Form 10-K for the year ended December 31, 2022, filed with the SEC on </w:t>
      </w:r>
      <w:hyperlink r:id="rId18">
        <w:r>
          <w:rPr>
            <w:rStyle w:val="InternetLink"/>
            <w:rFonts w:ascii="Times New Roman;sans-serif" w:hAnsi="Times New Roman;sans-serif"/>
            <w:b w:val="false"/>
            <w:color w:val="0000FF"/>
            <w:sz w:val="20"/>
            <w:u w:val="single"/>
          </w:rPr>
          <w:t>March 20, 2023</w:t>
        </w:r>
      </w:hyperlink>
      <w:r>
        <w:rPr>
          <w:rFonts w:ascii="Times New Roman;sans-serif" w:hAnsi="Times New Roman;sans-serif"/>
          <w:b w:val="false"/>
          <w:color w:val="000000"/>
          <w:sz w:val="20"/>
        </w:rPr>
        <w:t>, including the information incorporated by reference into our Annual Report on Form 10-K from our definitive proxy statement for our 2023 Annual Meeting of Stockholders;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Quarterly Report on Form 10-Q for the quarter ended March 31, 2023, June 30, 2023 and September 30, 2023 filed with the SEC on </w:t>
      </w:r>
      <w:hyperlink r:id="rId19">
        <w:r>
          <w:rPr>
            <w:rStyle w:val="InternetLink"/>
            <w:rFonts w:ascii="Times New Roman;sans-serif" w:hAnsi="Times New Roman;sans-serif"/>
            <w:b w:val="false"/>
            <w:color w:val="0000FF"/>
            <w:sz w:val="20"/>
            <w:u w:val="single"/>
          </w:rPr>
          <w:t>May 15, 2023</w:t>
        </w:r>
      </w:hyperlink>
      <w:r>
        <w:rPr>
          <w:rFonts w:ascii="Times New Roman;sans-serif" w:hAnsi="Times New Roman;sans-serif"/>
          <w:b w:val="false"/>
          <w:color w:val="000000"/>
          <w:sz w:val="20"/>
        </w:rPr>
        <w:t xml:space="preserve">, </w:t>
      </w:r>
      <w:hyperlink r:id="rId20">
        <w:r>
          <w:rPr>
            <w:rStyle w:val="InternetLink"/>
            <w:rFonts w:ascii="Times New Roman;sans-serif" w:hAnsi="Times New Roman;sans-serif"/>
            <w:b w:val="false"/>
            <w:color w:val="0000FF"/>
            <w:sz w:val="20"/>
            <w:u w:val="single"/>
          </w:rPr>
          <w:t>August 7, 2023</w:t>
        </w:r>
      </w:hyperlink>
      <w:r>
        <w:rPr>
          <w:color w:val="000000"/>
        </w:rPr>
        <w:t xml:space="preserve"> </w:t>
      </w:r>
      <w:r>
        <w:rPr>
          <w:rFonts w:ascii="Times New Roman;sans-serif" w:hAnsi="Times New Roman;sans-serif"/>
          <w:b w:val="false"/>
          <w:color w:val="000000"/>
          <w:sz w:val="20"/>
        </w:rPr>
        <w:t xml:space="preserve">and </w:t>
      </w:r>
      <w:hyperlink r:id="rId21">
        <w:r>
          <w:rPr>
            <w:rStyle w:val="InternetLink"/>
            <w:rFonts w:ascii="Times New Roman;sans-serif" w:hAnsi="Times New Roman;sans-serif"/>
            <w:b w:val="false"/>
            <w:color w:val="0000FF"/>
            <w:sz w:val="20"/>
            <w:u w:val="single"/>
          </w:rPr>
          <w:t>November 13, 2023</w:t>
        </w:r>
      </w:hyperlink>
      <w:r>
        <w:rPr>
          <w:rFonts w:ascii="Times New Roman;sans-serif" w:hAnsi="Times New Roman;sans-serif"/>
          <w:b w:val="false"/>
          <w:color w:val="000000"/>
          <w:sz w:val="20"/>
        </w:rPr>
        <w:t>, respectively;</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our Current Reports on Form 8-K filed with the SEC on </w:t>
      </w:r>
      <w:hyperlink r:id="rId22">
        <w:r>
          <w:rPr>
            <w:rStyle w:val="InternetLink"/>
            <w:rFonts w:ascii="Times New Roman;sans-serif" w:hAnsi="Times New Roman;sans-serif"/>
            <w:b w:val="false"/>
            <w:color w:val="0000FF"/>
            <w:sz w:val="20"/>
            <w:u w:val="single"/>
          </w:rPr>
          <w:t>January 9, 2023</w:t>
        </w:r>
      </w:hyperlink>
      <w:r>
        <w:rPr>
          <w:rFonts w:ascii="Times New Roman;sans-serif" w:hAnsi="Times New Roman;sans-serif"/>
          <w:b w:val="false"/>
          <w:color w:val="000000"/>
          <w:sz w:val="20"/>
        </w:rPr>
        <w:t>, </w:t>
      </w:r>
      <w:hyperlink r:id="rId23">
        <w:r>
          <w:rPr>
            <w:rStyle w:val="InternetLink"/>
            <w:rFonts w:ascii="Times New Roman;sans-serif" w:hAnsi="Times New Roman;sans-serif"/>
            <w:b w:val="false"/>
            <w:color w:val="0000FF"/>
            <w:sz w:val="20"/>
            <w:u w:val="single"/>
          </w:rPr>
          <w:t>January 23, 2023</w:t>
        </w:r>
      </w:hyperlink>
      <w:r>
        <w:rPr>
          <w:rFonts w:ascii="Times New Roman;sans-serif" w:hAnsi="Times New Roman;sans-serif"/>
          <w:b w:val="false"/>
          <w:color w:val="000000"/>
          <w:sz w:val="20"/>
        </w:rPr>
        <w:t>, </w:t>
      </w:r>
      <w:hyperlink r:id="rId24">
        <w:r>
          <w:rPr>
            <w:rStyle w:val="InternetLink"/>
            <w:rFonts w:ascii="Times New Roman;sans-serif" w:hAnsi="Times New Roman;sans-serif"/>
            <w:b w:val="false"/>
            <w:color w:val="0000FF"/>
            <w:sz w:val="20"/>
            <w:u w:val="single"/>
          </w:rPr>
          <w:t>March 23, 2023</w:t>
        </w:r>
      </w:hyperlink>
      <w:r>
        <w:rPr>
          <w:rFonts w:ascii="Times New Roman;sans-serif" w:hAnsi="Times New Roman;sans-serif"/>
          <w:b w:val="false"/>
          <w:color w:val="000000"/>
          <w:sz w:val="20"/>
        </w:rPr>
        <w:t>, </w:t>
      </w:r>
      <w:hyperlink r:id="rId25">
        <w:r>
          <w:rPr>
            <w:rStyle w:val="InternetLink"/>
            <w:rFonts w:ascii="Times New Roman;sans-serif" w:hAnsi="Times New Roman;sans-serif"/>
            <w:b w:val="false"/>
            <w:color w:val="0000FF"/>
            <w:sz w:val="20"/>
            <w:u w:val="single"/>
          </w:rPr>
          <w:t>May 4, 2023</w:t>
        </w:r>
      </w:hyperlink>
      <w:r>
        <w:rPr>
          <w:rFonts w:ascii="Times New Roman;sans-serif" w:hAnsi="Times New Roman;sans-serif"/>
          <w:b w:val="false"/>
          <w:color w:val="000000"/>
          <w:sz w:val="20"/>
        </w:rPr>
        <w:t xml:space="preserve">, </w:t>
      </w:r>
      <w:hyperlink r:id="rId26">
        <w:r>
          <w:rPr>
            <w:rStyle w:val="InternetLink"/>
            <w:rFonts w:ascii="Times New Roman;sans-serif" w:hAnsi="Times New Roman;sans-serif"/>
            <w:b w:val="false"/>
            <w:color w:val="0000FF"/>
            <w:sz w:val="20"/>
            <w:u w:val="single"/>
          </w:rPr>
          <w:t>June 14, 2023</w:t>
        </w:r>
      </w:hyperlink>
      <w:r>
        <w:rPr>
          <w:rFonts w:ascii="Times New Roman;sans-serif" w:hAnsi="Times New Roman;sans-serif"/>
          <w:b w:val="false"/>
          <w:color w:val="000000"/>
          <w:sz w:val="20"/>
        </w:rPr>
        <w:t xml:space="preserve">, </w:t>
      </w:r>
      <w:hyperlink r:id="rId27">
        <w:r>
          <w:rPr>
            <w:rStyle w:val="InternetLink"/>
            <w:rFonts w:ascii="Times New Roman;sans-serif" w:hAnsi="Times New Roman;sans-serif"/>
            <w:b w:val="false"/>
            <w:color w:val="0000FF"/>
            <w:sz w:val="20"/>
            <w:u w:val="single"/>
          </w:rPr>
          <w:t>July 24, 2023</w:t>
        </w:r>
      </w:hyperlink>
      <w:r>
        <w:rPr>
          <w:rFonts w:ascii="Times New Roman;sans-serif" w:hAnsi="Times New Roman;sans-serif"/>
          <w:b w:val="false"/>
          <w:color w:val="000000"/>
          <w:sz w:val="20"/>
        </w:rPr>
        <w:t xml:space="preserve">, </w:t>
      </w:r>
      <w:hyperlink r:id="rId28">
        <w:r>
          <w:rPr>
            <w:rStyle w:val="InternetLink"/>
            <w:rFonts w:ascii="Times New Roman;sans-serif" w:hAnsi="Times New Roman;sans-serif"/>
            <w:b w:val="false"/>
            <w:color w:val="0000FF"/>
            <w:sz w:val="20"/>
            <w:u w:val="single"/>
          </w:rPr>
          <w:t>October 26, 2023</w:t>
        </w:r>
      </w:hyperlink>
      <w:r>
        <w:rPr>
          <w:color w:val="000000"/>
        </w:rPr>
        <w:t xml:space="preserve"> </w:t>
      </w:r>
      <w:r>
        <w:rPr>
          <w:rFonts w:ascii="Times New Roman;sans-serif" w:hAnsi="Times New Roman;sans-serif"/>
          <w:b w:val="false"/>
          <w:color w:val="000000"/>
          <w:sz w:val="20"/>
        </w:rPr>
        <w:t xml:space="preserve">and </w:t>
      </w:r>
      <w:hyperlink r:id="rId29">
        <w:r>
          <w:rPr>
            <w:rStyle w:val="InternetLink"/>
            <w:rFonts w:ascii="Times New Roman;sans-serif" w:hAnsi="Times New Roman;sans-serif"/>
            <w:b w:val="false"/>
            <w:color w:val="0000FF"/>
            <w:sz w:val="20"/>
            <w:u w:val="single"/>
          </w:rPr>
          <w:t>November 17, 2023</w:t>
        </w:r>
      </w:hyperlink>
      <w:r>
        <w:rPr>
          <w:rFonts w:ascii="Times New Roman;sans-serif" w:hAnsi="Times New Roman;sans-serif"/>
          <w:b w:val="false"/>
          <w:color w:val="000000"/>
          <w:sz w:val="20"/>
        </w:rPr>
        <w:t>; and</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the description of our common stock set forth in the Registrant's registration statement on Form 8-A12B (Registration No. 001-39049), filed by the Registrant with the SEC under Section 12(b) of the Securities Exchange Act of 1934, as amended, or the Exchange Act, on </w:t>
      </w:r>
      <w:hyperlink r:id="rId30">
        <w:r>
          <w:rPr>
            <w:rStyle w:val="InternetLink"/>
            <w:rFonts w:ascii="Times New Roman;sans-serif" w:hAnsi="Times New Roman;sans-serif"/>
            <w:b w:val="false"/>
            <w:color w:val="0000FF"/>
            <w:sz w:val="20"/>
            <w:u w:val="single"/>
          </w:rPr>
          <w:t>September 13, 2019</w:t>
        </w:r>
      </w:hyperlink>
      <w:r>
        <w:rPr>
          <w:rFonts w:ascii="Times New Roman;sans-serif" w:hAnsi="Times New Roman;sans-serif"/>
          <w:b w:val="false"/>
          <w:color w:val="000000"/>
          <w:sz w:val="20"/>
        </w:rPr>
        <w:t>, including any amendments or reports filed for the purpose of updating such description.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all reports and other documents filed by us pursuant to the Exchange Act after the date of the initial registration statement and prior to effectiveness of the registration statement shall be deemed to be incorporated by reference into this prospectus and deemed to be a part of this prospectus from the date of filing of such reports and documents. Notwithstanding the foregoing, we are not incorporating by reference any documents or portions thereof that are not deemed “filed” with the SEC, including our Compensation Committee report and performance graph or any information furnished pursuant to Items 2.02 or 7.01 of Form 8-K or related exhibits furnished pursuant to Item 9.01 of Form 8-K.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You may request a free copy of any of the documents incorporated by reference in this prospectus (other than exhibits, unless they are specifically incorporated by reference in the documents) by writing or telephoning us at the following address: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Exagen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Attention: Corporate Secretary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1261 Liberty Way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Vista, California 92081</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(760) 560-1501</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Exhibits to the filings will not be sent, however, unless those exhibits have specifically been incorporated by reference in this prospectus or any accompanying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both"/>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720"/>
        <w:jc w:val="center"/>
        <w:rPr/>
      </w:pPr>
      <w:r>
        <w:rPr/>
        <w:drawing>
          <wp:inline distT="0" distB="0" distL="0" distR="0">
            <wp:extent cx="2743200" cy="1009650"/>
            <wp:effectExtent l="0" t="0" r="0" b="0"/>
            <wp:docPr id="5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 descr=""/>
                    <pic:cNvPicPr>
                      <a:picLocks noChangeAspect="1" noChangeArrowheads="1"/>
                    </pic:cNvPicPr>
                  </pic:nvPicPr>
                  <pic:blipFill>
                    <a:blip r:embed="rId31"/>
                    <a:stretch>
                      <a:fillRect/>
                    </a:stretch>
                  </pic:blipFill>
                  <pic:spPr bwMode="auto">
                    <a:xfrm>
                      <a:off x="0" y="0"/>
                      <a:ext cx="2743200" cy="1009650"/>
                    </a:xfrm>
                    <a:prstGeom prst="rect">
                      <a:avLst/>
                    </a:prstGeom>
                  </pic:spPr>
                </pic:pic>
              </a:graphicData>
            </a:graphic>
          </wp:inline>
        </w:drawing>
      </w:r>
    </w:p>
    <w:p>
      <w:pPr>
        <w:pStyle w:val="TextBody"/>
        <w:bidi w:val="0"/>
        <w:spacing w:lineRule="auto" w:line="288" w:before="0" w:after="240"/>
        <w:jc w:val="center"/>
        <w:rPr>
          <w:rFonts w:ascii="Times New Roman;sans-serif" w:hAnsi="Times New Roman;sans-serif"/>
          <w:b/>
          <w:color w:val="000000"/>
          <w:sz w:val="28"/>
        </w:rPr>
      </w:pPr>
      <w:r>
        <w:rPr>
          <w:rFonts w:ascii="Times New Roman;sans-serif" w:hAnsi="Times New Roman;sans-serif"/>
          <w:b/>
          <w:color w:val="000000"/>
          <w:sz w:val="28"/>
        </w:rPr>
        <w:t>$150,000,000</w:t>
      </w:r>
    </w:p>
    <w:p>
      <w:pPr>
        <w:pStyle w:val="TextBody"/>
        <w:bidi w:val="0"/>
        <w:spacing w:lineRule="auto" w:line="288" w:before="0" w:after="240"/>
        <w:jc w:val="center"/>
        <w:rPr>
          <w:rFonts w:ascii="Times New Roman;sans-serif" w:hAnsi="Times New Roman;sans-serif"/>
          <w:b/>
          <w:color w:val="000000"/>
          <w:sz w:val="28"/>
        </w:rPr>
      </w:pPr>
      <w:r>
        <w:rPr>
          <w:rFonts w:ascii="Times New Roman;sans-serif" w:hAnsi="Times New Roman;sans-serif"/>
          <w:b/>
          <w:color w:val="000000"/>
          <w:sz w:val="28"/>
        </w:rPr>
        <w:t>Common Stock</w:t>
      </w:r>
    </w:p>
    <w:p>
      <w:pPr>
        <w:pStyle w:val="TextBody"/>
        <w:bidi w:val="0"/>
        <w:spacing w:lineRule="auto" w:line="288" w:before="0" w:after="240"/>
        <w:jc w:val="center"/>
        <w:rPr>
          <w:rFonts w:ascii="Times New Roman;sans-serif" w:hAnsi="Times New Roman;sans-serif"/>
          <w:b/>
          <w:color w:val="000000"/>
          <w:sz w:val="28"/>
        </w:rPr>
      </w:pPr>
      <w:r>
        <w:rPr>
          <w:rFonts w:ascii="Times New Roman;sans-serif" w:hAnsi="Times New Roman;sans-serif"/>
          <w:b/>
          <w:color w:val="000000"/>
          <w:sz w:val="28"/>
        </w:rPr>
        <w:t>Preferred Stock</w:t>
      </w:r>
    </w:p>
    <w:p>
      <w:pPr>
        <w:pStyle w:val="TextBody"/>
        <w:bidi w:val="0"/>
        <w:spacing w:lineRule="auto" w:line="288" w:before="0" w:after="240"/>
        <w:jc w:val="center"/>
        <w:rPr>
          <w:rFonts w:ascii="Times New Roman;sans-serif" w:hAnsi="Times New Roman;sans-serif"/>
          <w:b/>
          <w:color w:val="000000"/>
          <w:sz w:val="28"/>
        </w:rPr>
      </w:pPr>
      <w:r>
        <w:rPr>
          <w:rFonts w:ascii="Times New Roman;sans-serif" w:hAnsi="Times New Roman;sans-serif"/>
          <w:b/>
          <w:color w:val="000000"/>
          <w:sz w:val="28"/>
        </w:rPr>
        <w:t>Debt Securities</w:t>
      </w:r>
    </w:p>
    <w:p>
      <w:pPr>
        <w:pStyle w:val="TextBody"/>
        <w:bidi w:val="0"/>
        <w:spacing w:lineRule="auto" w:line="288" w:before="0" w:after="240"/>
        <w:jc w:val="center"/>
        <w:rPr>
          <w:rFonts w:ascii="Times New Roman;sans-serif" w:hAnsi="Times New Roman;sans-serif"/>
          <w:b/>
          <w:color w:val="000000"/>
          <w:sz w:val="28"/>
        </w:rPr>
      </w:pPr>
      <w:r>
        <w:rPr>
          <w:rFonts w:ascii="Times New Roman;sans-serif" w:hAnsi="Times New Roman;sans-serif"/>
          <w:b/>
          <w:color w:val="000000"/>
          <w:sz w:val="28"/>
        </w:rPr>
        <w:t>Warrants</w:t>
      </w:r>
    </w:p>
    <w:p>
      <w:pPr>
        <w:pStyle w:val="TextBody"/>
        <w:bidi w:val="0"/>
        <w:spacing w:lineRule="auto" w:line="288" w:before="0" w:after="1800"/>
        <w:jc w:val="center"/>
        <w:rPr>
          <w:rFonts w:ascii="Times New Roman;sans-serif" w:hAnsi="Times New Roman;sans-serif"/>
          <w:b/>
          <w:color w:val="000000"/>
          <w:sz w:val="28"/>
        </w:rPr>
      </w:pPr>
      <w:r>
        <w:rPr>
          <w:rFonts w:ascii="Times New Roman;sans-serif" w:hAnsi="Times New Roman;sans-serif"/>
          <w:b/>
          <w:color w:val="000000"/>
          <w:sz w:val="28"/>
        </w:rPr>
        <w:t>Units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70"/>
        <w:jc w:val="center"/>
        <w:rPr>
          <w:rFonts w:ascii="Times New Roman;sans-serif" w:hAnsi="Times New Roman;sans-serif"/>
          <w:b/>
          <w:color w:val="000000"/>
          <w:sz w:val="24"/>
        </w:rPr>
      </w:pPr>
      <w:r>
        <w:rPr>
          <w:rFonts w:ascii="Times New Roman;sans-serif" w:hAnsi="Times New Roman;sans-serif"/>
          <w:b/>
          <w:color w:val="000000"/>
          <w:sz w:val="24"/>
        </w:rPr>
        <w:t>PROSPECTUS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November 29, 2023</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authorized any dealer, salesperson or other person to give any information or represent anything not contained in this prospectus. You must not rely on any unauthorized information. If anyone provides you with different or inconsistent information, you should not rely on it. This prospectus does not offer to sell any securities in any jurisdiction where it is unlawful. Neither the delivery of this prospectus, nor any sale made hereunder, shall create any implication that the information in this prospectus is correct after the date hereof.</w:t>
      </w:r>
    </w:p>
    <w:p>
      <w:pPr>
        <w:pStyle w:val="TextBody"/>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274737/000127473723000019/exdx-20221231.htm" TargetMode="External"/><Relationship Id="rId4" Type="http://schemas.openxmlformats.org/officeDocument/2006/relationships/hyperlink" Target="https://www.sec.gov/ix?doc=/Archives/edgar/data/0001274737/000127473723000049/exdx-20230331.htm" TargetMode="External"/><Relationship Id="rId5" Type="http://schemas.openxmlformats.org/officeDocument/2006/relationships/hyperlink" Target="https://www.sec.gov/ix?doc=/Archives/edgar/data/1274737/000127473723000088/exdx-20230630.htm" TargetMode="External"/><Relationship Id="rId6" Type="http://schemas.openxmlformats.org/officeDocument/2006/relationships/hyperlink" Target="https://www.sec.gov/ix?doc=/Archives/edgar/data/1274737/000127473723000103/exdx-20230930.htm" TargetMode="External"/><Relationship Id="rId7" Type="http://schemas.openxmlformats.org/officeDocument/2006/relationships/hyperlink" Target="https://www.sec.gov/ix?doc=/Archives/edgar/data/0001274737/000127473723000002/exdx-20230109.htm" TargetMode="External"/><Relationship Id="rId8" Type="http://schemas.openxmlformats.org/officeDocument/2006/relationships/hyperlink" Target="https://www.sec.gov/ix?doc=/Archives/edgar/data/0001274737/000127473723000004/exdx-20230123.htm" TargetMode="External"/><Relationship Id="rId9" Type="http://schemas.openxmlformats.org/officeDocument/2006/relationships/hyperlink" Target="https://www.sec.gov/ix?doc=/Archives/edgar/data/0001274737/000127473723000024/exdx-20230320.htm" TargetMode="External"/><Relationship Id="rId10" Type="http://schemas.openxmlformats.org/officeDocument/2006/relationships/hyperlink" Target="https://www.sec.gov/ix?doc=/Archives/edgar/data/0001274737/000127473723000041/exdx-20230428.htm" TargetMode="External"/><Relationship Id="rId11" Type="http://schemas.openxmlformats.org/officeDocument/2006/relationships/hyperlink" Target="https://www.sec.gov/ix?doc=/Archives/edgar/data/1274737/000127473723000067/exdx-20230609.htm" TargetMode="External"/><Relationship Id="rId12" Type="http://schemas.openxmlformats.org/officeDocument/2006/relationships/hyperlink" Target="https://www.sec.gov/ix?doc=/Archives/edgar/data/1274737/000127473723000074/exdx-20230724.htm" TargetMode="External"/><Relationship Id="rId13" Type="http://schemas.openxmlformats.org/officeDocument/2006/relationships/hyperlink" Target="https://www.sec.gov/ix?doc=/Archives/edgar/data/1274737/000127473723000096/exdx-20231024.htm" TargetMode="External"/><Relationship Id="rId14" Type="http://schemas.openxmlformats.org/officeDocument/2006/relationships/hyperlink" Target="https://www.sec.gov/ix?doc=/Archives/edgar/data/1274737/000127473723000105/exdx-20231117.htm" TargetMode="External"/><Relationship Id="rId15" Type="http://schemas.openxmlformats.org/officeDocument/2006/relationships/hyperlink" Target="https://www.sec.gov/Archives/edgar/data/1274737/000119312519244881/d756255d8a12b.htm" TargetMode="External"/><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hyperlink" Target="https://www.sec.gov/ix?doc=/Archives/edgar/data/0001274737/000127473723000019/exdx-20221231.htm" TargetMode="External"/><Relationship Id="rId19" Type="http://schemas.openxmlformats.org/officeDocument/2006/relationships/hyperlink" Target="https://www.sec.gov/ix?doc=/Archives/edgar/data/0001274737/000127473723000049/exdx-20230331.htm" TargetMode="External"/><Relationship Id="rId20" Type="http://schemas.openxmlformats.org/officeDocument/2006/relationships/hyperlink" Target="https://www.sec.gov/ix?doc=/Archives/edgar/data/1274737/000127473723000088/exdx-20230630.htm" TargetMode="External"/><Relationship Id="rId21" Type="http://schemas.openxmlformats.org/officeDocument/2006/relationships/hyperlink" Target="https://www.sec.gov/ix?doc=/Archives/edgar/data/1274737/000127473723000103/exdx-20230930.htm" TargetMode="External"/><Relationship Id="rId22" Type="http://schemas.openxmlformats.org/officeDocument/2006/relationships/hyperlink" Target="https://www.sec.gov/ix?doc=/Archives/edgar/data/0001274737/000127473723000002/exdx-20230109.htm" TargetMode="External"/><Relationship Id="rId23" Type="http://schemas.openxmlformats.org/officeDocument/2006/relationships/hyperlink" Target="https://www.sec.gov/ix?doc=/Archives/edgar/data/0001274737/000127473723000004/exdx-20230123.htm" TargetMode="External"/><Relationship Id="rId24" Type="http://schemas.openxmlformats.org/officeDocument/2006/relationships/hyperlink" Target="https://www.sec.gov/ix?doc=/Archives/edgar/data/0001274737/000127473723000024/exdx-20230320.htm" TargetMode="External"/><Relationship Id="rId25" Type="http://schemas.openxmlformats.org/officeDocument/2006/relationships/hyperlink" Target="https://www.sec.gov/ix?doc=/Archives/edgar/data/0001274737/000127473723000041/exdx-20230428.htm" TargetMode="External"/><Relationship Id="rId26" Type="http://schemas.openxmlformats.org/officeDocument/2006/relationships/hyperlink" Target="https://www.sec.gov/ix?doc=/Archives/edgar/data/1274737/000127473723000067/exdx-20230609.htm" TargetMode="External"/><Relationship Id="rId27" Type="http://schemas.openxmlformats.org/officeDocument/2006/relationships/hyperlink" Target="https://www.sec.gov/ix?doc=/Archives/edgar/data/1274737/000127473723000074/exdx-20230724.htm" TargetMode="External"/><Relationship Id="rId28" Type="http://schemas.openxmlformats.org/officeDocument/2006/relationships/hyperlink" Target="https://www.sec.gov/ix?doc=/Archives/edgar/data/1274737/000127473723000096/exdx-20231024.htm" TargetMode="External"/><Relationship Id="rId29" Type="http://schemas.openxmlformats.org/officeDocument/2006/relationships/hyperlink" Target="https://www.sec.gov/ix?doc=/Archives/edgar/data/1274737/000127473723000105/exdx-20231117.htm" TargetMode="External"/><Relationship Id="rId30" Type="http://schemas.openxmlformats.org/officeDocument/2006/relationships/hyperlink" Target="https://www.sec.gov/Archives/edgar/data/1274737/000119312519244881/d756255d8a12b.htm" TargetMode="External"/><Relationship Id="rId31" Type="http://schemas.openxmlformats.org/officeDocument/2006/relationships/image" Target="media/image1.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53</Pages>
  <Words>24917</Words>
  <Characters>131011</Characters>
  <CharactersWithSpaces>155301</CharactersWithSpaces>
  <Paragraphs>673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