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10-Q</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 w:lineRule="exact"/>
        <w:rPr>
          <w:sz w:val="24"/>
          <w:szCs w:val="24"/>
          <w:color w:val="auto"/>
        </w:rPr>
      </w:pPr>
    </w:p>
    <w:p>
      <w:pPr>
        <w:ind w:left="400" w:hanging="243"/>
        <w:spacing w:after="0"/>
        <w:tabs>
          <w:tab w:leader="none" w:pos="400" w:val="left"/>
        </w:tabs>
        <w:numPr>
          <w:ilvl w:val="0"/>
          <w:numId w:val="1"/>
        </w:numPr>
        <w:rPr>
          <w:rFonts w:ascii="MS PGothic" w:cs="MS PGothic" w:eastAsia="MS PGothic" w:hAnsi="MS PGothic"/>
          <w:sz w:val="36"/>
          <w:szCs w:val="36"/>
          <w:color w:val="auto"/>
          <w:highlight w:val="black"/>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 the quarterly period ended September 30, 2019</w:t>
      </w:r>
    </w:p>
    <w:p>
      <w:pPr>
        <w:ind w:left="400" w:hanging="243"/>
        <w:spacing w:after="0" w:line="187" w:lineRule="auto"/>
        <w:tabs>
          <w:tab w:leader="none" w:pos="400" w:val="left"/>
        </w:tabs>
        <w:numPr>
          <w:ilvl w:val="0"/>
          <w:numId w:val="2"/>
        </w:numPr>
        <w:rPr>
          <w:rFonts w:ascii="MS PGothic" w:cs="MS PGothic" w:eastAsia="MS PGothic" w:hAnsi="MS PGothic"/>
          <w:sz w:val="36"/>
          <w:szCs w:val="36"/>
          <w:color w:val="auto"/>
          <w:highlight w:val="black"/>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332" w:lineRule="exact"/>
        <w:rPr>
          <w:sz w:val="24"/>
          <w:szCs w:val="24"/>
          <w:color w:val="auto"/>
        </w:rPr>
      </w:pPr>
    </w:p>
    <w:tbl>
      <w:tblPr>
        <w:tblLayout w:type="fixed"/>
        <w:tblInd w:w="6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560" w:type="dxa"/>
            <w:vAlign w:val="bottom"/>
            <w:gridSpan w:val="5"/>
          </w:tcPr>
          <w:p>
            <w:pPr>
              <w:jc w:val="center"/>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8"/>
                <w:szCs w:val="18"/>
                <w:b w:val="1"/>
                <w:bCs w:val="1"/>
                <w:color w:val="auto"/>
              </w:rPr>
              <w:t>001-39049</w:t>
            </w:r>
          </w:p>
        </w:tc>
        <w:tc>
          <w:tcPr>
            <w:tcW w:w="3460" w:type="dxa"/>
            <w:vAlign w:val="bottom"/>
          </w:tcPr>
          <w:p>
            <w:pPr>
              <w:spacing w:after="0"/>
              <w:rPr>
                <w:sz w:val="20"/>
                <w:szCs w:val="20"/>
                <w:color w:val="auto"/>
              </w:rPr>
            </w:pPr>
          </w:p>
        </w:tc>
      </w:tr>
      <w:tr>
        <w:trPr>
          <w:trHeight w:val="689"/>
        </w:trPr>
        <w:tc>
          <w:tcPr>
            <w:tcW w:w="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40" w:type="dxa"/>
            <w:vAlign w:val="bottom"/>
            <w:gridSpan w:val="4"/>
          </w:tcPr>
          <w:p>
            <w:pPr>
              <w:jc w:val="center"/>
              <w:ind w:right="400"/>
              <w:spacing w:after="0"/>
              <w:rPr>
                <w:sz w:val="20"/>
                <w:szCs w:val="20"/>
                <w:color w:val="auto"/>
              </w:rPr>
            </w:pPr>
            <w:r>
              <w:rPr>
                <w:rFonts w:ascii="Arial" w:cs="Arial" w:eastAsia="Arial" w:hAnsi="Arial"/>
                <w:sz w:val="40"/>
                <w:szCs w:val="40"/>
                <w:b w:val="1"/>
                <w:bCs w:val="1"/>
                <w:color w:val="auto"/>
                <w:w w:val="99"/>
              </w:rPr>
              <w:t>EXAGEN INC.</w:t>
            </w:r>
          </w:p>
        </w:tc>
        <w:tc>
          <w:tcPr>
            <w:tcW w:w="3460" w:type="dxa"/>
            <w:vAlign w:val="bottom"/>
          </w:tcPr>
          <w:p>
            <w:pPr>
              <w:spacing w:after="0"/>
              <w:rPr>
                <w:sz w:val="24"/>
                <w:szCs w:val="24"/>
                <w:color w:val="auto"/>
              </w:rPr>
            </w:pPr>
          </w:p>
        </w:tc>
      </w:tr>
      <w:tr>
        <w:trPr>
          <w:trHeight w:val="190"/>
        </w:trPr>
        <w:tc>
          <w:tcPr>
            <w:tcW w:w="4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560" w:type="dxa"/>
            <w:vAlign w:val="bottom"/>
            <w:gridSpan w:val="5"/>
          </w:tcPr>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460" w:type="dxa"/>
            <w:vAlign w:val="bottom"/>
          </w:tcPr>
          <w:p>
            <w:pPr>
              <w:spacing w:after="0"/>
              <w:rPr>
                <w:sz w:val="16"/>
                <w:szCs w:val="16"/>
                <w:color w:val="auto"/>
              </w:rPr>
            </w:pPr>
          </w:p>
        </w:tc>
      </w:tr>
      <w:tr>
        <w:trPr>
          <w:trHeight w:val="513"/>
        </w:trPr>
        <w:tc>
          <w:tcPr>
            <w:tcW w:w="440" w:type="dxa"/>
            <w:vAlign w:val="bottom"/>
          </w:tcPr>
          <w:p>
            <w:pPr>
              <w:spacing w:after="0"/>
              <w:rPr>
                <w:sz w:val="24"/>
                <w:szCs w:val="24"/>
                <w:color w:val="auto"/>
              </w:rPr>
            </w:pPr>
          </w:p>
        </w:tc>
        <w:tc>
          <w:tcPr>
            <w:tcW w:w="2620" w:type="dxa"/>
            <w:vAlign w:val="bottom"/>
          </w:tcPr>
          <w:p>
            <w:pPr>
              <w:jc w:val="center"/>
              <w:ind w:left="1808"/>
              <w:spacing w:after="0"/>
              <w:rPr>
                <w:sz w:val="20"/>
                <w:szCs w:val="20"/>
                <w:color w:val="auto"/>
              </w:rPr>
            </w:pPr>
            <w:r>
              <w:rPr>
                <w:rFonts w:ascii="Arial" w:cs="Arial" w:eastAsia="Arial" w:hAnsi="Arial"/>
                <w:sz w:val="14"/>
                <w:szCs w:val="14"/>
                <w:b w:val="1"/>
                <w:bCs w:val="1"/>
                <w:color w:val="auto"/>
              </w:rPr>
              <w:t>Delaware</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tcPr>
          <w:p>
            <w:pPr>
              <w:jc w:val="right"/>
              <w:ind w:right="1348"/>
              <w:spacing w:after="0"/>
              <w:rPr>
                <w:sz w:val="20"/>
                <w:szCs w:val="20"/>
                <w:color w:val="auto"/>
              </w:rPr>
            </w:pPr>
            <w:r>
              <w:rPr>
                <w:rFonts w:ascii="Arial" w:cs="Arial" w:eastAsia="Arial" w:hAnsi="Arial"/>
                <w:sz w:val="14"/>
                <w:szCs w:val="14"/>
                <w:b w:val="1"/>
                <w:bCs w:val="1"/>
                <w:color w:val="auto"/>
              </w:rPr>
              <w:t>20-0434866</w:t>
            </w:r>
          </w:p>
        </w:tc>
      </w:tr>
      <w:tr>
        <w:trPr>
          <w:trHeight w:val="188"/>
        </w:trPr>
        <w:tc>
          <w:tcPr>
            <w:tcW w:w="440" w:type="dxa"/>
            <w:vAlign w:val="bottom"/>
          </w:tcPr>
          <w:p>
            <w:pPr>
              <w:spacing w:after="0"/>
              <w:rPr>
                <w:sz w:val="16"/>
                <w:szCs w:val="16"/>
                <w:color w:val="auto"/>
              </w:rPr>
            </w:pPr>
          </w:p>
        </w:tc>
        <w:tc>
          <w:tcPr>
            <w:tcW w:w="3420" w:type="dxa"/>
            <w:vAlign w:val="bottom"/>
            <w:gridSpan w:val="2"/>
          </w:tcPr>
          <w:p>
            <w:pPr>
              <w:jc w:val="center"/>
              <w:ind w:left="1008"/>
              <w:spacing w:after="0"/>
              <w:rPr>
                <w:sz w:val="20"/>
                <w:szCs w:val="20"/>
                <w:color w:val="auto"/>
              </w:rPr>
            </w:pPr>
            <w:r>
              <w:rPr>
                <w:rFonts w:ascii="Arial" w:cs="Arial" w:eastAsia="Arial" w:hAnsi="Arial"/>
                <w:sz w:val="14"/>
                <w:szCs w:val="14"/>
                <w:b w:val="1"/>
                <w:bCs w:val="1"/>
                <w:color w:val="auto"/>
              </w:rPr>
              <w:t>(State or other jurisdiction of</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tcPr>
          <w:p>
            <w:pPr>
              <w:jc w:val="center"/>
              <w:ind w:right="8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40" w:type="dxa"/>
            <w:vAlign w:val="bottom"/>
          </w:tcPr>
          <w:p>
            <w:pPr>
              <w:spacing w:after="0"/>
              <w:rPr>
                <w:sz w:val="16"/>
                <w:szCs w:val="16"/>
                <w:color w:val="auto"/>
              </w:rPr>
            </w:pPr>
          </w:p>
        </w:tc>
        <w:tc>
          <w:tcPr>
            <w:tcW w:w="3420" w:type="dxa"/>
            <w:vAlign w:val="bottom"/>
            <w:gridSpan w:val="2"/>
          </w:tcPr>
          <w:p>
            <w:pPr>
              <w:jc w:val="center"/>
              <w:ind w:left="1008"/>
              <w:spacing w:after="0"/>
              <w:rPr>
                <w:sz w:val="20"/>
                <w:szCs w:val="20"/>
                <w:color w:val="auto"/>
              </w:rPr>
            </w:pPr>
            <w:r>
              <w:rPr>
                <w:rFonts w:ascii="Arial" w:cs="Arial" w:eastAsia="Arial" w:hAnsi="Arial"/>
                <w:sz w:val="14"/>
                <w:szCs w:val="14"/>
                <w:b w:val="1"/>
                <w:bCs w:val="1"/>
                <w:color w:val="auto"/>
              </w:rPr>
              <w:t>incorporation or organization)</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tcPr>
          <w:p>
            <w:pPr>
              <w:jc w:val="center"/>
              <w:ind w:right="68"/>
              <w:spacing w:after="0"/>
              <w:rPr>
                <w:sz w:val="20"/>
                <w:szCs w:val="20"/>
                <w:color w:val="auto"/>
              </w:rPr>
            </w:pPr>
            <w:r>
              <w:rPr>
                <w:rFonts w:ascii="Arial" w:cs="Arial" w:eastAsia="Arial" w:hAnsi="Arial"/>
                <w:sz w:val="14"/>
                <w:szCs w:val="14"/>
                <w:b w:val="1"/>
                <w:bCs w:val="1"/>
                <w:color w:val="auto"/>
              </w:rPr>
              <w:t>Identification No.)</w:t>
            </w:r>
          </w:p>
        </w:tc>
      </w:tr>
      <w:tr>
        <w:trPr>
          <w:trHeight w:val="324"/>
        </w:trPr>
        <w:tc>
          <w:tcPr>
            <w:tcW w:w="440" w:type="dxa"/>
            <w:vAlign w:val="bottom"/>
          </w:tcPr>
          <w:p>
            <w:pPr>
              <w:spacing w:after="0"/>
              <w:rPr>
                <w:sz w:val="24"/>
                <w:szCs w:val="24"/>
                <w:color w:val="auto"/>
              </w:rPr>
            </w:pPr>
          </w:p>
        </w:tc>
        <w:tc>
          <w:tcPr>
            <w:tcW w:w="2620" w:type="dxa"/>
            <w:vAlign w:val="bottom"/>
          </w:tcPr>
          <w:p>
            <w:pPr>
              <w:ind w:left="880"/>
              <w:spacing w:after="0"/>
              <w:rPr>
                <w:sz w:val="20"/>
                <w:szCs w:val="20"/>
                <w:color w:val="auto"/>
              </w:rPr>
            </w:pPr>
            <w:r>
              <w:rPr>
                <w:rFonts w:ascii="Arial" w:cs="Arial" w:eastAsia="Arial" w:hAnsi="Arial"/>
                <w:sz w:val="14"/>
                <w:szCs w:val="14"/>
                <w:b w:val="1"/>
                <w:bCs w:val="1"/>
                <w:color w:val="auto"/>
              </w:rPr>
              <w:t>1261 Liberty Way,</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Suite C</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2620" w:type="dxa"/>
            <w:vAlign w:val="bottom"/>
          </w:tcPr>
          <w:p>
            <w:pPr>
              <w:ind w:left="1300"/>
              <w:spacing w:after="0"/>
              <w:rPr>
                <w:sz w:val="20"/>
                <w:szCs w:val="20"/>
                <w:color w:val="auto"/>
              </w:rPr>
            </w:pPr>
            <w:r>
              <w:rPr>
                <w:rFonts w:ascii="Arial" w:cs="Arial" w:eastAsia="Arial" w:hAnsi="Arial"/>
                <w:sz w:val="14"/>
                <w:szCs w:val="14"/>
                <w:b w:val="1"/>
                <w:bCs w:val="1"/>
                <w:color w:val="auto"/>
              </w:rPr>
              <w:t>Vista</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California</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tcPr>
          <w:p>
            <w:pPr>
              <w:jc w:val="right"/>
              <w:ind w:right="1528"/>
              <w:spacing w:after="0"/>
              <w:rPr>
                <w:sz w:val="20"/>
                <w:szCs w:val="20"/>
                <w:color w:val="auto"/>
              </w:rPr>
            </w:pPr>
            <w:r>
              <w:rPr>
                <w:rFonts w:ascii="Arial" w:cs="Arial" w:eastAsia="Arial" w:hAnsi="Arial"/>
                <w:sz w:val="14"/>
                <w:szCs w:val="14"/>
                <w:b w:val="1"/>
                <w:bCs w:val="1"/>
                <w:color w:val="auto"/>
              </w:rPr>
              <w:t>92081</w:t>
            </w:r>
          </w:p>
        </w:tc>
      </w:tr>
      <w:tr>
        <w:trPr>
          <w:trHeight w:val="216"/>
        </w:trPr>
        <w:tc>
          <w:tcPr>
            <w:tcW w:w="440" w:type="dxa"/>
            <w:vAlign w:val="bottom"/>
          </w:tcPr>
          <w:p>
            <w:pPr>
              <w:spacing w:after="0"/>
              <w:rPr>
                <w:sz w:val="18"/>
                <w:szCs w:val="18"/>
                <w:color w:val="auto"/>
              </w:rPr>
            </w:pPr>
          </w:p>
        </w:tc>
        <w:tc>
          <w:tcPr>
            <w:tcW w:w="6980" w:type="dxa"/>
            <w:vAlign w:val="bottom"/>
            <w:gridSpan w:val="7"/>
          </w:tcPr>
          <w:p>
            <w:pPr>
              <w:jc w:val="center"/>
              <w:ind w:right="2480"/>
              <w:spacing w:after="0"/>
              <w:rPr>
                <w:sz w:val="20"/>
                <w:szCs w:val="20"/>
                <w:color w:val="auto"/>
              </w:rPr>
            </w:pPr>
            <w:r>
              <w:rPr>
                <w:rFonts w:ascii="Arial" w:cs="Arial" w:eastAsia="Arial" w:hAnsi="Arial"/>
                <w:sz w:val="14"/>
                <w:szCs w:val="14"/>
                <w:b w:val="1"/>
                <w:bCs w:val="1"/>
                <w:color w:val="auto"/>
              </w:rPr>
              <w:t>(Address of Principal Executive Offices)</w:t>
            </w:r>
          </w:p>
        </w:tc>
        <w:tc>
          <w:tcPr>
            <w:tcW w:w="3460" w:type="dxa"/>
            <w:vAlign w:val="bottom"/>
          </w:tcPr>
          <w:p>
            <w:pPr>
              <w:jc w:val="center"/>
              <w:ind w:right="68"/>
              <w:spacing w:after="0"/>
              <w:rPr>
                <w:sz w:val="20"/>
                <w:szCs w:val="20"/>
                <w:color w:val="auto"/>
              </w:rPr>
            </w:pPr>
            <w:r>
              <w:rPr>
                <w:rFonts w:ascii="Arial" w:cs="Arial" w:eastAsia="Arial" w:hAnsi="Arial"/>
                <w:sz w:val="14"/>
                <w:szCs w:val="14"/>
                <w:b w:val="1"/>
                <w:bCs w:val="1"/>
                <w:color w:val="auto"/>
              </w:rPr>
              <w:t>(Zip Code)</w:t>
            </w:r>
          </w:p>
        </w:tc>
      </w:tr>
      <w:tr>
        <w:trPr>
          <w:trHeight w:val="594"/>
        </w:trPr>
        <w:tc>
          <w:tcPr>
            <w:tcW w:w="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2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820" w:type="dxa"/>
            <w:vAlign w:val="bottom"/>
            <w:gridSpan w:val="7"/>
          </w:tcPr>
          <w:p>
            <w:pPr>
              <w:jc w:val="center"/>
              <w:ind w:right="2548"/>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270"/>
        </w:trPr>
        <w:tc>
          <w:tcPr>
            <w:tcW w:w="38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60" w:type="dxa"/>
            <w:vAlign w:val="bottom"/>
          </w:tcPr>
          <w:p>
            <w:pPr>
              <w:spacing w:after="0"/>
              <w:rPr>
                <w:sz w:val="23"/>
                <w:szCs w:val="23"/>
                <w:color w:val="auto"/>
              </w:rPr>
            </w:pPr>
          </w:p>
        </w:tc>
      </w:tr>
      <w:tr>
        <w:trPr>
          <w:trHeight w:val="249"/>
        </w:trPr>
        <w:tc>
          <w:tcPr>
            <w:tcW w:w="440" w:type="dxa"/>
            <w:vAlign w:val="bottom"/>
          </w:tcPr>
          <w:p>
            <w:pPr>
              <w:spacing w:after="0"/>
              <w:rPr>
                <w:sz w:val="21"/>
                <w:szCs w:val="21"/>
                <w:color w:val="auto"/>
              </w:rPr>
            </w:pPr>
          </w:p>
        </w:tc>
        <w:tc>
          <w:tcPr>
            <w:tcW w:w="262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Title of each class</w:t>
            </w:r>
          </w:p>
        </w:tc>
        <w:tc>
          <w:tcPr>
            <w:tcW w:w="8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tcPr>
          <w:p>
            <w:pPr>
              <w:jc w:val="center"/>
              <w:ind w:right="3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440" w:type="dxa"/>
            <w:vAlign w:val="bottom"/>
          </w:tcPr>
          <w:p>
            <w:pPr>
              <w:spacing w:after="0"/>
              <w:rPr>
                <w:sz w:val="17"/>
                <w:szCs w:val="17"/>
                <w:color w:val="auto"/>
              </w:rPr>
            </w:pPr>
          </w:p>
        </w:tc>
        <w:tc>
          <w:tcPr>
            <w:tcW w:w="3420" w:type="dxa"/>
            <w:vAlign w:val="bottom"/>
            <w:gridSpan w:val="2"/>
          </w:tcPr>
          <w:p>
            <w:pPr>
              <w:ind w:left="460"/>
              <w:spacing w:after="0"/>
              <w:rPr>
                <w:sz w:val="20"/>
                <w:szCs w:val="20"/>
                <w:color w:val="auto"/>
              </w:rPr>
            </w:pPr>
            <w:r>
              <w:rPr>
                <w:rFonts w:ascii="Arial" w:cs="Arial" w:eastAsia="Arial" w:hAnsi="Arial"/>
                <w:sz w:val="14"/>
                <w:szCs w:val="14"/>
                <w:b w:val="1"/>
                <w:bCs w:val="1"/>
                <w:color w:val="auto"/>
              </w:rPr>
              <w:t>Common Stock, par value $0.001 per share</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XGN</w:t>
            </w:r>
          </w:p>
        </w:tc>
        <w:tc>
          <w:tcPr>
            <w:tcW w:w="3460" w:type="dxa"/>
            <w:vAlign w:val="bottom"/>
          </w:tcPr>
          <w:p>
            <w:pPr>
              <w:jc w:val="center"/>
              <w:ind w:right="32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179" w:lineRule="exact"/>
        <w:rPr>
          <w:sz w:val="24"/>
          <w:szCs w:val="24"/>
          <w:color w:val="auto"/>
        </w:rPr>
      </w:pPr>
    </w:p>
    <w:p>
      <w:pPr>
        <w:ind w:right="14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p>
      <w:pPr>
        <w:spacing w:after="0" w:line="103" w:lineRule="exact"/>
        <w:rPr>
          <w:sz w:val="24"/>
          <w:szCs w:val="24"/>
          <w:color w:val="auto"/>
        </w:rPr>
      </w:pPr>
    </w:p>
    <w:tbl>
      <w:tblPr>
        <w:tblLayout w:type="fixed"/>
        <w:tblInd w:w="480" w:type="dxa"/>
        <w:tblCellMar>
          <w:top w:w="0" w:type="dxa"/>
          <w:left w:w="0" w:type="dxa"/>
          <w:bottom w:w="0" w:type="dxa"/>
          <w:right w:w="0" w:type="dxa"/>
        </w:tblCellMar>
      </w:tblPr>
      <w:tr>
        <w:trPr>
          <w:trHeight w:val="226"/>
        </w:trPr>
        <w:tc>
          <w:tcPr>
            <w:tcW w:w="18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154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1860" w:type="dxa"/>
            <w:vAlign w:val="bottom"/>
          </w:tcPr>
          <w:p>
            <w:pPr>
              <w:spacing w:after="0"/>
              <w:rPr>
                <w:sz w:val="20"/>
                <w:szCs w:val="20"/>
                <w:color w:val="auto"/>
              </w:rPr>
            </w:pPr>
            <w:r>
              <w:rPr>
                <w:rFonts w:ascii="Arial" w:cs="Arial" w:eastAsia="Arial" w:hAnsi="Arial"/>
                <w:sz w:val="14"/>
                <w:szCs w:val="14"/>
                <w:color w:val="auto"/>
              </w:rPr>
              <w:t>Non-accelerated filer</w:t>
            </w:r>
          </w:p>
        </w:tc>
        <w:tc>
          <w:tcPr>
            <w:tcW w:w="21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780" w:type="dxa"/>
            <w:vAlign w:val="bottom"/>
          </w:tcPr>
          <w:p>
            <w:pPr>
              <w:ind w:left="154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1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80" w:type="dxa"/>
            <w:vAlign w:val="bottom"/>
          </w:tcPr>
          <w:p>
            <w:pPr>
              <w:ind w:left="154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19" w:lineRule="exact"/>
        <w:rPr>
          <w:sz w:val="24"/>
          <w:szCs w:val="24"/>
          <w:color w:val="auto"/>
        </w:rPr>
      </w:pPr>
    </w:p>
    <w:p>
      <w:pPr>
        <w:ind w:right="3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8" w:lineRule="exact"/>
        <w:rPr>
          <w:sz w:val="24"/>
          <w:szCs w:val="24"/>
          <w:color w:val="auto"/>
        </w:rPr>
      </w:pPr>
    </w:p>
    <w:p>
      <w:pPr>
        <w:ind w:right="3280"/>
        <w:spacing w:after="0" w:line="24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November 8, 2019 was 12,560,990.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977"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40" w:type="dxa"/>
            <w:vAlign w:val="bottom"/>
            <w:gridSpan w:val="11"/>
          </w:tcPr>
          <w:p>
            <w:pPr>
              <w:ind w:left="8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ind w:left="22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57"/>
        </w:trPr>
        <w:tc>
          <w:tcPr>
            <w:tcW w:w="8800" w:type="dxa"/>
            <w:vAlign w:val="bottom"/>
            <w:gridSpan w:val="19"/>
          </w:tcPr>
          <w:p>
            <w:pPr>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Financial Statements (unaudited)</w:t>
              </w:r>
            </w:hyperlink>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gridSpan w:val="19"/>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Condensed Balance Sheets as of September 30, 2019 and December 31, 2018</w:t>
              </w:r>
            </w:hyperlink>
          </w:p>
        </w:tc>
        <w:tc>
          <w:tcPr>
            <w:tcW w:w="100" w:type="dxa"/>
            <w:vAlign w:val="bottom"/>
          </w:tcPr>
          <w:p>
            <w:pPr>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Statements of Operations for the Three and Nine Months ended September 30, 2019 and 2018</w:t>
              </w:r>
            </w:hyperlink>
          </w:p>
        </w:tc>
        <w:tc>
          <w:tcPr>
            <w:tcW w:w="100" w:type="dxa"/>
            <w:vAlign w:val="bottom"/>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Statements of Redeemable Convertible Preferred Stock and Stockholders' Equity (Deficit) for the</w:t>
              </w:r>
            </w:hyperlink>
          </w:p>
        </w:tc>
        <w:tc>
          <w:tcPr>
            <w:tcW w:w="100" w:type="dxa"/>
            <w:vAlign w:val="bottom"/>
            <w:vMerge w:val="restart"/>
          </w:tcPr>
          <w:p>
            <w:pPr>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Nine Months ended September 30, 2019 and 2018</w:t>
              </w:r>
            </w:hyperlink>
          </w:p>
        </w:tc>
        <w:tc>
          <w:tcPr>
            <w:tcW w:w="4620" w:type="dxa"/>
            <w:vAlign w:val="bottom"/>
            <w:tcBorders>
              <w:top w:val="single" w:sz="8" w:color="0000FF"/>
            </w:tcBorders>
            <w:gridSpan w:val="8"/>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Statements of Cash Flows for the Nine Months ended September 30, 2019 and 2018</w:t>
              </w:r>
            </w:hyperlink>
          </w:p>
        </w:tc>
        <w:tc>
          <w:tcPr>
            <w:tcW w:w="1060" w:type="dxa"/>
            <w:vAlign w:val="bottom"/>
            <w:gridSpan w:val="3"/>
          </w:tcPr>
          <w:p>
            <w:pPr>
              <w:spacing w:after="0"/>
              <w:rPr>
                <w:sz w:val="18"/>
                <w:szCs w:val="18"/>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Unaudited Condensed Financial Statements</w:t>
              </w:r>
            </w:hyperlink>
          </w:p>
        </w:tc>
        <w:tc>
          <w:tcPr>
            <w:tcW w:w="4540" w:type="dxa"/>
            <w:vAlign w:val="bottom"/>
            <w:gridSpan w:val="8"/>
          </w:tcPr>
          <w:p>
            <w:pPr>
              <w:spacing w:after="0"/>
              <w:rPr>
                <w:sz w:val="18"/>
                <w:szCs w:val="18"/>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80" w:type="dxa"/>
            <w:vAlign w:val="bottom"/>
            <w:tcBorders>
              <w:bottom w:val="single" w:sz="8" w:color="0000FF"/>
            </w:tcBorders>
            <w:gridSpan w:val="15"/>
          </w:tcPr>
          <w:p>
            <w:pPr>
              <w:spacing w:after="0" w:line="196" w:lineRule="exact"/>
              <w:rPr>
                <w:rFonts w:ascii="Arial" w:cs="Arial" w:eastAsia="Arial" w:hAnsi="Arial"/>
                <w:sz w:val="18"/>
                <w:szCs w:val="18"/>
                <w:color w:val="0000FF"/>
                <w:w w:val="99"/>
              </w:rPr>
            </w:pPr>
            <w:hyperlink w:anchor="page24">
              <w:r>
                <w:rPr>
                  <w:rFonts w:ascii="Arial" w:cs="Arial" w:eastAsia="Arial" w:hAnsi="Arial"/>
                  <w:sz w:val="18"/>
                  <w:szCs w:val="18"/>
                  <w:color w:val="0000FF"/>
                  <w:w w:val="99"/>
                </w:rPr>
                <w:t>Management's Discussion and Analysis of Financial Condition and Results of Operations</w:t>
              </w:r>
            </w:hyperlink>
          </w:p>
        </w:tc>
        <w:tc>
          <w:tcPr>
            <w:tcW w:w="1720" w:type="dxa"/>
            <w:vAlign w:val="bottom"/>
            <w:gridSpan w:val="4"/>
          </w:tcPr>
          <w:p>
            <w:pPr>
              <w:spacing w:after="0"/>
              <w:rPr>
                <w:sz w:val="18"/>
                <w:szCs w:val="18"/>
                <w:color w:val="auto"/>
              </w:rPr>
            </w:pPr>
          </w:p>
        </w:tc>
        <w:tc>
          <w:tcPr>
            <w:tcW w:w="840" w:type="dxa"/>
            <w:vAlign w:val="bottom"/>
            <w:gridSpan w:val="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c>
          <w:tcPr>
            <w:tcW w:w="0" w:type="dxa"/>
            <w:vAlign w:val="bottom"/>
          </w:tcPr>
          <w:p>
            <w:pPr>
              <w:spacing w:after="0"/>
              <w:rPr>
                <w:sz w:val="1"/>
                <w:szCs w:val="1"/>
                <w:color w:val="auto"/>
              </w:rPr>
            </w:pPr>
          </w:p>
        </w:tc>
      </w:tr>
      <w:tr>
        <w:trPr>
          <w:trHeight w:val="20"/>
        </w:trPr>
        <w:tc>
          <w:tcPr>
            <w:tcW w:w="4720" w:type="dxa"/>
            <w:vAlign w:val="bottom"/>
            <w:gridSpan w:val="12"/>
            <w:vMerge w:val="restart"/>
          </w:tcPr>
          <w:p>
            <w:pP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Quantitative and Qualitative Disclosures About Market Risk</w:t>
              </w:r>
            </w:hyperlink>
          </w:p>
        </w:tc>
        <w:tc>
          <w:tcPr>
            <w:tcW w:w="140" w:type="dxa"/>
            <w:vAlign w:val="bottom"/>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720" w:type="dxa"/>
            <w:vAlign w:val="bottom"/>
            <w:tcBorders>
              <w:bottom w:val="single" w:sz="8" w:color="0000FF"/>
            </w:tcBorders>
            <w:gridSpan w:val="12"/>
            <w:vMerge w:val="continue"/>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6"/>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20"/>
        </w:trPr>
        <w:tc>
          <w:tcPr>
            <w:tcW w:w="2000" w:type="dxa"/>
            <w:vAlign w:val="bottom"/>
            <w:gridSpan w:val="7"/>
            <w:vMerge w:val="restart"/>
          </w:tcPr>
          <w:p>
            <w:pP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Controls and Procedures</w:t>
              </w:r>
            </w:hyperlink>
          </w:p>
        </w:tc>
        <w:tc>
          <w:tcPr>
            <w:tcW w:w="56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00" w:type="dxa"/>
            <w:vAlign w:val="bottom"/>
            <w:tcBorders>
              <w:bottom w:val="single" w:sz="8" w:color="0000FF"/>
            </w:tcBorders>
            <w:gridSpan w:val="7"/>
            <w:vMerge w:val="continue"/>
          </w:tcPr>
          <w:p>
            <w:pPr>
              <w:spacing w:after="0"/>
              <w:rPr>
                <w:sz w:val="17"/>
                <w:szCs w:val="17"/>
                <w:color w:val="auto"/>
              </w:rPr>
            </w:pPr>
          </w:p>
        </w:tc>
        <w:tc>
          <w:tcPr>
            <w:tcW w:w="560" w:type="dxa"/>
            <w:vAlign w:val="bottom"/>
          </w:tcPr>
          <w:p>
            <w:pPr>
              <w:spacing w:after="0"/>
              <w:rPr>
                <w:sz w:val="17"/>
                <w:szCs w:val="17"/>
                <w:color w:val="auto"/>
              </w:rPr>
            </w:pPr>
          </w:p>
        </w:tc>
        <w:tc>
          <w:tcPr>
            <w:tcW w:w="2300" w:type="dxa"/>
            <w:vAlign w:val="bottom"/>
            <w:gridSpan w:val="5"/>
          </w:tcPr>
          <w:p>
            <w:pPr>
              <w:spacing w:after="0"/>
              <w:rPr>
                <w:sz w:val="17"/>
                <w:szCs w:val="17"/>
                <w:color w:val="auto"/>
              </w:rPr>
            </w:pPr>
          </w:p>
        </w:tc>
        <w:tc>
          <w:tcPr>
            <w:tcW w:w="3940" w:type="dxa"/>
            <w:vAlign w:val="bottom"/>
            <w:gridSpan w:val="6"/>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c>
          <w:tcPr>
            <w:tcW w:w="0" w:type="dxa"/>
            <w:vAlign w:val="bottom"/>
          </w:tcPr>
          <w:p>
            <w:pPr>
              <w:spacing w:after="0"/>
              <w:rPr>
                <w:sz w:val="1"/>
                <w:szCs w:val="1"/>
                <w:color w:val="auto"/>
              </w:rPr>
            </w:pPr>
          </w:p>
        </w:tc>
      </w:tr>
      <w:tr>
        <w:trPr>
          <w:trHeight w:val="20"/>
        </w:trPr>
        <w:tc>
          <w:tcPr>
            <w:tcW w:w="880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8800" w:type="dxa"/>
            <w:vAlign w:val="bottom"/>
            <w:gridSpan w:val="19"/>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w:anchor="page36">
              <w:r>
                <w:rPr>
                  <w:rFonts w:ascii="Arial" w:cs="Arial" w:eastAsia="Arial" w:hAnsi="Arial"/>
                  <w:sz w:val="18"/>
                  <w:szCs w:val="18"/>
                  <w:color w:val="0000FF"/>
                  <w:w w:val="99"/>
                </w:rPr>
                <w:t>Legal Proceedings</w:t>
              </w:r>
            </w:hyperlink>
          </w:p>
        </w:tc>
        <w:tc>
          <w:tcPr>
            <w:tcW w:w="44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2300" w:type="dxa"/>
            <w:vAlign w:val="bottom"/>
            <w:gridSpan w:val="5"/>
          </w:tcPr>
          <w:p>
            <w:pPr>
              <w:spacing w:after="0"/>
              <w:rPr>
                <w:sz w:val="17"/>
                <w:szCs w:val="17"/>
                <w:color w:val="auto"/>
              </w:rPr>
            </w:pPr>
          </w:p>
        </w:tc>
        <w:tc>
          <w:tcPr>
            <w:tcW w:w="3940" w:type="dxa"/>
            <w:vAlign w:val="bottom"/>
            <w:gridSpan w:val="6"/>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1000" w:type="dxa"/>
            <w:vAlign w:val="bottom"/>
            <w:gridSpan w:val="3"/>
            <w:vMerge w:val="restart"/>
          </w:tcPr>
          <w:p>
            <w:pPr>
              <w:spacing w:after="0"/>
              <w:rPr>
                <w:rFonts w:ascii="Arial" w:cs="Arial" w:eastAsia="Arial" w:hAnsi="Arial"/>
                <w:sz w:val="18"/>
                <w:szCs w:val="18"/>
                <w:color w:val="0000FF"/>
                <w:w w:val="97"/>
              </w:rPr>
            </w:pPr>
            <w:hyperlink w:anchor="page36">
              <w:r>
                <w:rPr>
                  <w:rFonts w:ascii="Arial" w:cs="Arial" w:eastAsia="Arial" w:hAnsi="Arial"/>
                  <w:sz w:val="18"/>
                  <w:szCs w:val="18"/>
                  <w:color w:val="0000FF"/>
                  <w:w w:val="97"/>
                </w:rPr>
                <w:t>Risk Factors</w:t>
              </w:r>
            </w:hyperlink>
          </w:p>
        </w:tc>
        <w:tc>
          <w:tcPr>
            <w:tcW w:w="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00" w:type="dxa"/>
            <w:vAlign w:val="bottom"/>
            <w:tcBorders>
              <w:bottom w:val="single" w:sz="8" w:color="0000FF"/>
            </w:tcBorders>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2300" w:type="dxa"/>
            <w:vAlign w:val="bottom"/>
            <w:gridSpan w:val="5"/>
          </w:tcPr>
          <w:p>
            <w:pPr>
              <w:spacing w:after="0"/>
              <w:rPr>
                <w:sz w:val="17"/>
                <w:szCs w:val="17"/>
                <w:color w:val="auto"/>
              </w:rPr>
            </w:pPr>
          </w:p>
        </w:tc>
        <w:tc>
          <w:tcPr>
            <w:tcW w:w="3940" w:type="dxa"/>
            <w:vAlign w:val="bottom"/>
            <w:gridSpan w:val="6"/>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4860" w:type="dxa"/>
            <w:vAlign w:val="bottom"/>
            <w:gridSpan w:val="13"/>
            <w:vMerge w:val="restart"/>
          </w:tcPr>
          <w:p>
            <w:pPr>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Unregistered Sales of Equity Securities and Use of Proceeds</w:t>
              </w:r>
            </w:hyperlink>
          </w:p>
        </w:tc>
        <w:tc>
          <w:tcPr>
            <w:tcW w:w="3940" w:type="dxa"/>
            <w:vAlign w:val="bottom"/>
            <w:gridSpan w:val="6"/>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60" w:type="dxa"/>
            <w:vAlign w:val="bottom"/>
            <w:tcBorders>
              <w:bottom w:val="single" w:sz="8" w:color="0000FF"/>
            </w:tcBorders>
            <w:gridSpan w:val="13"/>
            <w:vMerge w:val="continue"/>
          </w:tcPr>
          <w:p>
            <w:pPr>
              <w:spacing w:after="0"/>
              <w:rPr>
                <w:sz w:val="17"/>
                <w:szCs w:val="17"/>
                <w:color w:val="auto"/>
              </w:rPr>
            </w:pPr>
          </w:p>
        </w:tc>
        <w:tc>
          <w:tcPr>
            <w:tcW w:w="3940" w:type="dxa"/>
            <w:vAlign w:val="bottom"/>
            <w:gridSpan w:val="6"/>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FF"/>
              </w:rPr>
            </w:pPr>
            <w:hyperlink w:anchor="page71">
              <w:r>
                <w:rPr>
                  <w:rFonts w:ascii="Arial" w:cs="Arial" w:eastAsia="Arial" w:hAnsi="Arial"/>
                  <w:sz w:val="18"/>
                  <w:szCs w:val="18"/>
                  <w:color w:val="0000FF"/>
                </w:rPr>
                <w:t>69</w:t>
              </w:r>
            </w:hyperlink>
          </w:p>
        </w:tc>
        <w:tc>
          <w:tcPr>
            <w:tcW w:w="0" w:type="dxa"/>
            <w:vAlign w:val="bottom"/>
          </w:tcPr>
          <w:p>
            <w:pPr>
              <w:spacing w:after="0"/>
              <w:rPr>
                <w:sz w:val="1"/>
                <w:szCs w:val="1"/>
                <w:color w:val="auto"/>
              </w:rPr>
            </w:pPr>
          </w:p>
        </w:tc>
      </w:tr>
      <w:tr>
        <w:trPr>
          <w:trHeight w:val="20"/>
        </w:trPr>
        <w:tc>
          <w:tcPr>
            <w:tcW w:w="2560" w:type="dxa"/>
            <w:vAlign w:val="bottom"/>
            <w:gridSpan w:val="8"/>
            <w:vMerge w:val="restart"/>
          </w:tcPr>
          <w:p>
            <w:pPr>
              <w:spacing w:after="0"/>
              <w:rPr>
                <w:rFonts w:ascii="Arial" w:cs="Arial" w:eastAsia="Arial" w:hAnsi="Arial"/>
                <w:sz w:val="18"/>
                <w:szCs w:val="18"/>
                <w:color w:val="0000FF"/>
                <w:w w:val="99"/>
              </w:rPr>
            </w:pPr>
            <w:hyperlink w:anchor="page72">
              <w:r>
                <w:rPr>
                  <w:rFonts w:ascii="Arial" w:cs="Arial" w:eastAsia="Arial" w:hAnsi="Arial"/>
                  <w:sz w:val="18"/>
                  <w:szCs w:val="18"/>
                  <w:color w:val="0000FF"/>
                  <w:w w:val="99"/>
                </w:rPr>
                <w:t>Defaults Upon Senior Securities</w:t>
              </w:r>
            </w:hyperlink>
          </w:p>
        </w:tc>
        <w:tc>
          <w:tcPr>
            <w:tcW w:w="6240" w:type="dxa"/>
            <w:vAlign w:val="bottom"/>
            <w:gridSpan w:val="11"/>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560" w:type="dxa"/>
            <w:vAlign w:val="bottom"/>
            <w:tcBorders>
              <w:bottom w:val="single" w:sz="8" w:color="0000FF"/>
            </w:tcBorders>
            <w:gridSpan w:val="8"/>
            <w:vMerge w:val="continue"/>
          </w:tcPr>
          <w:p>
            <w:pPr>
              <w:spacing w:after="0"/>
              <w:rPr>
                <w:sz w:val="17"/>
                <w:szCs w:val="17"/>
                <w:color w:val="auto"/>
              </w:rPr>
            </w:pPr>
          </w:p>
        </w:tc>
        <w:tc>
          <w:tcPr>
            <w:tcW w:w="6240" w:type="dxa"/>
            <w:vAlign w:val="bottom"/>
            <w:gridSpan w:val="11"/>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0"/>
        </w:trPr>
        <w:tc>
          <w:tcPr>
            <w:tcW w:w="1940" w:type="dxa"/>
            <w:vAlign w:val="bottom"/>
            <w:gridSpan w:val="6"/>
            <w:vMerge w:val="restart"/>
          </w:tcPr>
          <w:p>
            <w:pPr>
              <w:spacing w:after="0"/>
              <w:rPr>
                <w:rFonts w:ascii="Arial" w:cs="Arial" w:eastAsia="Arial" w:hAnsi="Arial"/>
                <w:sz w:val="18"/>
                <w:szCs w:val="18"/>
                <w:color w:val="0000FF"/>
                <w:w w:val="99"/>
              </w:rPr>
            </w:pPr>
            <w:hyperlink w:anchor="page72">
              <w:r>
                <w:rPr>
                  <w:rFonts w:ascii="Arial" w:cs="Arial" w:eastAsia="Arial" w:hAnsi="Arial"/>
                  <w:sz w:val="18"/>
                  <w:szCs w:val="18"/>
                  <w:color w:val="0000FF"/>
                  <w:w w:val="99"/>
                </w:rPr>
                <w:t>Mine Safety Disclosures</w:t>
              </w:r>
            </w:hyperlink>
          </w:p>
        </w:tc>
        <w:tc>
          <w:tcPr>
            <w:tcW w:w="6860" w:type="dxa"/>
            <w:vAlign w:val="bottom"/>
            <w:gridSpan w:val="13"/>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940" w:type="dxa"/>
            <w:vAlign w:val="bottom"/>
            <w:tcBorders>
              <w:bottom w:val="single" w:sz="8" w:color="0000FF"/>
            </w:tcBorders>
            <w:gridSpan w:val="6"/>
            <w:vMerge w:val="continue"/>
          </w:tcPr>
          <w:p>
            <w:pPr>
              <w:spacing w:after="0"/>
              <w:rPr>
                <w:sz w:val="17"/>
                <w:szCs w:val="17"/>
                <w:color w:val="auto"/>
              </w:rPr>
            </w:pPr>
          </w:p>
        </w:tc>
        <w:tc>
          <w:tcPr>
            <w:tcW w:w="6860" w:type="dxa"/>
            <w:vAlign w:val="bottom"/>
            <w:gridSpan w:val="13"/>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0"/>
        </w:trPr>
        <w:tc>
          <w:tcPr>
            <w:tcW w:w="1420" w:type="dxa"/>
            <w:vAlign w:val="bottom"/>
            <w:gridSpan w:val="4"/>
            <w:vMerge w:val="restart"/>
          </w:tcPr>
          <w:p>
            <w:pPr>
              <w:spacing w:after="0"/>
              <w:rPr>
                <w:rFonts w:ascii="Arial" w:cs="Arial" w:eastAsia="Arial" w:hAnsi="Arial"/>
                <w:sz w:val="18"/>
                <w:szCs w:val="18"/>
                <w:color w:val="0000FF"/>
                <w:w w:val="99"/>
              </w:rPr>
            </w:pPr>
            <w:hyperlink w:anchor="page72">
              <w:r>
                <w:rPr>
                  <w:rFonts w:ascii="Arial" w:cs="Arial" w:eastAsia="Arial" w:hAnsi="Arial"/>
                  <w:sz w:val="18"/>
                  <w:szCs w:val="18"/>
                  <w:color w:val="0000FF"/>
                  <w:w w:val="99"/>
                </w:rPr>
                <w:t>Other Information</w:t>
              </w:r>
            </w:hyperlink>
          </w:p>
        </w:tc>
        <w:tc>
          <w:tcPr>
            <w:tcW w:w="7380" w:type="dxa"/>
            <w:vAlign w:val="bottom"/>
            <w:gridSpan w:val="15"/>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420" w:type="dxa"/>
            <w:vAlign w:val="bottom"/>
            <w:tcBorders>
              <w:bottom w:val="single" w:sz="8" w:color="0000FF"/>
            </w:tcBorders>
            <w:gridSpan w:val="4"/>
            <w:vMerge w:val="continue"/>
          </w:tcPr>
          <w:p>
            <w:pPr>
              <w:spacing w:after="0"/>
              <w:rPr>
                <w:sz w:val="17"/>
                <w:szCs w:val="17"/>
                <w:color w:val="auto"/>
              </w:rPr>
            </w:pPr>
          </w:p>
        </w:tc>
        <w:tc>
          <w:tcPr>
            <w:tcW w:w="7380" w:type="dxa"/>
            <w:vAlign w:val="bottom"/>
            <w:gridSpan w:val="15"/>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70</w:t>
              </w:r>
            </w:hyperlink>
          </w:p>
        </w:tc>
        <w:tc>
          <w:tcPr>
            <w:tcW w:w="0" w:type="dxa"/>
            <w:vAlign w:val="bottom"/>
          </w:tcPr>
          <w:p>
            <w:pPr>
              <w:spacing w:after="0"/>
              <w:rPr>
                <w:sz w:val="1"/>
                <w:szCs w:val="1"/>
                <w:color w:val="auto"/>
              </w:rPr>
            </w:pPr>
          </w:p>
        </w:tc>
      </w:tr>
      <w:tr>
        <w:trPr>
          <w:trHeight w:val="20"/>
        </w:trPr>
        <w:tc>
          <w:tcPr>
            <w:tcW w:w="640" w:type="dxa"/>
            <w:vAlign w:val="bottom"/>
            <w:vMerge w:val="restart"/>
          </w:tcPr>
          <w:p>
            <w:pPr>
              <w:spacing w:after="0"/>
              <w:rPr>
                <w:rFonts w:ascii="Arial" w:cs="Arial" w:eastAsia="Arial" w:hAnsi="Arial"/>
                <w:sz w:val="18"/>
                <w:szCs w:val="18"/>
                <w:color w:val="0000FF"/>
                <w:w w:val="98"/>
              </w:rPr>
            </w:pPr>
            <w:hyperlink w:anchor="page72">
              <w:r>
                <w:rPr>
                  <w:rFonts w:ascii="Arial" w:cs="Arial" w:eastAsia="Arial" w:hAnsi="Arial"/>
                  <w:sz w:val="18"/>
                  <w:szCs w:val="18"/>
                  <w:color w:val="0000FF"/>
                  <w:w w:val="98"/>
                </w:rPr>
                <w:t>Exhibits</w:t>
              </w:r>
            </w:hyperlink>
          </w:p>
        </w:tc>
        <w:tc>
          <w:tcPr>
            <w:tcW w:w="240" w:type="dxa"/>
            <w:vAlign w:val="bottom"/>
          </w:tcPr>
          <w:p>
            <w:pPr>
              <w:spacing w:after="0" w:line="20" w:lineRule="exact"/>
              <w:rPr>
                <w:sz w:val="1"/>
                <w:szCs w:val="1"/>
                <w:color w:val="auto"/>
              </w:rPr>
            </w:pPr>
          </w:p>
        </w:tc>
        <w:tc>
          <w:tcPr>
            <w:tcW w:w="7920" w:type="dxa"/>
            <w:vAlign w:val="bottom"/>
            <w:gridSpan w:val="17"/>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0" w:type="dxa"/>
            <w:vAlign w:val="bottom"/>
            <w:tcBorders>
              <w:bottom w:val="single" w:sz="8" w:color="0000FF"/>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7920" w:type="dxa"/>
            <w:vAlign w:val="bottom"/>
            <w:gridSpan w:val="17"/>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71</w:t>
              </w:r>
            </w:hyperlink>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7920" w:type="dxa"/>
            <w:vAlign w:val="bottom"/>
            <w:gridSpan w:val="17"/>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gridSpan w:val="2"/>
          </w:tcPr>
          <w:p>
            <w:pPr>
              <w:spacing w:after="0" w:line="196" w:lineRule="exact"/>
              <w:rPr>
                <w:rFonts w:ascii="Arial" w:cs="Arial" w:eastAsia="Arial" w:hAnsi="Arial"/>
                <w:sz w:val="18"/>
                <w:szCs w:val="18"/>
                <w:color w:val="0000FF"/>
                <w:w w:val="99"/>
              </w:rPr>
            </w:pPr>
            <w:hyperlink w:anchor="page74">
              <w:r>
                <w:rPr>
                  <w:rFonts w:ascii="Arial" w:cs="Arial" w:eastAsia="Arial" w:hAnsi="Arial"/>
                  <w:sz w:val="18"/>
                  <w:szCs w:val="18"/>
                  <w:color w:val="0000FF"/>
                  <w:w w:val="99"/>
                </w:rPr>
                <w:t>Signatures</w:t>
              </w:r>
            </w:hyperlink>
          </w:p>
        </w:tc>
        <w:tc>
          <w:tcPr>
            <w:tcW w:w="7920" w:type="dxa"/>
            <w:vAlign w:val="bottom"/>
            <w:gridSpan w:val="17"/>
          </w:tcPr>
          <w:p>
            <w:pPr>
              <w:spacing w:after="0"/>
              <w:rPr>
                <w:sz w:val="17"/>
                <w:szCs w:val="17"/>
                <w:color w:val="auto"/>
              </w:rPr>
            </w:pPr>
          </w:p>
        </w:tc>
        <w:tc>
          <w:tcPr>
            <w:tcW w:w="840" w:type="dxa"/>
            <w:vAlign w:val="bottom"/>
            <w:gridSpan w:val="3"/>
          </w:tcPr>
          <w:p>
            <w:pPr>
              <w:spacing w:after="0" w:line="196" w:lineRule="exact"/>
              <w:rPr>
                <w:rFonts w:ascii="Arial" w:cs="Arial" w:eastAsia="Arial" w:hAnsi="Arial"/>
                <w:sz w:val="18"/>
                <w:szCs w:val="18"/>
                <w:color w:val="0000FF"/>
              </w:rPr>
            </w:pPr>
            <w:hyperlink w:anchor="page74">
              <w:r>
                <w:rPr>
                  <w:rFonts w:ascii="Arial" w:cs="Arial" w:eastAsia="Arial" w:hAnsi="Arial"/>
                  <w:sz w:val="18"/>
                  <w:szCs w:val="18"/>
                  <w:color w:val="0000FF"/>
                </w:rPr>
                <w:t>73</w:t>
              </w:r>
            </w:hyperlink>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-857885</wp:posOffset>
            </wp:positionH>
            <wp:positionV relativeFrom="paragraph">
              <wp:posOffset>1479550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680" w:space="640"/>
            <w:col w:w="9640"/>
          </w:cols>
          <w:pgMar w:left="260" w:top="886" w:right="67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Exagen Inc.</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8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8"/>
                <w:szCs w:val="18"/>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22"/>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77,828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13,164</w:t>
            </w:r>
          </w:p>
        </w:tc>
        <w:tc>
          <w:tcPr>
            <w:tcW w:w="0" w:type="dxa"/>
            <w:vAlign w:val="bottom"/>
          </w:tcPr>
          <w:p>
            <w:pPr>
              <w:spacing w:after="0"/>
              <w:rPr>
                <w:sz w:val="1"/>
                <w:szCs w:val="1"/>
                <w:color w:val="auto"/>
              </w:rPr>
            </w:pPr>
          </w:p>
        </w:tc>
      </w:tr>
      <w:tr>
        <w:trPr>
          <w:trHeight w:val="210"/>
        </w:trPr>
        <w:tc>
          <w:tcPr>
            <w:tcW w:w="8720" w:type="dxa"/>
            <w:vAlign w:val="bottom"/>
          </w:tcPr>
          <w:p>
            <w:pPr>
              <w:ind w:left="320"/>
              <w:spacing w:after="0"/>
              <w:rPr>
                <w:sz w:val="20"/>
                <w:szCs w:val="20"/>
                <w:color w:val="auto"/>
              </w:rPr>
            </w:pPr>
            <w:r>
              <w:rPr>
                <w:rFonts w:ascii="Arial" w:cs="Arial" w:eastAsia="Arial" w:hAnsi="Arial"/>
                <w:sz w:val="14"/>
                <w:szCs w:val="14"/>
                <w:color w:val="auto"/>
              </w:rPr>
              <w:t>Accounts receivable, net</w:t>
            </w:r>
          </w:p>
        </w:tc>
        <w:tc>
          <w:tcPr>
            <w:tcW w:w="10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6,238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5,952</w:t>
            </w:r>
          </w:p>
        </w:tc>
        <w:tc>
          <w:tcPr>
            <w:tcW w:w="0" w:type="dxa"/>
            <w:vAlign w:val="bottom"/>
          </w:tcPr>
          <w:p>
            <w:pPr>
              <w:spacing w:after="0"/>
              <w:rPr>
                <w:sz w:val="1"/>
                <w:szCs w:val="1"/>
                <w:color w:val="auto"/>
              </w:rPr>
            </w:pPr>
          </w:p>
        </w:tc>
      </w:tr>
      <w:tr>
        <w:trPr>
          <w:trHeight w:val="222"/>
        </w:trPr>
        <w:tc>
          <w:tcPr>
            <w:tcW w:w="8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1,686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2,196</w:t>
            </w:r>
          </w:p>
        </w:tc>
        <w:tc>
          <w:tcPr>
            <w:tcW w:w="0" w:type="dxa"/>
            <w:vAlign w:val="bottom"/>
          </w:tcPr>
          <w:p>
            <w:pPr>
              <w:spacing w:after="0"/>
              <w:rPr>
                <w:sz w:val="1"/>
                <w:szCs w:val="1"/>
                <w:color w:val="auto"/>
              </w:rPr>
            </w:pPr>
          </w:p>
        </w:tc>
      </w:tr>
      <w:tr>
        <w:trPr>
          <w:trHeight w:val="204"/>
        </w:trPr>
        <w:tc>
          <w:tcPr>
            <w:tcW w:w="8720" w:type="dxa"/>
            <w:vAlign w:val="bottom"/>
          </w:tcPr>
          <w:p>
            <w:pPr>
              <w:ind w:left="64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85,752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21,312</w:t>
            </w:r>
          </w:p>
        </w:tc>
        <w:tc>
          <w:tcPr>
            <w:tcW w:w="0" w:type="dxa"/>
            <w:vAlign w:val="bottom"/>
          </w:tcPr>
          <w:p>
            <w:pPr>
              <w:spacing w:after="0"/>
              <w:rPr>
                <w:sz w:val="1"/>
                <w:szCs w:val="1"/>
                <w:color w:val="auto"/>
              </w:rPr>
            </w:pPr>
          </w:p>
        </w:tc>
      </w:tr>
      <w:tr>
        <w:trPr>
          <w:trHeight w:val="222"/>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5,506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22"/>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04"/>
        </w:trPr>
        <w:tc>
          <w:tcPr>
            <w:tcW w:w="8720" w:type="dxa"/>
            <w:vAlign w:val="bottom"/>
          </w:tcPr>
          <w:p>
            <w:pPr>
              <w:ind w:left="64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92,744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28,887</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Equity (Deficit)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210"/>
        </w:trPr>
        <w:tc>
          <w:tcPr>
            <w:tcW w:w="8720" w:type="dxa"/>
            <w:vAlign w:val="bottom"/>
          </w:tcPr>
          <w:p>
            <w:pPr>
              <w:ind w:left="320"/>
              <w:spacing w:after="0"/>
              <w:rPr>
                <w:sz w:val="20"/>
                <w:szCs w:val="20"/>
                <w:color w:val="auto"/>
              </w:rPr>
            </w:pPr>
            <w:r>
              <w:rPr>
                <w:rFonts w:ascii="Arial" w:cs="Arial" w:eastAsia="Arial" w:hAnsi="Arial"/>
                <w:sz w:val="14"/>
                <w:szCs w:val="14"/>
                <w:color w:val="auto"/>
              </w:rPr>
              <w:t>Accrued liabilities</w:t>
            </w:r>
          </w:p>
        </w:tc>
        <w:tc>
          <w:tcPr>
            <w:tcW w:w="10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6,449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3,923</w:t>
            </w:r>
          </w:p>
        </w:tc>
        <w:tc>
          <w:tcPr>
            <w:tcW w:w="0" w:type="dxa"/>
            <w:vAlign w:val="bottom"/>
          </w:tcPr>
          <w:p>
            <w:pPr>
              <w:spacing w:after="0"/>
              <w:rPr>
                <w:sz w:val="1"/>
                <w:szCs w:val="1"/>
                <w:color w:val="auto"/>
              </w:rPr>
            </w:pPr>
          </w:p>
        </w:tc>
      </w:tr>
      <w:tr>
        <w:trPr>
          <w:trHeight w:val="222"/>
        </w:trPr>
        <w:tc>
          <w:tcPr>
            <w:tcW w:w="8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Proceeds received prior to issuance of Series G redeemable convertible preferred stock</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204"/>
        </w:trPr>
        <w:tc>
          <w:tcPr>
            <w:tcW w:w="8720" w:type="dxa"/>
            <w:vAlign w:val="bottom"/>
          </w:tcPr>
          <w:p>
            <w:pPr>
              <w:ind w:left="64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7,662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8,952</w:t>
            </w:r>
          </w:p>
        </w:tc>
        <w:tc>
          <w:tcPr>
            <w:tcW w:w="0" w:type="dxa"/>
            <w:vAlign w:val="bottom"/>
          </w:tcPr>
          <w:p>
            <w:pPr>
              <w:spacing w:after="0"/>
              <w:rPr>
                <w:sz w:val="1"/>
                <w:szCs w:val="1"/>
                <w:color w:val="auto"/>
              </w:rPr>
            </w:pPr>
          </w:p>
        </w:tc>
      </w:tr>
      <w:tr>
        <w:trPr>
          <w:trHeight w:val="222"/>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25,677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24,617</w:t>
            </w: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4"/>
                <w:szCs w:val="14"/>
                <w:color w:val="auto"/>
              </w:rPr>
              <w:t>Redeemable convertible preferred stock warrant liabilities</w:t>
            </w: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222"/>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10"/>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34,094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35,621</w:t>
            </w: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4"/>
                <w:szCs w:val="14"/>
                <w:color w:val="auto"/>
              </w:rPr>
              <w:t>Commitments and contingencies (Note 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7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Redeemable convertible preferred stock, $0.001 par value; 750,300,000 shares authorized; none and 532,606,084 shares issued and</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7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outstanding at September 30, 2019 (unaudited) and December 31, 2018, respectively; liquidation preference of $0 and $163,316 at</w:t>
            </w:r>
          </w:p>
        </w:tc>
        <w:tc>
          <w:tcPr>
            <w:tcW w:w="10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105,232</w:t>
            </w:r>
          </w:p>
        </w:tc>
        <w:tc>
          <w:tcPr>
            <w:tcW w:w="0" w:type="dxa"/>
            <w:vAlign w:val="bottom"/>
          </w:tcPr>
          <w:p>
            <w:pPr>
              <w:spacing w:after="0"/>
              <w:rPr>
                <w:sz w:val="1"/>
                <w:szCs w:val="1"/>
                <w:color w:val="auto"/>
              </w:rPr>
            </w:pPr>
          </w:p>
        </w:tc>
      </w:tr>
      <w:tr>
        <w:trPr>
          <w:trHeight w:val="171"/>
        </w:trPr>
        <w:tc>
          <w:tcPr>
            <w:tcW w:w="8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September 31, 2019 (unaudited) and December 31, 2018, respectively</w:t>
            </w:r>
          </w:p>
        </w:tc>
        <w:tc>
          <w:tcPr>
            <w:tcW w:w="10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4"/>
                <w:szCs w:val="14"/>
                <w:color w:val="auto"/>
              </w:rPr>
              <w:t>Stockholders' equity (deficit):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72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Preferred stock, $0.001 par value; 10,000,000 shares authorized, no shares issued or outstanding at September 30, 2019; no</w:t>
            </w:r>
          </w:p>
        </w:tc>
        <w:tc>
          <w:tcPr>
            <w:tcW w:w="10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7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shares authorized, issued or outstanding at December 31, 2018</w:t>
            </w:r>
          </w:p>
        </w:tc>
        <w:tc>
          <w:tcPr>
            <w:tcW w:w="10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720" w:type="dxa"/>
            <w:vAlign w:val="bottom"/>
          </w:tcPr>
          <w:p>
            <w:pPr>
              <w:ind w:left="340"/>
              <w:spacing w:after="0" w:line="153" w:lineRule="exact"/>
              <w:rPr>
                <w:sz w:val="20"/>
                <w:szCs w:val="20"/>
                <w:color w:val="auto"/>
              </w:rPr>
            </w:pPr>
            <w:r>
              <w:rPr>
                <w:rFonts w:ascii="Arial" w:cs="Arial" w:eastAsia="Arial" w:hAnsi="Arial"/>
                <w:sz w:val="14"/>
                <w:szCs w:val="14"/>
                <w:color w:val="auto"/>
              </w:rPr>
              <w:t>Common stock, $0.001 par value; 200,000,000 and 1,470,000,000 shares authorized at September 30, 2019 (unaudited) and</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720" w:type="dxa"/>
            <w:vAlign w:val="bottom"/>
          </w:tcPr>
          <w:p>
            <w:pPr>
              <w:ind w:left="340"/>
              <w:spacing w:after="0" w:line="135" w:lineRule="exact"/>
              <w:rPr>
                <w:sz w:val="20"/>
                <w:szCs w:val="20"/>
                <w:color w:val="auto"/>
              </w:rPr>
            </w:pPr>
            <w:r>
              <w:rPr>
                <w:rFonts w:ascii="Arial" w:cs="Arial" w:eastAsia="Arial" w:hAnsi="Arial"/>
                <w:sz w:val="14"/>
                <w:szCs w:val="14"/>
                <w:color w:val="auto"/>
              </w:rPr>
              <w:t>December 31, 2018, respectively; 12,559,492 and 63,005 shares issued and outstanding at September 30, 2019 (unaudited) and</w:t>
            </w:r>
          </w:p>
        </w:tc>
        <w:tc>
          <w:tcPr>
            <w:tcW w:w="100" w:type="dxa"/>
            <w:vAlign w:val="bottom"/>
          </w:tcPr>
          <w:p>
            <w:pPr>
              <w:spacing w:after="0"/>
              <w:rPr>
                <w:sz w:val="11"/>
                <w:szCs w:val="11"/>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720" w:type="dxa"/>
            <w:vAlign w:val="bottom"/>
          </w:tcPr>
          <w:p>
            <w:pPr>
              <w:ind w:left="340"/>
              <w:spacing w:after="0"/>
              <w:rPr>
                <w:sz w:val="20"/>
                <w:szCs w:val="20"/>
                <w:color w:val="auto"/>
              </w:rPr>
            </w:pPr>
            <w:r>
              <w:rPr>
                <w:rFonts w:ascii="Arial" w:cs="Arial" w:eastAsia="Arial" w:hAnsi="Arial"/>
                <w:sz w:val="14"/>
                <w:szCs w:val="14"/>
                <w:color w:val="auto"/>
              </w:rPr>
              <w:t>December 31, 2018, respectively</w:t>
            </w: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Additional paid-in capital</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219,831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40,598</w:t>
            </w:r>
          </w:p>
        </w:tc>
        <w:tc>
          <w:tcPr>
            <w:tcW w:w="0" w:type="dxa"/>
            <w:vAlign w:val="bottom"/>
          </w:tcPr>
          <w:p>
            <w:pPr>
              <w:spacing w:after="0"/>
              <w:rPr>
                <w:sz w:val="1"/>
                <w:szCs w:val="1"/>
                <w:color w:val="auto"/>
              </w:rPr>
            </w:pPr>
          </w:p>
        </w:tc>
      </w:tr>
      <w:tr>
        <w:trPr>
          <w:trHeight w:val="210"/>
        </w:trPr>
        <w:tc>
          <w:tcPr>
            <w:tcW w:w="87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Accumulated deficit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(161,194)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(152,564)</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Total stockholders' equity (deficit)</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58,650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(111,966)</w:t>
            </w:r>
          </w:p>
        </w:tc>
        <w:tc>
          <w:tcPr>
            <w:tcW w:w="0" w:type="dxa"/>
            <w:vAlign w:val="bottom"/>
          </w:tcPr>
          <w:p>
            <w:pPr>
              <w:spacing w:after="0"/>
              <w:rPr>
                <w:sz w:val="1"/>
                <w:szCs w:val="1"/>
                <w:color w:val="auto"/>
              </w:rPr>
            </w:pPr>
          </w:p>
        </w:tc>
      </w:tr>
      <w:tr>
        <w:trPr>
          <w:trHeight w:val="204"/>
        </w:trPr>
        <w:tc>
          <w:tcPr>
            <w:tcW w:w="8720" w:type="dxa"/>
            <w:vAlign w:val="bottom"/>
          </w:tcPr>
          <w:p>
            <w:pPr>
              <w:ind w:left="20"/>
              <w:spacing w:after="0"/>
              <w:rPr>
                <w:sz w:val="20"/>
                <w:szCs w:val="20"/>
                <w:color w:val="auto"/>
              </w:rPr>
            </w:pPr>
            <w:r>
              <w:rPr>
                <w:rFonts w:ascii="Arial" w:cs="Arial" w:eastAsia="Arial" w:hAnsi="Arial"/>
                <w:sz w:val="14"/>
                <w:szCs w:val="14"/>
                <w:color w:val="auto"/>
              </w:rPr>
              <w:t>Total liabilities, redeemable convertible preferred stock and stockholders' equity (deficit)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92,744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28,887</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60" w:top="886" w:right="339" w:bottom="1440" w:gutter="0" w:footer="0" w:header="0"/>
        </w:sectPr>
      </w:pPr>
    </w:p>
    <w:bookmarkStart w:id="3" w:name="page4"/>
    <w:bookmarkEnd w:id="3"/>
    <w:p>
      <w:pPr>
        <w:ind w:left="52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7"/>
                <w:szCs w:val="17"/>
                <w:color w:val="auto"/>
              </w:rPr>
            </w:pPr>
          </w:p>
        </w:tc>
        <w:tc>
          <w:tcPr>
            <w:tcW w:w="27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2"/>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30,173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22,799</w:t>
            </w: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Costs of revenue (excluding amortization of purchased technology)</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11,376</w:t>
            </w:r>
          </w:p>
        </w:tc>
        <w:tc>
          <w:tcPr>
            <w:tcW w:w="0" w:type="dxa"/>
            <w:vAlign w:val="bottom"/>
          </w:tcPr>
          <w:p>
            <w:pPr>
              <w:spacing w:after="0"/>
              <w:rPr>
                <w:sz w:val="1"/>
                <w:szCs w:val="1"/>
                <w:color w:val="auto"/>
              </w:rPr>
            </w:pPr>
          </w:p>
        </w:tc>
      </w:tr>
      <w:tr>
        <w:trPr>
          <w:trHeight w:val="210"/>
        </w:trPr>
        <w:tc>
          <w:tcPr>
            <w:tcW w:w="552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Pr>
          <w:p>
            <w:pPr>
              <w:spacing w:after="0"/>
              <w:rPr>
                <w:sz w:val="18"/>
                <w:szCs w:val="18"/>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7,306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4,932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20,787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14,419</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1,592</w:t>
            </w:r>
          </w:p>
        </w:tc>
        <w:tc>
          <w:tcPr>
            <w:tcW w:w="0" w:type="dxa"/>
            <w:vAlign w:val="bottom"/>
          </w:tcPr>
          <w:p>
            <w:pPr>
              <w:spacing w:after="0"/>
              <w:rPr>
                <w:sz w:val="1"/>
                <w:szCs w:val="1"/>
                <w:color w:val="auto"/>
              </w:rPr>
            </w:pPr>
          </w:p>
        </w:tc>
      </w:tr>
      <w:tr>
        <w:trPr>
          <w:trHeight w:val="210"/>
        </w:trPr>
        <w:tc>
          <w:tcPr>
            <w:tcW w:w="5520" w:type="dxa"/>
            <w:vAlign w:val="bottom"/>
          </w:tcPr>
          <w:p>
            <w:pPr>
              <w:ind w:left="340"/>
              <w:spacing w:after="0"/>
              <w:rPr>
                <w:sz w:val="20"/>
                <w:szCs w:val="20"/>
                <w:color w:val="auto"/>
              </w:rPr>
            </w:pPr>
            <w:r>
              <w:rPr>
                <w:rFonts w:ascii="Arial" w:cs="Arial" w:eastAsia="Arial" w:hAnsi="Arial"/>
                <w:sz w:val="14"/>
                <w:szCs w:val="14"/>
                <w:color w:val="auto"/>
              </w:rPr>
              <w:t>Amortization of intangible assets</w:t>
            </w: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12,596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9,356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36,614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27,528</w:t>
            </w:r>
          </w:p>
        </w:tc>
        <w:tc>
          <w:tcPr>
            <w:tcW w:w="0" w:type="dxa"/>
            <w:vAlign w:val="bottom"/>
          </w:tcPr>
          <w:p>
            <w:pPr>
              <w:spacing w:after="0"/>
              <w:rPr>
                <w:sz w:val="1"/>
                <w:szCs w:val="1"/>
                <w:color w:val="auto"/>
              </w:rPr>
            </w:pPr>
          </w:p>
        </w:tc>
      </w:tr>
      <w:tr>
        <w:trPr>
          <w:trHeight w:val="204"/>
        </w:trPr>
        <w:tc>
          <w:tcPr>
            <w:tcW w:w="552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(2,157)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(6,441)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(4,729)</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4"/>
                <w:szCs w:val="14"/>
                <w:color w:val="auto"/>
              </w:rPr>
              <w:t>Change in fair value of financial instruments</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4"/>
        </w:trPr>
        <w:tc>
          <w:tcPr>
            <w:tcW w:w="55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(3,141)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(8,630)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Accretion of redeemable convertible preferred stock</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(6,462)</w:t>
            </w:r>
          </w:p>
        </w:tc>
        <w:tc>
          <w:tcPr>
            <w:tcW w:w="0" w:type="dxa"/>
            <w:vAlign w:val="bottom"/>
          </w:tcPr>
          <w:p>
            <w:pPr>
              <w:spacing w:after="0"/>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4"/>
                <w:szCs w:val="14"/>
                <w:color w:val="auto"/>
              </w:rPr>
              <w:t>Deemed dividend recorded in connection with financing transactions</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(13,601)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(13,601)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235"/>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 stockholders (Note 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(14,309)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 (Note 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vMerge w:val="continue"/>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(11.29)</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(71.80)</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(48.70)</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(227.11)</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5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1,513,189</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63,005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551,730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63,005</w:t>
            </w:r>
          </w:p>
        </w:tc>
        <w:tc>
          <w:tcPr>
            <w:tcW w:w="0" w:type="dxa"/>
            <w:vAlign w:val="bottom"/>
          </w:tcPr>
          <w:p>
            <w:pPr>
              <w:spacing w:after="0"/>
              <w:rPr>
                <w:sz w:val="1"/>
                <w:szCs w:val="1"/>
                <w:color w:val="auto"/>
              </w:rPr>
            </w:pPr>
          </w:p>
        </w:tc>
      </w:tr>
      <w:tr>
        <w:trPr>
          <w:trHeight w:val="177"/>
        </w:trPr>
        <w:tc>
          <w:tcPr>
            <w:tcW w:w="552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diluted (Note 2)</w:t>
            </w: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86" w:right="259" w:bottom="1440" w:gutter="0" w:footer="0" w:header="0"/>
        </w:sectPr>
      </w:pPr>
    </w:p>
    <w:bookmarkStart w:id="4" w:name="page5"/>
    <w:bookmarkEnd w:id="4"/>
    <w:p>
      <w:pPr>
        <w:ind w:left="52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Unaudited Condensed Statements of Redeemable Convertible Preferred Stock and Stockholders' Equity (Deficit)</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660" w:type="dxa"/>
            <w:vAlign w:val="bottom"/>
          </w:tcPr>
          <w:p>
            <w:pPr>
              <w:spacing w:after="0"/>
              <w:rPr>
                <w:sz w:val="11"/>
                <w:szCs w:val="11"/>
                <w:color w:val="auto"/>
              </w:rPr>
            </w:pPr>
          </w:p>
        </w:tc>
        <w:tc>
          <w:tcPr>
            <w:tcW w:w="1520" w:type="dxa"/>
            <w:vAlign w:val="bottom"/>
            <w:gridSpan w:val="2"/>
          </w:tcPr>
          <w:p>
            <w:pPr>
              <w:jc w:val="center"/>
              <w:ind w:left="811"/>
              <w:spacing w:after="0"/>
              <w:rPr>
                <w:sz w:val="20"/>
                <w:szCs w:val="20"/>
                <w:color w:val="auto"/>
              </w:rPr>
            </w:pPr>
            <w:r>
              <w:rPr>
                <w:rFonts w:ascii="Arial" w:cs="Arial" w:eastAsia="Arial" w:hAnsi="Arial"/>
                <w:sz w:val="11"/>
                <w:szCs w:val="11"/>
                <w:b w:val="1"/>
                <w:bCs w:val="1"/>
                <w:color w:val="auto"/>
                <w:w w:val="98"/>
              </w:rPr>
              <w:t>Redeemable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1520" w:type="dxa"/>
            <w:vAlign w:val="bottom"/>
            <w:gridSpan w:val="2"/>
          </w:tcPr>
          <w:p>
            <w:pPr>
              <w:jc w:val="center"/>
              <w:ind w:left="811"/>
              <w:spacing w:after="0" w:line="122" w:lineRule="exact"/>
              <w:rPr>
                <w:sz w:val="20"/>
                <w:szCs w:val="20"/>
                <w:color w:val="auto"/>
              </w:rPr>
            </w:pPr>
            <w:r>
              <w:rPr>
                <w:rFonts w:ascii="Arial" w:cs="Arial" w:eastAsia="Arial" w:hAnsi="Arial"/>
                <w:sz w:val="11"/>
                <w:szCs w:val="11"/>
                <w:b w:val="1"/>
                <w:bCs w:val="1"/>
                <w:color w:val="auto"/>
                <w:w w:val="99"/>
              </w:rPr>
              <w:t>Convertible</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6"/>
              </w:rPr>
              <w:t>Additional</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center"/>
              <w:ind w:right="3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10"/>
        </w:trPr>
        <w:tc>
          <w:tcPr>
            <w:tcW w:w="3660" w:type="dxa"/>
            <w:vAlign w:val="bottom"/>
          </w:tcPr>
          <w:p>
            <w:pPr>
              <w:spacing w:after="0"/>
              <w:rPr>
                <w:sz w:val="9"/>
                <w:szCs w:val="9"/>
                <w:color w:val="auto"/>
              </w:rPr>
            </w:pPr>
          </w:p>
        </w:tc>
        <w:tc>
          <w:tcPr>
            <w:tcW w:w="1640" w:type="dxa"/>
            <w:vAlign w:val="bottom"/>
            <w:gridSpan w:val="3"/>
          </w:tcPr>
          <w:p>
            <w:pPr>
              <w:jc w:val="center"/>
              <w:ind w:left="691"/>
              <w:spacing w:after="0" w:line="110" w:lineRule="exact"/>
              <w:rPr>
                <w:sz w:val="20"/>
                <w:szCs w:val="20"/>
                <w:color w:val="auto"/>
              </w:rPr>
            </w:pPr>
            <w:r>
              <w:rPr>
                <w:rFonts w:ascii="Arial" w:cs="Arial" w:eastAsia="Arial" w:hAnsi="Arial"/>
                <w:sz w:val="11"/>
                <w:szCs w:val="11"/>
                <w:b w:val="1"/>
                <w:bCs w:val="1"/>
                <w:color w:val="auto"/>
                <w:w w:val="97"/>
              </w:rPr>
              <w:t>Preferred Stock</w:t>
            </w:r>
          </w:p>
        </w:tc>
        <w:tc>
          <w:tcPr>
            <w:tcW w:w="7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400" w:type="dxa"/>
            <w:vAlign w:val="bottom"/>
            <w:gridSpan w:val="3"/>
          </w:tcPr>
          <w:p>
            <w:pPr>
              <w:jc w:val="right"/>
              <w:spacing w:after="0" w:line="110" w:lineRule="exact"/>
              <w:rPr>
                <w:sz w:val="20"/>
                <w:szCs w:val="20"/>
                <w:color w:val="auto"/>
              </w:rPr>
            </w:pPr>
            <w:r>
              <w:rPr>
                <w:rFonts w:ascii="Arial" w:cs="Arial" w:eastAsia="Arial" w:hAnsi="Arial"/>
                <w:sz w:val="11"/>
                <w:szCs w:val="11"/>
                <w:b w:val="1"/>
                <w:bCs w:val="1"/>
                <w:color w:val="auto"/>
              </w:rPr>
              <w:t>Common 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6" w:lineRule="exact"/>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4"/>
                <w:szCs w:val="4"/>
                <w:color w:val="auto"/>
              </w:rPr>
            </w:pPr>
          </w:p>
        </w:tc>
        <w:tc>
          <w:tcPr>
            <w:tcW w:w="980" w:type="dxa"/>
            <w:vAlign w:val="bottom"/>
            <w:gridSpan w:val="2"/>
            <w:vMerge w:val="restart"/>
          </w:tcPr>
          <w:p>
            <w:pPr>
              <w:ind w:left="20"/>
              <w:spacing w:after="0" w:line="106"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4"/>
                <w:szCs w:val="4"/>
                <w:color w:val="auto"/>
              </w:rPr>
            </w:pPr>
          </w:p>
        </w:tc>
        <w:tc>
          <w:tcPr>
            <w:tcW w:w="900" w:type="dxa"/>
            <w:vAlign w:val="bottom"/>
            <w:vMerge w:val="restart"/>
          </w:tcPr>
          <w:p>
            <w:pPr>
              <w:jc w:val="center"/>
              <w:ind w:right="30"/>
              <w:spacing w:after="0" w:line="106" w:lineRule="exact"/>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32"/>
        </w:trPr>
        <w:tc>
          <w:tcPr>
            <w:tcW w:w="3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660" w:type="dxa"/>
            <w:vAlign w:val="bottom"/>
          </w:tcPr>
          <w:p>
            <w:pPr>
              <w:spacing w:after="0"/>
              <w:rPr>
                <w:sz w:val="12"/>
                <w:szCs w:val="12"/>
                <w:color w:val="auto"/>
              </w:rPr>
            </w:pP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880" w:type="dxa"/>
            <w:vAlign w:val="bottom"/>
            <w:tcBorders>
              <w:right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1280" w:type="dxa"/>
            <w:vAlign w:val="bottom"/>
            <w:gridSpan w:val="2"/>
          </w:tcPr>
          <w:p>
            <w:pPr>
              <w:ind w:left="40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2"/>
                <w:szCs w:val="12"/>
                <w:color w:val="auto"/>
              </w:rPr>
            </w:pPr>
          </w:p>
        </w:tc>
        <w:tc>
          <w:tcPr>
            <w:tcW w:w="98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900" w:type="dxa"/>
            <w:vAlign w:val="bottom"/>
          </w:tcPr>
          <w:p>
            <w:pPr>
              <w:jc w:val="center"/>
              <w:ind w:right="30"/>
              <w:spacing w:after="0"/>
              <w:rPr>
                <w:sz w:val="20"/>
                <w:szCs w:val="20"/>
                <w:color w:val="auto"/>
              </w:rPr>
            </w:pPr>
            <w:r>
              <w:rPr>
                <w:rFonts w:ascii="Arial" w:cs="Arial" w:eastAsia="Arial" w:hAnsi="Arial"/>
                <w:sz w:val="11"/>
                <w:szCs w:val="11"/>
                <w:b w:val="1"/>
                <w:bCs w:val="1"/>
                <w:color w:val="auto"/>
                <w:w w:val="97"/>
              </w:rPr>
              <w:t>Equity (Deficit)</w:t>
            </w:r>
          </w:p>
        </w:tc>
        <w:tc>
          <w:tcPr>
            <w:tcW w:w="0" w:type="dxa"/>
            <w:vAlign w:val="bottom"/>
          </w:tcPr>
          <w:p>
            <w:pPr>
              <w:spacing w:after="0"/>
              <w:rPr>
                <w:sz w:val="1"/>
                <w:szCs w:val="1"/>
                <w:color w:val="auto"/>
              </w:rPr>
            </w:pPr>
          </w:p>
        </w:tc>
      </w:tr>
      <w:tr>
        <w:trPr>
          <w:trHeight w:val="22"/>
        </w:trPr>
        <w:tc>
          <w:tcPr>
            <w:tcW w:w="36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2018 (as revised)</w:t>
            </w:r>
          </w:p>
        </w:tc>
        <w:tc>
          <w:tcPr>
            <w:tcW w:w="14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532,606,084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105,232</w:t>
            </w:r>
          </w:p>
        </w:tc>
        <w:tc>
          <w:tcPr>
            <w:tcW w:w="1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63,005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40,598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(152,564)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(111,966)</w:t>
            </w:r>
          </w:p>
        </w:tc>
        <w:tc>
          <w:tcPr>
            <w:tcW w:w="0" w:type="dxa"/>
            <w:vAlign w:val="bottom"/>
          </w:tcPr>
          <w:p>
            <w:pPr>
              <w:spacing w:after="0"/>
              <w:rPr>
                <w:sz w:val="1"/>
                <w:szCs w:val="1"/>
                <w:color w:val="auto"/>
              </w:rPr>
            </w:pPr>
          </w:p>
        </w:tc>
      </w:tr>
      <w:tr>
        <w:trPr>
          <w:trHeight w:val="153"/>
        </w:trPr>
        <w:tc>
          <w:tcPr>
            <w:tcW w:w="3660" w:type="dxa"/>
            <w:vAlign w:val="bottom"/>
          </w:tcPr>
          <w:p>
            <w:pPr>
              <w:ind w:left="360"/>
              <w:spacing w:after="0" w:line="153" w:lineRule="exact"/>
              <w:rPr>
                <w:sz w:val="20"/>
                <w:szCs w:val="20"/>
                <w:color w:val="auto"/>
              </w:rPr>
            </w:pPr>
            <w:r>
              <w:rPr>
                <w:rFonts w:ascii="Arial" w:cs="Arial" w:eastAsia="Arial" w:hAnsi="Arial"/>
                <w:sz w:val="14"/>
                <w:szCs w:val="14"/>
                <w:color w:val="auto"/>
              </w:rPr>
              <w:t>Accretion of redeemable convertible preferred</w:t>
            </w: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69"/>
              <w:spacing w:after="0"/>
              <w:rPr>
                <w:sz w:val="20"/>
                <w:szCs w:val="20"/>
                <w:color w:val="auto"/>
              </w:rPr>
            </w:pPr>
            <w:r>
              <w:rPr>
                <w:rFonts w:ascii="Arial" w:cs="Arial" w:eastAsia="Arial" w:hAnsi="Arial"/>
                <w:sz w:val="14"/>
                <w:szCs w:val="14"/>
                <w:color w:val="auto"/>
              </w:rPr>
              <w:t>2,114</w:t>
            </w:r>
          </w:p>
        </w:tc>
        <w:tc>
          <w:tcPr>
            <w:tcW w:w="120" w:type="dxa"/>
            <w:vAlign w:val="bottom"/>
            <w:tcBorders>
              <w:right w:val="single" w:sz="8" w:color="auto"/>
            </w:tcBorders>
          </w:tcPr>
          <w:p>
            <w:pPr>
              <w:spacing w:after="0"/>
              <w:rPr>
                <w:sz w:val="13"/>
                <w:szCs w:val="13"/>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4"/>
                <w:szCs w:val="14"/>
                <w:color w:val="auto"/>
              </w:rPr>
              <w:t>(2,114)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171"/>
        </w:trPr>
        <w:tc>
          <w:tcPr>
            <w:tcW w:w="3660" w:type="dxa"/>
            <w:vAlign w:val="bottom"/>
          </w:tcPr>
          <w:p>
            <w:pPr>
              <w:ind w:left="360"/>
              <w:spacing w:after="0"/>
              <w:rPr>
                <w:sz w:val="20"/>
                <w:szCs w:val="20"/>
                <w:color w:val="auto"/>
              </w:rPr>
            </w:pPr>
            <w:r>
              <w:rPr>
                <w:rFonts w:ascii="Arial" w:cs="Arial" w:eastAsia="Arial" w:hAnsi="Arial"/>
                <w:sz w:val="14"/>
                <w:szCs w:val="14"/>
                <w:color w:val="auto"/>
              </w:rPr>
              <w:t>stock</w:t>
            </w: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66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9"/>
        </w:trPr>
        <w:tc>
          <w:tcPr>
            <w:tcW w:w="36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Issuance of Series G redeemable convertible</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preferred stock for aggregate proceeds of $0.078</w:t>
            </w:r>
          </w:p>
        </w:tc>
        <w:tc>
          <w:tcPr>
            <w:tcW w:w="142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97,646,289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7,520</w:t>
            </w:r>
          </w:p>
        </w:tc>
        <w:tc>
          <w:tcPr>
            <w:tcW w:w="120" w:type="dxa"/>
            <w:vAlign w:val="bottom"/>
            <w:tcBorders>
              <w:right w:val="single" w:sz="8" w:color="auto"/>
            </w:tcBorders>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per share, net of issuance costs of $96 (Note 8)</w:t>
            </w: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loss</w:t>
            </w:r>
          </w:p>
        </w:tc>
        <w:tc>
          <w:tcPr>
            <w:tcW w:w="14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11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(2,704)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March 31, 2019 (as revised)</w:t>
            </w:r>
          </w:p>
        </w:tc>
        <w:tc>
          <w:tcPr>
            <w:tcW w:w="14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630,252,373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114,866</w:t>
            </w:r>
          </w:p>
        </w:tc>
        <w:tc>
          <w:tcPr>
            <w:tcW w:w="1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63,029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38,496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(155,268)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(116,772)</w:t>
            </w:r>
          </w:p>
        </w:tc>
        <w:tc>
          <w:tcPr>
            <w:tcW w:w="0" w:type="dxa"/>
            <w:vAlign w:val="bottom"/>
          </w:tcPr>
          <w:p>
            <w:pPr>
              <w:spacing w:after="0"/>
              <w:rPr>
                <w:sz w:val="1"/>
                <w:szCs w:val="1"/>
                <w:color w:val="auto"/>
              </w:rPr>
            </w:pPr>
          </w:p>
        </w:tc>
      </w:tr>
      <w:tr>
        <w:trPr>
          <w:trHeight w:val="153"/>
        </w:trPr>
        <w:tc>
          <w:tcPr>
            <w:tcW w:w="3660" w:type="dxa"/>
            <w:vAlign w:val="bottom"/>
          </w:tcPr>
          <w:p>
            <w:pPr>
              <w:ind w:left="360"/>
              <w:spacing w:after="0" w:line="153" w:lineRule="exact"/>
              <w:rPr>
                <w:sz w:val="20"/>
                <w:szCs w:val="20"/>
                <w:color w:val="auto"/>
              </w:rPr>
            </w:pPr>
            <w:r>
              <w:rPr>
                <w:rFonts w:ascii="Arial" w:cs="Arial" w:eastAsia="Arial" w:hAnsi="Arial"/>
                <w:sz w:val="14"/>
                <w:szCs w:val="14"/>
                <w:color w:val="auto"/>
              </w:rPr>
              <w:t>Accretion of redeemable convertible preferred</w:t>
            </w:r>
          </w:p>
        </w:tc>
        <w:tc>
          <w:tcPr>
            <w:tcW w:w="15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vMerge w:val="restart"/>
          </w:tcPr>
          <w:p>
            <w:pPr>
              <w:jc w:val="right"/>
              <w:ind w:right="69"/>
              <w:spacing w:after="0"/>
              <w:rPr>
                <w:sz w:val="20"/>
                <w:szCs w:val="20"/>
                <w:color w:val="auto"/>
              </w:rPr>
            </w:pPr>
            <w:r>
              <w:rPr>
                <w:rFonts w:ascii="Arial" w:cs="Arial" w:eastAsia="Arial" w:hAnsi="Arial"/>
                <w:sz w:val="14"/>
                <w:szCs w:val="14"/>
                <w:color w:val="auto"/>
              </w:rPr>
              <w:t>2,188</w:t>
            </w:r>
          </w:p>
        </w:tc>
        <w:tc>
          <w:tcPr>
            <w:tcW w:w="120" w:type="dxa"/>
            <w:vAlign w:val="bottom"/>
            <w:tcBorders>
              <w:right w:val="single" w:sz="8" w:color="auto"/>
            </w:tcBorders>
          </w:tcPr>
          <w:p>
            <w:pPr>
              <w:spacing w:after="0"/>
              <w:rPr>
                <w:sz w:val="13"/>
                <w:szCs w:val="13"/>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4"/>
                <w:szCs w:val="14"/>
                <w:color w:val="auto"/>
              </w:rPr>
              <w:t>(2,188)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171"/>
        </w:trPr>
        <w:tc>
          <w:tcPr>
            <w:tcW w:w="3660" w:type="dxa"/>
            <w:vAlign w:val="bottom"/>
          </w:tcPr>
          <w:p>
            <w:pPr>
              <w:ind w:left="360"/>
              <w:spacing w:after="0"/>
              <w:rPr>
                <w:sz w:val="20"/>
                <w:szCs w:val="20"/>
                <w:color w:val="auto"/>
              </w:rPr>
            </w:pPr>
            <w:r>
              <w:rPr>
                <w:rFonts w:ascii="Arial" w:cs="Arial" w:eastAsia="Arial" w:hAnsi="Arial"/>
                <w:sz w:val="14"/>
                <w:szCs w:val="14"/>
                <w:color w:val="auto"/>
              </w:rPr>
              <w:t>stock</w:t>
            </w:r>
          </w:p>
        </w:tc>
        <w:tc>
          <w:tcPr>
            <w:tcW w:w="1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66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9"/>
        </w:trPr>
        <w:tc>
          <w:tcPr>
            <w:tcW w:w="36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Issuance of Series G redeemable convertible</w:t>
            </w: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preferred stock for aggregate proceeds of $0.078</w:t>
            </w:r>
          </w:p>
        </w:tc>
        <w:tc>
          <w:tcPr>
            <w:tcW w:w="142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51,282,048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3,972</w:t>
            </w:r>
          </w:p>
        </w:tc>
        <w:tc>
          <w:tcPr>
            <w:tcW w:w="120" w:type="dxa"/>
            <w:vAlign w:val="bottom"/>
            <w:tcBorders>
              <w:right w:val="single" w:sz="8" w:color="auto"/>
            </w:tcBorders>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per share, net of issuance costs of $28 (Note 8)</w:t>
            </w: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loss</w:t>
            </w:r>
          </w:p>
        </w:tc>
        <w:tc>
          <w:tcPr>
            <w:tcW w:w="14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11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(2,785)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June 30, 2019</w:t>
            </w:r>
          </w:p>
        </w:tc>
        <w:tc>
          <w:tcPr>
            <w:tcW w:w="14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681,534,421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121,026</w:t>
            </w:r>
          </w:p>
        </w:tc>
        <w:tc>
          <w:tcPr>
            <w:tcW w:w="120" w:type="dxa"/>
            <w:vAlign w:val="bottom"/>
            <w:tcBorders>
              <w:right w:val="single" w:sz="8" w:color="auto"/>
            </w:tcBorders>
            <w:shd w:val="clear" w:color="auto" w:fill="CCEEFF"/>
          </w:tcPr>
          <w:p>
            <w:pPr>
              <w:spacing w:after="0"/>
              <w:rPr>
                <w:sz w:val="18"/>
                <w:szCs w:val="18"/>
                <w:color w:val="auto"/>
              </w:rPr>
            </w:pP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63,055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36,319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(158,053)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(121,734)</w:t>
            </w:r>
          </w:p>
        </w:tc>
        <w:tc>
          <w:tcPr>
            <w:tcW w:w="0" w:type="dxa"/>
            <w:vAlign w:val="bottom"/>
          </w:tcPr>
          <w:p>
            <w:pPr>
              <w:spacing w:after="0"/>
              <w:rPr>
                <w:sz w:val="1"/>
                <w:szCs w:val="1"/>
                <w:color w:val="auto"/>
              </w:rPr>
            </w:pPr>
          </w:p>
        </w:tc>
      </w:tr>
      <w:tr>
        <w:trPr>
          <w:trHeight w:val="194"/>
        </w:trPr>
        <w:tc>
          <w:tcPr>
            <w:tcW w:w="3660" w:type="dxa"/>
            <w:vAlign w:val="bottom"/>
          </w:tcPr>
          <w:p>
            <w:pPr>
              <w:ind w:left="340"/>
              <w:spacing w:after="0"/>
              <w:rPr>
                <w:sz w:val="20"/>
                <w:szCs w:val="20"/>
                <w:color w:val="auto"/>
              </w:rPr>
            </w:pPr>
            <w:r>
              <w:rPr>
                <w:rFonts w:ascii="Arial" w:cs="Arial" w:eastAsia="Arial" w:hAnsi="Arial"/>
                <w:sz w:val="14"/>
                <w:szCs w:val="14"/>
                <w:color w:val="auto"/>
              </w:rPr>
              <w:t>Accretion of redeemable convertible preferred</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660" w:type="dxa"/>
            <w:vAlign w:val="bottom"/>
          </w:tcPr>
          <w:p>
            <w:pPr>
              <w:ind w:left="340"/>
              <w:spacing w:after="0"/>
              <w:rPr>
                <w:sz w:val="20"/>
                <w:szCs w:val="20"/>
                <w:color w:val="auto"/>
              </w:rPr>
            </w:pPr>
            <w:r>
              <w:rPr>
                <w:rFonts w:ascii="Arial" w:cs="Arial" w:eastAsia="Arial" w:hAnsi="Arial"/>
                <w:sz w:val="14"/>
                <w:szCs w:val="14"/>
                <w:color w:val="auto"/>
              </w:rPr>
              <w:t>stock</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338</w:t>
            </w:r>
          </w:p>
        </w:tc>
        <w:tc>
          <w:tcPr>
            <w:tcW w:w="120" w:type="dxa"/>
            <w:vAlign w:val="bottom"/>
            <w:tcBorders>
              <w:right w:val="single" w:sz="8" w:color="auto"/>
            </w:tcBorders>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22"/>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53"/>
        </w:trPr>
        <w:tc>
          <w:tcPr>
            <w:tcW w:w="3660" w:type="dxa"/>
            <w:vAlign w:val="bottom"/>
          </w:tcPr>
          <w:p>
            <w:pPr>
              <w:ind w:left="360"/>
              <w:spacing w:after="0" w:line="153" w:lineRule="exact"/>
              <w:rPr>
                <w:sz w:val="20"/>
                <w:szCs w:val="20"/>
                <w:color w:val="auto"/>
              </w:rPr>
            </w:pPr>
            <w:r>
              <w:rPr>
                <w:rFonts w:ascii="Arial" w:cs="Arial" w:eastAsia="Arial" w:hAnsi="Arial"/>
                <w:sz w:val="14"/>
                <w:szCs w:val="14"/>
                <w:color w:val="auto"/>
              </w:rPr>
              <w:t>Issuance of Series H redeemable convertible</w:t>
            </w: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60" w:type="dxa"/>
            <w:vAlign w:val="bottom"/>
          </w:tcPr>
          <w:p>
            <w:pPr>
              <w:ind w:left="360"/>
              <w:spacing w:after="0" w:line="135" w:lineRule="exact"/>
              <w:rPr>
                <w:sz w:val="20"/>
                <w:szCs w:val="20"/>
                <w:color w:val="auto"/>
              </w:rPr>
            </w:pPr>
            <w:r>
              <w:rPr>
                <w:rFonts w:ascii="Arial" w:cs="Arial" w:eastAsia="Arial" w:hAnsi="Arial"/>
                <w:sz w:val="14"/>
                <w:szCs w:val="14"/>
                <w:color w:val="auto"/>
              </w:rPr>
              <w:t>preferred stock for aggregate proceeds of $0.047</w:t>
            </w:r>
          </w:p>
        </w:tc>
        <w:tc>
          <w:tcPr>
            <w:tcW w:w="1420" w:type="dxa"/>
            <w:vAlign w:val="bottom"/>
            <w:vMerge w:val="restart"/>
          </w:tcPr>
          <w:p>
            <w:pPr>
              <w:jc w:val="right"/>
              <w:ind w:right="91"/>
              <w:spacing w:after="0"/>
              <w:rPr>
                <w:sz w:val="20"/>
                <w:szCs w:val="20"/>
                <w:color w:val="auto"/>
              </w:rPr>
            </w:pPr>
            <w:r>
              <w:rPr>
                <w:rFonts w:ascii="Arial" w:cs="Arial" w:eastAsia="Arial" w:hAnsi="Arial"/>
                <w:sz w:val="14"/>
                <w:szCs w:val="14"/>
                <w:color w:val="auto"/>
              </w:rPr>
              <w:t>233,446,519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69"/>
              <w:spacing w:after="0"/>
              <w:rPr>
                <w:sz w:val="20"/>
                <w:szCs w:val="20"/>
                <w:color w:val="auto"/>
              </w:rPr>
            </w:pPr>
            <w:r>
              <w:rPr>
                <w:rFonts w:ascii="Arial" w:cs="Arial" w:eastAsia="Arial" w:hAnsi="Arial"/>
                <w:sz w:val="14"/>
                <w:szCs w:val="14"/>
                <w:color w:val="auto"/>
              </w:rPr>
              <w:t>3,941</w:t>
            </w:r>
          </w:p>
        </w:tc>
        <w:tc>
          <w:tcPr>
            <w:tcW w:w="120" w:type="dxa"/>
            <w:vAlign w:val="bottom"/>
            <w:tcBorders>
              <w:right w:val="single" w:sz="8" w:color="auto"/>
            </w:tcBorders>
          </w:tcPr>
          <w:p>
            <w:pPr>
              <w:spacing w:after="0"/>
              <w:rPr>
                <w:sz w:val="11"/>
                <w:szCs w:val="11"/>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ind w:right="90"/>
              <w:spacing w:after="0"/>
              <w:rPr>
                <w:sz w:val="20"/>
                <w:szCs w:val="20"/>
                <w:color w:val="auto"/>
              </w:rPr>
            </w:pPr>
            <w:r>
              <w:rPr>
                <w:rFonts w:ascii="Arial" w:cs="Arial" w:eastAsia="Arial" w:hAnsi="Arial"/>
                <w:sz w:val="14"/>
                <w:szCs w:val="14"/>
                <w:color w:val="auto"/>
              </w:rPr>
              <w:t>6,741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vMerge w:val="restart"/>
          </w:tcPr>
          <w:p>
            <w:pPr>
              <w:jc w:val="right"/>
              <w:ind w:right="70"/>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171"/>
        </w:trPr>
        <w:tc>
          <w:tcPr>
            <w:tcW w:w="3660" w:type="dxa"/>
            <w:vAlign w:val="bottom"/>
          </w:tcPr>
          <w:p>
            <w:pPr>
              <w:ind w:left="360"/>
              <w:spacing w:after="0"/>
              <w:rPr>
                <w:sz w:val="20"/>
                <w:szCs w:val="20"/>
                <w:color w:val="auto"/>
              </w:rPr>
            </w:pPr>
            <w:r>
              <w:rPr>
                <w:rFonts w:ascii="Arial" w:cs="Arial" w:eastAsia="Arial" w:hAnsi="Arial"/>
                <w:sz w:val="14"/>
                <w:szCs w:val="14"/>
                <w:color w:val="auto"/>
              </w:rPr>
              <w:t>per share, net of issuance costs of $318 (Note 8)</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Deemed dividend recognized on beneficial</w:t>
            </w: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conversion features of Series H redeemable</w:t>
            </w: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convertible preferred stock (Note 8)</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6,741</w:t>
            </w:r>
          </w:p>
        </w:tc>
        <w:tc>
          <w:tcPr>
            <w:tcW w:w="120" w:type="dxa"/>
            <w:vAlign w:val="bottom"/>
            <w:tcBorders>
              <w:right w:val="single" w:sz="8" w:color="auto"/>
            </w:tcBorders>
            <w:shd w:val="clear" w:color="auto" w:fill="CCEEFF"/>
          </w:tcPr>
          <w:p>
            <w:pPr>
              <w:spacing w:after="0"/>
              <w:rPr>
                <w:sz w:val="16"/>
                <w:szCs w:val="16"/>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(6,741)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(6,741)</w:t>
            </w:r>
          </w:p>
        </w:tc>
        <w:tc>
          <w:tcPr>
            <w:tcW w:w="0" w:type="dxa"/>
            <w:vAlign w:val="bottom"/>
          </w:tcPr>
          <w:p>
            <w:pPr>
              <w:spacing w:after="0"/>
              <w:rPr>
                <w:sz w:val="1"/>
                <w:szCs w:val="1"/>
                <w:color w:val="auto"/>
              </w:rPr>
            </w:pPr>
          </w:p>
        </w:tc>
      </w:tr>
      <w:tr>
        <w:trPr>
          <w:trHeight w:val="194"/>
        </w:trPr>
        <w:tc>
          <w:tcPr>
            <w:tcW w:w="3660" w:type="dxa"/>
            <w:vAlign w:val="bottom"/>
          </w:tcPr>
          <w:p>
            <w:pPr>
              <w:ind w:left="340"/>
              <w:spacing w:after="0"/>
              <w:rPr>
                <w:sz w:val="20"/>
                <w:szCs w:val="20"/>
                <w:color w:val="auto"/>
              </w:rPr>
            </w:pPr>
            <w:r>
              <w:rPr>
                <w:rFonts w:ascii="Arial" w:cs="Arial" w:eastAsia="Arial" w:hAnsi="Arial"/>
                <w:sz w:val="14"/>
                <w:szCs w:val="14"/>
                <w:color w:val="auto"/>
              </w:rPr>
              <w:t>Deemed dividend from conversion of Series G to</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340"/>
              <w:spacing w:after="0"/>
              <w:rPr>
                <w:sz w:val="20"/>
                <w:szCs w:val="20"/>
                <w:color w:val="auto"/>
              </w:rPr>
            </w:pPr>
            <w:r>
              <w:rPr>
                <w:rFonts w:ascii="Arial" w:cs="Arial" w:eastAsia="Arial" w:hAnsi="Arial"/>
                <w:sz w:val="14"/>
                <w:szCs w:val="14"/>
                <w:color w:val="auto"/>
              </w:rPr>
              <w:t>Series H redeemable convertible preferred stock</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60" w:type="dxa"/>
            <w:vAlign w:val="bottom"/>
          </w:tcPr>
          <w:p>
            <w:pPr>
              <w:ind w:left="340"/>
              <w:spacing w:after="0"/>
              <w:rPr>
                <w:sz w:val="20"/>
                <w:szCs w:val="20"/>
                <w:color w:val="auto"/>
              </w:rPr>
            </w:pPr>
            <w:r>
              <w:rPr>
                <w:rFonts w:ascii="Arial" w:cs="Arial" w:eastAsia="Arial" w:hAnsi="Arial"/>
                <w:sz w:val="14"/>
                <w:szCs w:val="14"/>
                <w:color w:val="auto"/>
              </w:rPr>
              <w:t>(Note 8)</w:t>
            </w:r>
          </w:p>
        </w:tc>
        <w:tc>
          <w:tcPr>
            <w:tcW w:w="1420" w:type="dxa"/>
            <w:vAlign w:val="bottom"/>
          </w:tcPr>
          <w:p>
            <w:pPr>
              <w:jc w:val="right"/>
              <w:ind w:right="91"/>
              <w:spacing w:after="0"/>
              <w:rPr>
                <w:sz w:val="20"/>
                <w:szCs w:val="20"/>
                <w:color w:val="auto"/>
              </w:rPr>
            </w:pPr>
            <w:r>
              <w:rPr>
                <w:rFonts w:ascii="Arial" w:cs="Arial" w:eastAsia="Arial" w:hAnsi="Arial"/>
                <w:sz w:val="14"/>
                <w:szCs w:val="14"/>
                <w:color w:val="auto"/>
              </w:rPr>
              <w:t>97,592,739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6,860</w:t>
            </w:r>
          </w:p>
        </w:tc>
        <w:tc>
          <w:tcPr>
            <w:tcW w:w="120" w:type="dxa"/>
            <w:vAlign w:val="bottom"/>
            <w:tcBorders>
              <w:right w:val="single" w:sz="8" w:color="auto"/>
            </w:tcBorders>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(6,860)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(6,860)</w:t>
            </w: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Conversion of preferred stock to common stock in</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connection with initial public offering (Note 8)</w:t>
            </w:r>
          </w:p>
        </w:tc>
        <w:tc>
          <w:tcPr>
            <w:tcW w:w="14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(1,012,573,679)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(138,906)</w:t>
            </w:r>
          </w:p>
        </w:tc>
        <w:tc>
          <w:tcPr>
            <w:tcW w:w="120" w:type="dxa"/>
            <w:vAlign w:val="bottom"/>
            <w:tcBorders>
              <w:right w:val="single" w:sz="8" w:color="auto"/>
            </w:tcBorders>
            <w:shd w:val="clear" w:color="auto" w:fill="CCEEFF"/>
          </w:tcPr>
          <w:p>
            <w:pPr>
              <w:spacing w:after="0"/>
              <w:rPr>
                <w:sz w:val="16"/>
                <w:szCs w:val="16"/>
                <w:color w:val="auto"/>
              </w:rPr>
            </w:pP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7,816,643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138,898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138,906</w:t>
            </w:r>
          </w:p>
        </w:tc>
        <w:tc>
          <w:tcPr>
            <w:tcW w:w="0" w:type="dxa"/>
            <w:vAlign w:val="bottom"/>
          </w:tcPr>
          <w:p>
            <w:pPr>
              <w:spacing w:after="0"/>
              <w:rPr>
                <w:sz w:val="1"/>
                <w:szCs w:val="1"/>
                <w:color w:val="auto"/>
              </w:rPr>
            </w:pPr>
          </w:p>
        </w:tc>
      </w:tr>
      <w:tr>
        <w:trPr>
          <w:trHeight w:val="194"/>
        </w:trPr>
        <w:tc>
          <w:tcPr>
            <w:tcW w:w="3660" w:type="dxa"/>
            <w:vAlign w:val="bottom"/>
          </w:tcPr>
          <w:p>
            <w:pPr>
              <w:ind w:left="340"/>
              <w:spacing w:after="0"/>
              <w:rPr>
                <w:sz w:val="20"/>
                <w:szCs w:val="20"/>
                <w:color w:val="auto"/>
              </w:rPr>
            </w:pPr>
            <w:r>
              <w:rPr>
                <w:rFonts w:ascii="Arial" w:cs="Arial" w:eastAsia="Arial" w:hAnsi="Arial"/>
                <w:sz w:val="14"/>
                <w:szCs w:val="14"/>
                <w:color w:val="auto"/>
              </w:rPr>
              <w:t>Issuance of common stock in initial public offering,</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60" w:type="dxa"/>
            <w:vAlign w:val="bottom"/>
          </w:tcPr>
          <w:p>
            <w:pPr>
              <w:ind w:left="340"/>
              <w:spacing w:after="0"/>
              <w:rPr>
                <w:sz w:val="20"/>
                <w:szCs w:val="20"/>
                <w:color w:val="auto"/>
              </w:rPr>
            </w:pPr>
            <w:r>
              <w:rPr>
                <w:rFonts w:ascii="Arial" w:cs="Arial" w:eastAsia="Arial" w:hAnsi="Arial"/>
                <w:sz w:val="14"/>
                <w:szCs w:val="14"/>
                <w:color w:val="auto"/>
              </w:rPr>
              <w:t>net of underwriting discount, commissions and</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60" w:type="dxa"/>
            <w:vAlign w:val="bottom"/>
          </w:tcPr>
          <w:p>
            <w:pPr>
              <w:ind w:left="340"/>
              <w:spacing w:after="0"/>
              <w:rPr>
                <w:sz w:val="20"/>
                <w:szCs w:val="20"/>
                <w:color w:val="auto"/>
              </w:rPr>
            </w:pPr>
            <w:r>
              <w:rPr>
                <w:rFonts w:ascii="Arial" w:cs="Arial" w:eastAsia="Arial" w:hAnsi="Arial"/>
                <w:sz w:val="14"/>
                <w:szCs w:val="14"/>
                <w:color w:val="auto"/>
              </w:rPr>
              <w:t>issuance costs (Note 9)</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9"/>
              <w:spacing w:after="0"/>
              <w:rPr>
                <w:sz w:val="20"/>
                <w:szCs w:val="20"/>
                <w:color w:val="auto"/>
              </w:rPr>
            </w:pPr>
            <w:r>
              <w:rPr>
                <w:rFonts w:ascii="Arial" w:cs="Arial" w:eastAsia="Arial" w:hAnsi="Arial"/>
                <w:sz w:val="14"/>
                <w:szCs w:val="14"/>
                <w:color w:val="auto"/>
              </w:rPr>
              <w:t>4,140,000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50,514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50,518</w:t>
            </w: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exercise of common and preferred stock</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warrants</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539,794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94"/>
        </w:trPr>
        <w:tc>
          <w:tcPr>
            <w:tcW w:w="3660" w:type="dxa"/>
            <w:vAlign w:val="bottom"/>
          </w:tcPr>
          <w:p>
            <w:pPr>
              <w:ind w:left="340"/>
              <w:spacing w:after="0"/>
              <w:rPr>
                <w:sz w:val="20"/>
                <w:szCs w:val="20"/>
                <w:color w:val="auto"/>
              </w:rPr>
            </w:pPr>
            <w:r>
              <w:rPr>
                <w:rFonts w:ascii="Arial" w:cs="Arial" w:eastAsia="Arial" w:hAnsi="Arial"/>
                <w:sz w:val="14"/>
                <w:szCs w:val="14"/>
                <w:color w:val="auto"/>
              </w:rPr>
              <w:t>Reclassification of redeemable convertible</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660" w:type="dxa"/>
            <w:vAlign w:val="bottom"/>
          </w:tcPr>
          <w:p>
            <w:pPr>
              <w:ind w:left="340"/>
              <w:spacing w:after="0"/>
              <w:rPr>
                <w:sz w:val="20"/>
                <w:szCs w:val="20"/>
                <w:color w:val="auto"/>
              </w:rPr>
            </w:pPr>
            <w:r>
              <w:rPr>
                <w:rFonts w:ascii="Arial" w:cs="Arial" w:eastAsia="Arial" w:hAnsi="Arial"/>
                <w:sz w:val="14"/>
                <w:szCs w:val="14"/>
                <w:color w:val="auto"/>
              </w:rPr>
              <w:t>preferred stock warrant liabilities as equity</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222"/>
        </w:trPr>
        <w:tc>
          <w:tcPr>
            <w:tcW w:w="36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14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(3,141)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(3,141)</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Balances at September 30, 2019</w:t>
            </w: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9"/>
              <w:spacing w:after="0"/>
              <w:rPr>
                <w:sz w:val="20"/>
                <w:szCs w:val="20"/>
                <w:color w:val="auto"/>
              </w:rPr>
            </w:pPr>
            <w:r>
              <w:rPr>
                <w:rFonts w:ascii="Arial" w:cs="Arial" w:eastAsia="Arial" w:hAnsi="Arial"/>
                <w:sz w:val="14"/>
                <w:szCs w:val="14"/>
                <w:color w:val="auto"/>
              </w:rPr>
              <w:t>12,559,492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0"/>
              <w:spacing w:after="0"/>
              <w:rPr>
                <w:sz w:val="20"/>
                <w:szCs w:val="20"/>
                <w:color w:val="auto"/>
              </w:rPr>
            </w:pPr>
            <w:r>
              <w:rPr>
                <w:rFonts w:ascii="Arial" w:cs="Arial" w:eastAsia="Arial" w:hAnsi="Arial"/>
                <w:sz w:val="14"/>
                <w:szCs w:val="14"/>
                <w:color w:val="auto"/>
              </w:rPr>
              <w:t>219,831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(161,194)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58,650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4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886" w:right="339" w:bottom="1440" w:gutter="0" w:footer="0" w:header="0"/>
        </w:sectPr>
      </w:pPr>
    </w:p>
    <w:bookmarkStart w:id="5" w:name="page6"/>
    <w:bookmarkEnd w:id="5"/>
    <w:p>
      <w:pPr>
        <w:ind w:left="52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Unaudited Condensed Statements of Redeemable Convertible Preferred Stock and Stockholders' Deficit</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Arial" w:cs="Arial" w:eastAsia="Arial" w:hAnsi="Arial"/>
                <w:sz w:val="13"/>
                <w:szCs w:val="13"/>
                <w:b w:val="1"/>
                <w:bCs w:val="1"/>
                <w:color w:val="auto"/>
              </w:rPr>
              <w:t>Redeemable</w:t>
            </w:r>
          </w:p>
        </w:tc>
        <w:tc>
          <w:tcPr>
            <w:tcW w:w="6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44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Convertible</w:t>
            </w:r>
          </w:p>
        </w:tc>
        <w:tc>
          <w:tcPr>
            <w:tcW w:w="6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2120" w:type="dxa"/>
            <w:vAlign w:val="bottom"/>
            <w:gridSpan w:val="4"/>
            <w:vMerge w:val="restart"/>
          </w:tcPr>
          <w:p>
            <w:pPr>
              <w:jc w:val="right"/>
              <w:ind w:right="529"/>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Borders>
              <w:right w:val="single" w:sz="8" w:color="auto"/>
            </w:tcBorders>
            <w:vMerge w:val="restart"/>
          </w:tcPr>
          <w:p>
            <w:pPr>
              <w:spacing w:after="0"/>
              <w:rPr>
                <w:sz w:val="7"/>
                <w:szCs w:val="7"/>
                <w:color w:val="auto"/>
              </w:rPr>
            </w:pPr>
          </w:p>
        </w:tc>
        <w:tc>
          <w:tcPr>
            <w:tcW w:w="1620" w:type="dxa"/>
            <w:vAlign w:val="bottom"/>
            <w:gridSpan w:val="4"/>
            <w:vMerge w:val="restart"/>
          </w:tcPr>
          <w:p>
            <w:pPr>
              <w:ind w:left="3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3780" w:type="dxa"/>
            <w:vAlign w:val="bottom"/>
          </w:tcPr>
          <w:p>
            <w:pPr>
              <w:spacing w:after="0"/>
              <w:rPr>
                <w:sz w:val="10"/>
                <w:szCs w:val="10"/>
                <w:color w:val="auto"/>
              </w:rPr>
            </w:pPr>
          </w:p>
        </w:tc>
        <w:tc>
          <w:tcPr>
            <w:tcW w:w="2120" w:type="dxa"/>
            <w:vAlign w:val="bottom"/>
            <w:tcBorders>
              <w:bottom w:val="single" w:sz="8" w:color="auto"/>
            </w:tcBorders>
            <w:gridSpan w:val="4"/>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16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1140" w:type="dxa"/>
            <w:vAlign w:val="bottom"/>
            <w:gridSpan w:val="2"/>
          </w:tcPr>
          <w:p>
            <w:pPr>
              <w:ind w:left="40"/>
              <w:spacing w:after="0" w:line="115"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1060" w:type="dxa"/>
            <w:vAlign w:val="bottom"/>
          </w:tcPr>
          <w:p>
            <w:pPr>
              <w:jc w:val="center"/>
              <w:ind w:right="70"/>
              <w:spacing w:after="0" w:line="115"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right w:val="single" w:sz="8" w:color="auto"/>
            </w:tcBorders>
          </w:tcPr>
          <w:p>
            <w:pPr>
              <w:spacing w:after="0"/>
              <w:rPr>
                <w:sz w:val="15"/>
                <w:szCs w:val="15"/>
                <w:color w:val="auto"/>
              </w:rPr>
            </w:pP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2017</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497,691,757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92,046</w:t>
            </w:r>
          </w:p>
        </w:tc>
        <w:tc>
          <w:tcPr>
            <w:tcW w:w="120" w:type="dxa"/>
            <w:vAlign w:val="bottom"/>
            <w:tcBorders>
              <w:right w:val="single" w:sz="8" w:color="auto"/>
            </w:tcBorders>
            <w:shd w:val="clear" w:color="auto" w:fill="CCEEFF"/>
          </w:tcPr>
          <w:p>
            <w:pPr>
              <w:spacing w:after="0"/>
              <w:rPr>
                <w:sz w:val="18"/>
                <w:szCs w:val="18"/>
                <w:color w:val="auto"/>
              </w:rPr>
            </w:pP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63,005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50,954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(147,638)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(96,684)</w:t>
            </w:r>
          </w:p>
        </w:tc>
        <w:tc>
          <w:tcPr>
            <w:tcW w:w="0" w:type="dxa"/>
            <w:vAlign w:val="bottom"/>
          </w:tcPr>
          <w:p>
            <w:pPr>
              <w:spacing w:after="0"/>
              <w:rPr>
                <w:sz w:val="1"/>
                <w:szCs w:val="1"/>
                <w:color w:val="auto"/>
              </w:rPr>
            </w:pPr>
          </w:p>
        </w:tc>
      </w:tr>
      <w:tr>
        <w:trPr>
          <w:trHeight w:val="194"/>
        </w:trPr>
        <w:tc>
          <w:tcPr>
            <w:tcW w:w="3780" w:type="dxa"/>
            <w:vAlign w:val="bottom"/>
          </w:tcPr>
          <w:p>
            <w:pPr>
              <w:ind w:left="340"/>
              <w:spacing w:after="0"/>
              <w:rPr>
                <w:sz w:val="20"/>
                <w:szCs w:val="20"/>
                <w:color w:val="auto"/>
              </w:rPr>
            </w:pPr>
            <w:r>
              <w:rPr>
                <w:rFonts w:ascii="Arial" w:cs="Arial" w:eastAsia="Arial" w:hAnsi="Arial"/>
                <w:sz w:val="14"/>
                <w:szCs w:val="14"/>
                <w:color w:val="auto"/>
              </w:rPr>
              <w:t>Cumulative effect of changes in accounting principle</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780" w:type="dxa"/>
            <w:vAlign w:val="bottom"/>
          </w:tcPr>
          <w:p>
            <w:pPr>
              <w:ind w:left="340"/>
              <w:spacing w:after="0"/>
              <w:rPr>
                <w:sz w:val="20"/>
                <w:szCs w:val="20"/>
                <w:color w:val="auto"/>
              </w:rPr>
            </w:pPr>
            <w:r>
              <w:rPr>
                <w:rFonts w:ascii="Arial" w:cs="Arial" w:eastAsia="Arial" w:hAnsi="Arial"/>
                <w:sz w:val="14"/>
                <w:szCs w:val="14"/>
                <w:color w:val="auto"/>
              </w:rPr>
              <w:t>related to revenue recognition</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20" w:type="dxa"/>
            <w:vAlign w:val="bottom"/>
          </w:tcPr>
          <w:p>
            <w:pPr>
              <w:jc w:val="right"/>
              <w:ind w:right="69"/>
              <w:spacing w:after="0"/>
              <w:rPr>
                <w:sz w:val="20"/>
                <w:szCs w:val="20"/>
                <w:color w:val="auto"/>
              </w:rPr>
            </w:pPr>
            <w:r>
              <w:rPr>
                <w:rFonts w:ascii="Arial" w:cs="Arial" w:eastAsia="Arial" w:hAnsi="Arial"/>
                <w:sz w:val="14"/>
                <w:szCs w:val="14"/>
                <w:color w:val="auto"/>
              </w:rPr>
              <w:t>3,086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3,086</w:t>
            </w:r>
          </w:p>
        </w:tc>
        <w:tc>
          <w:tcPr>
            <w:tcW w:w="0" w:type="dxa"/>
            <w:vAlign w:val="bottom"/>
          </w:tcPr>
          <w:p>
            <w:pPr>
              <w:spacing w:after="0"/>
              <w:rPr>
                <w:sz w:val="1"/>
                <w:szCs w:val="1"/>
                <w:color w:val="auto"/>
              </w:rPr>
            </w:pPr>
          </w:p>
        </w:tc>
      </w:tr>
      <w:tr>
        <w:trPr>
          <w:trHeight w:val="222"/>
        </w:trPr>
        <w:tc>
          <w:tcPr>
            <w:tcW w:w="3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Accretion of redeemable convertible preferred stock</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1,382</w:t>
            </w:r>
          </w:p>
        </w:tc>
        <w:tc>
          <w:tcPr>
            <w:tcW w:w="120" w:type="dxa"/>
            <w:vAlign w:val="bottom"/>
            <w:tcBorders>
              <w:right w:val="single" w:sz="8" w:color="auto"/>
            </w:tcBorders>
            <w:shd w:val="clear" w:color="auto" w:fill="CCEEFF"/>
          </w:tcPr>
          <w:p>
            <w:pPr>
              <w:spacing w:after="0"/>
              <w:rPr>
                <w:sz w:val="19"/>
                <w:szCs w:val="19"/>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(1,382)</w:t>
            </w:r>
          </w:p>
        </w:tc>
        <w:tc>
          <w:tcPr>
            <w:tcW w:w="0" w:type="dxa"/>
            <w:vAlign w:val="bottom"/>
          </w:tcPr>
          <w:p>
            <w:pPr>
              <w:spacing w:after="0"/>
              <w:rPr>
                <w:sz w:val="1"/>
                <w:szCs w:val="1"/>
                <w:color w:val="auto"/>
              </w:rPr>
            </w:pPr>
          </w:p>
        </w:tc>
      </w:tr>
      <w:tr>
        <w:trPr>
          <w:trHeight w:val="210"/>
        </w:trPr>
        <w:tc>
          <w:tcPr>
            <w:tcW w:w="378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9"/>
        </w:trPr>
        <w:tc>
          <w:tcPr>
            <w:tcW w:w="378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Issuance of Series F redeemable convertible</w:t>
            </w: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preferred stock for aggregate proceeds of $0.078</w:t>
            </w: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per share, net of issuance costs of $7, in the third</w:t>
            </w:r>
          </w:p>
        </w:tc>
        <w:tc>
          <w:tcPr>
            <w:tcW w:w="12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34,914,327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3,868</w:t>
            </w:r>
          </w:p>
        </w:tc>
        <w:tc>
          <w:tcPr>
            <w:tcW w:w="120" w:type="dxa"/>
            <w:vAlign w:val="bottom"/>
            <w:tcBorders>
              <w:right w:val="single" w:sz="8" w:color="auto"/>
            </w:tcBorders>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(1,152)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71"/>
        </w:trPr>
        <w:tc>
          <w:tcPr>
            <w:tcW w:w="37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tranche closing of the Series F financing</w:t>
            </w:r>
          </w:p>
        </w:tc>
        <w:tc>
          <w:tcPr>
            <w:tcW w:w="12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loss</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(2,793)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(2,793)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March 31, 2018</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532,606,084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97,296</w:t>
            </w:r>
          </w:p>
        </w:tc>
        <w:tc>
          <w:tcPr>
            <w:tcW w:w="120" w:type="dxa"/>
            <w:vAlign w:val="bottom"/>
            <w:tcBorders>
              <w:right w:val="single" w:sz="8" w:color="auto"/>
            </w:tcBorders>
            <w:shd w:val="clear" w:color="auto" w:fill="CCEEFF"/>
          </w:tcPr>
          <w:p>
            <w:pPr>
              <w:spacing w:after="0"/>
              <w:rPr>
                <w:sz w:val="18"/>
                <w:szCs w:val="18"/>
                <w:color w:val="auto"/>
              </w:rPr>
            </w:pP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63,005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48,466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(147,345)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(98,879)</w:t>
            </w:r>
          </w:p>
        </w:tc>
        <w:tc>
          <w:tcPr>
            <w:tcW w:w="0" w:type="dxa"/>
            <w:vAlign w:val="bottom"/>
          </w:tcPr>
          <w:p>
            <w:pPr>
              <w:spacing w:after="0"/>
              <w:rPr>
                <w:sz w:val="1"/>
                <w:szCs w:val="1"/>
                <w:color w:val="auto"/>
              </w:rPr>
            </w:pPr>
          </w:p>
        </w:tc>
      </w:tr>
      <w:tr>
        <w:trPr>
          <w:trHeight w:val="210"/>
        </w:trPr>
        <w:tc>
          <w:tcPr>
            <w:tcW w:w="3780" w:type="dxa"/>
            <w:vAlign w:val="bottom"/>
          </w:tcPr>
          <w:p>
            <w:pPr>
              <w:ind w:left="340"/>
              <w:spacing w:after="0"/>
              <w:rPr>
                <w:sz w:val="20"/>
                <w:szCs w:val="20"/>
                <w:color w:val="auto"/>
              </w:rPr>
            </w:pPr>
            <w:r>
              <w:rPr>
                <w:rFonts w:ascii="Arial" w:cs="Arial" w:eastAsia="Arial" w:hAnsi="Arial"/>
                <w:sz w:val="14"/>
                <w:szCs w:val="14"/>
                <w:color w:val="auto"/>
              </w:rPr>
              <w:t>Accretion of redeemable convertible preferred stock</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2,312</w:t>
            </w:r>
          </w:p>
        </w:tc>
        <w:tc>
          <w:tcPr>
            <w:tcW w:w="120" w:type="dxa"/>
            <w:vAlign w:val="bottom"/>
            <w:tcBorders>
              <w:right w:val="single" w:sz="8" w:color="auto"/>
            </w:tcBorders>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(2,312)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222"/>
        </w:trPr>
        <w:tc>
          <w:tcPr>
            <w:tcW w:w="3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loss</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(2,146)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June 30, 2018</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532,606,084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99,608</w:t>
            </w:r>
          </w:p>
        </w:tc>
        <w:tc>
          <w:tcPr>
            <w:tcW w:w="120" w:type="dxa"/>
            <w:vAlign w:val="bottom"/>
            <w:tcBorders>
              <w:right w:val="single" w:sz="8" w:color="auto"/>
            </w:tcBorders>
            <w:shd w:val="clear" w:color="auto" w:fill="CCEEFF"/>
          </w:tcPr>
          <w:p>
            <w:pPr>
              <w:spacing w:after="0"/>
              <w:rPr>
                <w:sz w:val="18"/>
                <w:szCs w:val="18"/>
                <w:color w:val="auto"/>
              </w:rPr>
            </w:pP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63,005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46,198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(149,491)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(103,293)</w:t>
            </w:r>
          </w:p>
        </w:tc>
        <w:tc>
          <w:tcPr>
            <w:tcW w:w="0" w:type="dxa"/>
            <w:vAlign w:val="bottom"/>
          </w:tcPr>
          <w:p>
            <w:pPr>
              <w:spacing w:after="0"/>
              <w:rPr>
                <w:sz w:val="1"/>
                <w:szCs w:val="1"/>
                <w:color w:val="auto"/>
              </w:rPr>
            </w:pPr>
          </w:p>
        </w:tc>
      </w:tr>
      <w:tr>
        <w:trPr>
          <w:trHeight w:val="210"/>
        </w:trPr>
        <w:tc>
          <w:tcPr>
            <w:tcW w:w="3780" w:type="dxa"/>
            <w:vAlign w:val="bottom"/>
          </w:tcPr>
          <w:p>
            <w:pPr>
              <w:ind w:left="340"/>
              <w:spacing w:after="0"/>
              <w:rPr>
                <w:sz w:val="20"/>
                <w:szCs w:val="20"/>
                <w:color w:val="auto"/>
              </w:rPr>
            </w:pPr>
            <w:r>
              <w:rPr>
                <w:rFonts w:ascii="Arial" w:cs="Arial" w:eastAsia="Arial" w:hAnsi="Arial"/>
                <w:sz w:val="14"/>
                <w:szCs w:val="14"/>
                <w:color w:val="auto"/>
              </w:rPr>
              <w:t>Accretion of redeemable convertible preferred stock</w:t>
            </w: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2,768</w:t>
            </w:r>
          </w:p>
        </w:tc>
        <w:tc>
          <w:tcPr>
            <w:tcW w:w="120" w:type="dxa"/>
            <w:vAlign w:val="bottom"/>
            <w:tcBorders>
              <w:right w:val="single" w:sz="8" w:color="auto"/>
            </w:tcBorders>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(2,768)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4"/>
                <w:szCs w:val="14"/>
                <w:color w:val="auto"/>
              </w:rPr>
              <w:t>(2,768)</w:t>
            </w:r>
          </w:p>
        </w:tc>
        <w:tc>
          <w:tcPr>
            <w:tcW w:w="0" w:type="dxa"/>
            <w:vAlign w:val="bottom"/>
          </w:tcPr>
          <w:p>
            <w:pPr>
              <w:spacing w:after="0"/>
              <w:rPr>
                <w:sz w:val="1"/>
                <w:szCs w:val="1"/>
                <w:color w:val="auto"/>
              </w:rPr>
            </w:pPr>
          </w:p>
        </w:tc>
      </w:tr>
      <w:tr>
        <w:trPr>
          <w:trHeight w:val="222"/>
        </w:trPr>
        <w:tc>
          <w:tcPr>
            <w:tcW w:w="3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0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loss</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(1,756)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(1,756)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September 30, 2018</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532,606,084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98"/>
              </w:rPr>
              <w:t>102,376</w:t>
            </w:r>
          </w:p>
        </w:tc>
        <w:tc>
          <w:tcPr>
            <w:tcW w:w="120" w:type="dxa"/>
            <w:vAlign w:val="bottom"/>
            <w:tcBorders>
              <w:right w:val="single" w:sz="8" w:color="auto"/>
            </w:tcBorders>
            <w:shd w:val="clear" w:color="auto" w:fill="CCEEFF"/>
          </w:tcPr>
          <w:p>
            <w:pPr>
              <w:spacing w:after="0"/>
              <w:rPr>
                <w:sz w:val="19"/>
                <w:szCs w:val="19"/>
                <w:color w:val="auto"/>
              </w:rPr>
            </w:pPr>
          </w:p>
        </w:tc>
        <w:tc>
          <w:tcPr>
            <w:tcW w:w="7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63,005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43,440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(151,247)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(107,807)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86" w:right="299" w:bottom="1440" w:gutter="0" w:footer="0" w:header="0"/>
        </w:sectPr>
      </w:pPr>
    </w:p>
    <w:bookmarkStart w:id="6" w:name="page7"/>
    <w:bookmarkEnd w:id="6"/>
    <w:p>
      <w:pPr>
        <w:ind w:left="52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Unaudited Statements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3"/>
                <w:szCs w:val="13"/>
                <w:b w:val="1"/>
                <w:bCs w:val="1"/>
                <w:color w:val="auto"/>
                <w:w w:val="97"/>
              </w:rPr>
              <w:t>Nine Months Ended September 30,</w:t>
            </w:r>
          </w:p>
        </w:tc>
      </w:tr>
      <w:tr>
        <w:trPr>
          <w:trHeight w:val="196"/>
        </w:trPr>
        <w:tc>
          <w:tcPr>
            <w:tcW w:w="90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2018</w:t>
            </w:r>
          </w:p>
        </w:tc>
      </w:tr>
      <w:tr>
        <w:trPr>
          <w:trHeight w:val="203"/>
        </w:trPr>
        <w:tc>
          <w:tcPr>
            <w:tcW w:w="9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9"/>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1"/>
        </w:trPr>
        <w:tc>
          <w:tcPr>
            <w:tcW w:w="906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(8,630)</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(6,695)</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1"/>
        </w:trPr>
        <w:tc>
          <w:tcPr>
            <w:tcW w:w="9060" w:type="dxa"/>
            <w:vAlign w:val="bottom"/>
          </w:tcPr>
          <w:p>
            <w:pPr>
              <w:ind w:left="32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480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576</w:t>
            </w:r>
          </w:p>
        </w:tc>
      </w:tr>
      <w:tr>
        <w:trPr>
          <w:trHeight w:val="197"/>
        </w:trPr>
        <w:tc>
          <w:tcPr>
            <w:tcW w:w="90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Amortization of debt discount and debt issuance costs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425</w:t>
            </w:r>
          </w:p>
        </w:tc>
      </w:tr>
      <w:tr>
        <w:trPr>
          <w:trHeight w:val="181"/>
        </w:trPr>
        <w:tc>
          <w:tcPr>
            <w:tcW w:w="9060" w:type="dxa"/>
            <w:vAlign w:val="bottom"/>
          </w:tcPr>
          <w:p>
            <w:pPr>
              <w:ind w:left="380"/>
              <w:spacing w:after="0"/>
              <w:rPr>
                <w:sz w:val="20"/>
                <w:szCs w:val="20"/>
                <w:color w:val="auto"/>
              </w:rPr>
            </w:pPr>
            <w:r>
              <w:rPr>
                <w:rFonts w:ascii="Arial" w:cs="Arial" w:eastAsia="Arial" w:hAnsi="Arial"/>
                <w:sz w:val="13"/>
                <w:szCs w:val="13"/>
                <w:color w:val="auto"/>
              </w:rPr>
              <w:t>Non-cash interest expense</w:t>
            </w:r>
          </w:p>
        </w:tc>
        <w:tc>
          <w:tcPr>
            <w:tcW w:w="10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484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380</w:t>
            </w:r>
          </w:p>
        </w:tc>
      </w:tr>
      <w:tr>
        <w:trPr>
          <w:trHeight w:val="197"/>
        </w:trPr>
        <w:tc>
          <w:tcPr>
            <w:tcW w:w="90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Revaluation of warrant liabilities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w:t>
            </w:r>
          </w:p>
        </w:tc>
      </w:tr>
      <w:tr>
        <w:trPr>
          <w:trHeight w:val="181"/>
        </w:trPr>
        <w:tc>
          <w:tcPr>
            <w:tcW w:w="9060" w:type="dxa"/>
            <w:vAlign w:val="bottom"/>
          </w:tcPr>
          <w:p>
            <w:pPr>
              <w:ind w:left="320"/>
              <w:spacing w:after="0"/>
              <w:rPr>
                <w:sz w:val="20"/>
                <w:szCs w:val="20"/>
                <w:color w:val="auto"/>
              </w:rPr>
            </w:pPr>
            <w:r>
              <w:rPr>
                <w:rFonts w:ascii="Arial" w:cs="Arial" w:eastAsia="Arial" w:hAnsi="Arial"/>
                <w:sz w:val="13"/>
                <w:szCs w:val="13"/>
                <w:color w:val="auto"/>
              </w:rPr>
              <w:t>Loss on disposal of assets</w:t>
            </w:r>
          </w:p>
        </w:tc>
        <w:tc>
          <w:tcPr>
            <w:tcW w:w="10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90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Stock-based compensation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100</w:t>
            </w:r>
          </w:p>
        </w:tc>
      </w:tr>
      <w:tr>
        <w:trPr>
          <w:trHeight w:val="181"/>
        </w:trPr>
        <w:tc>
          <w:tcPr>
            <w:tcW w:w="9060" w:type="dxa"/>
            <w:vAlign w:val="bottom"/>
          </w:tcPr>
          <w:p>
            <w:pPr>
              <w:ind w:left="320"/>
              <w:spacing w:after="0"/>
              <w:rPr>
                <w:sz w:val="20"/>
                <w:szCs w:val="20"/>
                <w:color w:val="auto"/>
              </w:rPr>
            </w:pPr>
            <w:r>
              <w:rPr>
                <w:rFonts w:ascii="Arial" w:cs="Arial" w:eastAsia="Arial" w:hAnsi="Arial"/>
                <w:sz w:val="13"/>
                <w:szCs w:val="13"/>
                <w:color w:val="auto"/>
              </w:rPr>
              <w:t>Changes in assets and liabilities: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7"/>
        </w:trPr>
        <w:tc>
          <w:tcPr>
            <w:tcW w:w="90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Accounts receivable, net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(1,168)</w:t>
            </w:r>
          </w:p>
        </w:tc>
      </w:tr>
      <w:tr>
        <w:trPr>
          <w:trHeight w:val="181"/>
        </w:trPr>
        <w:tc>
          <w:tcPr>
            <w:tcW w:w="9060" w:type="dxa"/>
            <w:vAlign w:val="bottom"/>
          </w:tcPr>
          <w:p>
            <w:pPr>
              <w:ind w:left="640"/>
              <w:spacing w:after="0"/>
              <w:rPr>
                <w:sz w:val="20"/>
                <w:szCs w:val="20"/>
                <w:color w:val="auto"/>
              </w:rPr>
            </w:pPr>
            <w:r>
              <w:rPr>
                <w:rFonts w:ascii="Arial" w:cs="Arial" w:eastAsia="Arial" w:hAnsi="Arial"/>
                <w:sz w:val="13"/>
                <w:szCs w:val="13"/>
                <w:color w:val="auto"/>
              </w:rPr>
              <w:t>Prepaid expenses and other current assets</w:t>
            </w:r>
          </w:p>
        </w:tc>
        <w:tc>
          <w:tcPr>
            <w:tcW w:w="10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510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(590)</w:t>
            </w:r>
          </w:p>
        </w:tc>
      </w:tr>
      <w:tr>
        <w:trPr>
          <w:trHeight w:val="197"/>
        </w:trPr>
        <w:tc>
          <w:tcPr>
            <w:tcW w:w="90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r>
      <w:tr>
        <w:trPr>
          <w:trHeight w:val="181"/>
        </w:trPr>
        <w:tc>
          <w:tcPr>
            <w:tcW w:w="9060" w:type="dxa"/>
            <w:vAlign w:val="bottom"/>
          </w:tcPr>
          <w:p>
            <w:pPr>
              <w:ind w:left="640"/>
              <w:spacing w:after="0"/>
              <w:rPr>
                <w:sz w:val="20"/>
                <w:szCs w:val="20"/>
                <w:color w:val="auto"/>
              </w:rPr>
            </w:pPr>
            <w:r>
              <w:rPr>
                <w:rFonts w:ascii="Arial" w:cs="Arial" w:eastAsia="Arial" w:hAnsi="Arial"/>
                <w:sz w:val="13"/>
                <w:szCs w:val="13"/>
                <w:color w:val="auto"/>
              </w:rPr>
              <w:t>Accounts payable</w:t>
            </w:r>
          </w:p>
        </w:tc>
        <w:tc>
          <w:tcPr>
            <w:tcW w:w="10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(392)</w:t>
            </w:r>
          </w:p>
        </w:tc>
      </w:tr>
      <w:tr>
        <w:trPr>
          <w:trHeight w:val="197"/>
        </w:trPr>
        <w:tc>
          <w:tcPr>
            <w:tcW w:w="9060" w:type="dxa"/>
            <w:vAlign w:val="bottom"/>
            <w:shd w:val="clear" w:color="auto" w:fill="CCEEFF"/>
          </w:tcPr>
          <w:p>
            <w:pPr>
              <w:ind w:left="640"/>
              <w:spacing w:after="0"/>
              <w:rPr>
                <w:sz w:val="20"/>
                <w:szCs w:val="20"/>
                <w:color w:val="auto"/>
              </w:rPr>
            </w:pPr>
            <w:r>
              <w:rPr>
                <w:rFonts w:ascii="Arial" w:cs="Arial" w:eastAsia="Arial" w:hAnsi="Arial"/>
                <w:sz w:val="13"/>
                <w:szCs w:val="13"/>
                <w:color w:val="auto"/>
              </w:rPr>
              <w:t>Accrued and other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1,095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r>
      <w:tr>
        <w:trPr>
          <w:trHeight w:val="175"/>
        </w:trPr>
        <w:tc>
          <w:tcPr>
            <w:tcW w:w="9060" w:type="dxa"/>
            <w:vAlign w:val="bottom"/>
          </w:tcPr>
          <w:p>
            <w:pPr>
              <w:ind w:left="320"/>
              <w:spacing w:after="0"/>
              <w:rPr>
                <w:sz w:val="20"/>
                <w:szCs w:val="20"/>
                <w:color w:val="auto"/>
              </w:rPr>
            </w:pPr>
            <w:r>
              <w:rPr>
                <w:rFonts w:ascii="Arial" w:cs="Arial" w:eastAsia="Arial" w:hAnsi="Arial"/>
                <w:sz w:val="13"/>
                <w:szCs w:val="13"/>
                <w:color w:val="auto"/>
              </w:rPr>
              <w:t>Net cash used in operating activities</w:t>
            </w:r>
          </w:p>
        </w:tc>
        <w:tc>
          <w:tcPr>
            <w:tcW w:w="10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(5,784)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(7,432)</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1"/>
        </w:trPr>
        <w:tc>
          <w:tcPr>
            <w:tcW w:w="9060" w:type="dxa"/>
            <w:vAlign w:val="bottom"/>
          </w:tcPr>
          <w:p>
            <w:pPr>
              <w:ind w:left="20"/>
              <w:spacing w:after="0"/>
              <w:rPr>
                <w:sz w:val="20"/>
                <w:szCs w:val="20"/>
                <w:color w:val="auto"/>
              </w:rPr>
            </w:pPr>
            <w:r>
              <w:rPr>
                <w:rFonts w:ascii="Arial" w:cs="Arial" w:eastAsia="Arial" w:hAnsi="Arial"/>
                <w:sz w:val="13"/>
                <w:szCs w:val="13"/>
                <w:color w:val="auto"/>
              </w:rPr>
              <w:t>Purchases of property and equipment</w:t>
            </w:r>
          </w:p>
        </w:tc>
        <w:tc>
          <w:tcPr>
            <w:tcW w:w="10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(128)</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property and equipment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9060" w:type="dxa"/>
            <w:vAlign w:val="bottom"/>
          </w:tcPr>
          <w:p>
            <w:pPr>
              <w:ind w:left="20"/>
              <w:spacing w:after="0"/>
              <w:rPr>
                <w:sz w:val="20"/>
                <w:szCs w:val="20"/>
                <w:color w:val="auto"/>
              </w:rPr>
            </w:pPr>
            <w:r>
              <w:rPr>
                <w:rFonts w:ascii="Arial" w:cs="Arial" w:eastAsia="Arial" w:hAnsi="Arial"/>
                <w:sz w:val="13"/>
                <w:szCs w:val="13"/>
                <w:color w:val="auto"/>
              </w:rPr>
              <w:t>Purchases of short-term investments</w:t>
            </w:r>
          </w:p>
        </w:tc>
        <w:tc>
          <w:tcPr>
            <w:tcW w:w="10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(2,000)</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Maturities of short-term investments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1,000</w:t>
            </w:r>
          </w:p>
        </w:tc>
      </w:tr>
      <w:tr>
        <w:trPr>
          <w:trHeight w:val="175"/>
        </w:trPr>
        <w:tc>
          <w:tcPr>
            <w:tcW w:w="9060" w:type="dxa"/>
            <w:vAlign w:val="bottom"/>
          </w:tcPr>
          <w:p>
            <w:pPr>
              <w:ind w:left="320"/>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(1,128)</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1"/>
        </w:trPr>
        <w:tc>
          <w:tcPr>
            <w:tcW w:w="9060" w:type="dxa"/>
            <w:vAlign w:val="bottom"/>
          </w:tcPr>
          <w:p>
            <w:pPr>
              <w:ind w:left="20"/>
              <w:spacing w:after="0"/>
              <w:rPr>
                <w:sz w:val="20"/>
                <w:szCs w:val="20"/>
                <w:color w:val="auto"/>
              </w:rPr>
            </w:pPr>
            <w:r>
              <w:rPr>
                <w:rFonts w:ascii="Arial" w:cs="Arial" w:eastAsia="Arial" w:hAnsi="Arial"/>
                <w:sz w:val="13"/>
                <w:szCs w:val="13"/>
                <w:color w:val="auto"/>
              </w:rPr>
              <w:t>Principal payment on capital lease obligations</w:t>
            </w:r>
          </w:p>
        </w:tc>
        <w:tc>
          <w:tcPr>
            <w:tcW w:w="10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(17)</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initial public offering, net of issuance costs and offering costs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52,195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9060" w:type="dxa"/>
            <w:vAlign w:val="bottom"/>
          </w:tcPr>
          <w:p>
            <w:pPr>
              <w:ind w:left="20"/>
              <w:spacing w:after="0"/>
              <w:rPr>
                <w:sz w:val="20"/>
                <w:szCs w:val="20"/>
                <w:color w:val="auto"/>
              </w:rPr>
            </w:pPr>
            <w:r>
              <w:rPr>
                <w:rFonts w:ascii="Arial" w:cs="Arial" w:eastAsia="Arial" w:hAnsi="Arial"/>
                <w:sz w:val="13"/>
                <w:szCs w:val="13"/>
                <w:color w:val="auto"/>
              </w:rPr>
              <w:t>Proceeds from the issuance of Series F redeemable convertible preferred stock, net of issuance costs</w:t>
            </w:r>
          </w:p>
        </w:tc>
        <w:tc>
          <w:tcPr>
            <w:tcW w:w="10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2,716</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Series G redeemable convertible preferred stock, net of issuance costs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7,742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Proceeds from issuance of Series H redeemable convertible preferred stock, net of issuance costs</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10,682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r>
      <w:tr>
        <w:trPr>
          <w:trHeight w:val="189"/>
        </w:trPr>
        <w:tc>
          <w:tcPr>
            <w:tcW w:w="90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cash provided by financing activities</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70,525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2,699</w:t>
            </w:r>
          </w:p>
        </w:tc>
      </w:tr>
      <w:tr>
        <w:trPr>
          <w:trHeight w:val="175"/>
        </w:trPr>
        <w:tc>
          <w:tcPr>
            <w:tcW w:w="9060" w:type="dxa"/>
            <w:vAlign w:val="bottom"/>
          </w:tcPr>
          <w:p>
            <w:pPr>
              <w:ind w:left="20"/>
              <w:spacing w:after="0"/>
              <w:rPr>
                <w:sz w:val="20"/>
                <w:szCs w:val="20"/>
                <w:color w:val="auto"/>
              </w:rPr>
            </w:pPr>
            <w:r>
              <w:rPr>
                <w:rFonts w:ascii="Arial" w:cs="Arial" w:eastAsia="Arial" w:hAnsi="Arial"/>
                <w:sz w:val="13"/>
                <w:szCs w:val="13"/>
                <w:color w:val="auto"/>
              </w:rPr>
              <w:t>Increase (decrease) in cash, cash equivalents and restricted cash</w:t>
            </w:r>
          </w:p>
        </w:tc>
        <w:tc>
          <w:tcPr>
            <w:tcW w:w="100" w:type="dxa"/>
            <w:vAlign w:val="bottom"/>
          </w:tcPr>
          <w:p>
            <w:pPr>
              <w:spacing w:after="0"/>
              <w:rPr>
                <w:sz w:val="15"/>
                <w:szCs w:val="15"/>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64,664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(5,861)</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13,264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11,341</w:t>
            </w:r>
          </w:p>
        </w:tc>
      </w:tr>
      <w:tr>
        <w:trPr>
          <w:trHeight w:val="176"/>
        </w:trPr>
        <w:tc>
          <w:tcPr>
            <w:tcW w:w="906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77,928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5,480</w:t>
            </w:r>
          </w:p>
        </w:tc>
      </w:tr>
      <w:tr>
        <w:trPr>
          <w:trHeight w:val="21"/>
        </w:trPr>
        <w:tc>
          <w:tcPr>
            <w:tcW w:w="9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2"/>
        </w:trPr>
        <w:tc>
          <w:tcPr>
            <w:tcW w:w="90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1"/>
        </w:trPr>
        <w:tc>
          <w:tcPr>
            <w:tcW w:w="9060" w:type="dxa"/>
            <w:vAlign w:val="bottom"/>
          </w:tcPr>
          <w:p>
            <w:pPr>
              <w:ind w:left="20"/>
              <w:spacing w:after="0"/>
              <w:rPr>
                <w:sz w:val="20"/>
                <w:szCs w:val="20"/>
                <w:color w:val="auto"/>
              </w:rPr>
            </w:pPr>
            <w:r>
              <w:rPr>
                <w:rFonts w:ascii="Arial" w:cs="Arial" w:eastAsia="Arial" w:hAnsi="Arial"/>
                <w:sz w:val="13"/>
                <w:szCs w:val="13"/>
                <w:color w:val="auto"/>
              </w:rPr>
              <w:t>Cash paid for interest expense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1,661</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1,293</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items: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1"/>
        </w:trPr>
        <w:tc>
          <w:tcPr>
            <w:tcW w:w="9060" w:type="dxa"/>
            <w:vAlign w:val="bottom"/>
          </w:tcPr>
          <w:p>
            <w:pPr>
              <w:ind w:left="20"/>
              <w:spacing w:after="0"/>
              <w:rPr>
                <w:sz w:val="20"/>
                <w:szCs w:val="20"/>
                <w:color w:val="auto"/>
              </w:rPr>
            </w:pPr>
            <w:r>
              <w:rPr>
                <w:rFonts w:ascii="Arial" w:cs="Arial" w:eastAsia="Arial" w:hAnsi="Arial"/>
                <w:sz w:val="13"/>
                <w:szCs w:val="13"/>
                <w:color w:val="auto"/>
              </w:rPr>
              <w:t>Accretion to redemption value of redeemable convertible preferred stock</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4,640</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6,462</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Equipment purchased under capital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289</w:t>
            </w:r>
          </w:p>
        </w:tc>
      </w:tr>
      <w:tr>
        <w:trPr>
          <w:trHeight w:val="181"/>
        </w:trPr>
        <w:tc>
          <w:tcPr>
            <w:tcW w:w="9060" w:type="dxa"/>
            <w:vAlign w:val="bottom"/>
          </w:tcPr>
          <w:p>
            <w:pPr>
              <w:ind w:left="20"/>
              <w:spacing w:after="0"/>
              <w:rPr>
                <w:sz w:val="20"/>
                <w:szCs w:val="20"/>
                <w:color w:val="auto"/>
              </w:rPr>
            </w:pPr>
            <w:r>
              <w:rPr>
                <w:rFonts w:ascii="Arial" w:cs="Arial" w:eastAsia="Arial" w:hAnsi="Arial"/>
                <w:sz w:val="13"/>
                <w:szCs w:val="13"/>
                <w:color w:val="auto"/>
              </w:rPr>
              <w:t>Costs incurred, but not paid, in connection with capital expenditures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207</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redeemable convertible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138,906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9060" w:type="dxa"/>
            <w:vAlign w:val="bottom"/>
          </w:tcPr>
          <w:p>
            <w:pPr>
              <w:ind w:left="20"/>
              <w:spacing w:after="0"/>
              <w:rPr>
                <w:sz w:val="20"/>
                <w:szCs w:val="20"/>
                <w:color w:val="auto"/>
              </w:rPr>
            </w:pPr>
            <w:r>
              <w:rPr>
                <w:rFonts w:ascii="Arial" w:cs="Arial" w:eastAsia="Arial" w:hAnsi="Arial"/>
                <w:sz w:val="13"/>
                <w:szCs w:val="13"/>
                <w:color w:val="auto"/>
              </w:rPr>
              <w:t>Net exercise of common and preferred stock warrants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 included in 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1,677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9060" w:type="dxa"/>
            <w:vAlign w:val="bottom"/>
          </w:tcPr>
          <w:p>
            <w:pPr>
              <w:ind w:left="20"/>
              <w:spacing w:after="0"/>
              <w:rPr>
                <w:sz w:val="20"/>
                <w:szCs w:val="20"/>
                <w:color w:val="auto"/>
              </w:rPr>
            </w:pPr>
            <w:r>
              <w:rPr>
                <w:rFonts w:ascii="Arial" w:cs="Arial" w:eastAsia="Arial" w:hAnsi="Arial"/>
                <w:sz w:val="13"/>
                <w:szCs w:val="13"/>
                <w:color w:val="auto"/>
              </w:rPr>
              <w:t>Reclassification of redeemable convertible preferred stock warrant liabilities as equity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726</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Deemed dividend recognized for beneficial conversion features of Series H redeemable convertible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6,741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9060" w:type="dxa"/>
            <w:vAlign w:val="bottom"/>
          </w:tcPr>
          <w:p>
            <w:pPr>
              <w:ind w:left="20"/>
              <w:spacing w:after="0"/>
              <w:rPr>
                <w:sz w:val="20"/>
                <w:szCs w:val="20"/>
                <w:color w:val="auto"/>
              </w:rPr>
            </w:pPr>
            <w:r>
              <w:rPr>
                <w:rFonts w:ascii="Arial" w:cs="Arial" w:eastAsia="Arial" w:hAnsi="Arial"/>
                <w:sz w:val="13"/>
                <w:szCs w:val="13"/>
                <w:color w:val="auto"/>
              </w:rPr>
              <w:t>Deemed dividend from conversion of Series G to Series H redeemable convertible preferred stock</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6,860</w:t>
            </w:r>
          </w:p>
        </w:tc>
        <w:tc>
          <w:tcPr>
            <w:tcW w:w="100" w:type="dxa"/>
            <w:vAlign w:val="bottom"/>
          </w:tcPr>
          <w:p>
            <w:pPr>
              <w:spacing w:after="0"/>
              <w:rPr>
                <w:sz w:val="15"/>
                <w:szCs w:val="15"/>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Series G to Series H redeemable convertible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11,875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9060" w:type="dxa"/>
            <w:vAlign w:val="bottom"/>
          </w:tcPr>
          <w:p>
            <w:pPr>
              <w:ind w:left="20"/>
              <w:spacing w:after="0"/>
              <w:rPr>
                <w:sz w:val="20"/>
                <w:szCs w:val="20"/>
                <w:color w:val="auto"/>
              </w:rPr>
            </w:pPr>
            <w:r>
              <w:rPr>
                <w:rFonts w:ascii="Arial" w:cs="Arial" w:eastAsia="Arial" w:hAnsi="Arial"/>
                <w:sz w:val="13"/>
                <w:szCs w:val="13"/>
                <w:color w:val="auto"/>
              </w:rPr>
              <w:t>Deemed dividend from issuance of Series F redeemable convertible preferred stock</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1,152</w:t>
            </w:r>
          </w:p>
        </w:tc>
      </w:tr>
      <w:tr>
        <w:trPr>
          <w:trHeight w:val="197"/>
        </w:trPr>
        <w:tc>
          <w:tcPr>
            <w:tcW w:w="9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upon adoption of Topic 606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3,086</w:t>
            </w:r>
          </w:p>
        </w:tc>
      </w:tr>
    </w:tbl>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60" w:top="562"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9"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Exagen Inc. (the Company) was incorporated under the laws of the state of New Mexico in 2002, under the name Exagen Corporation. In 2003, Exagen Corporation changed its state of incorporation from New Mexico to Delaware by merging with and into Exagen Diagnostics, Inc., pursuant to which the Company changed its name to Exagen Diagnostics, Inc. In January 2019, the Company changed its name to Exagen Inc. The Company is dedicated to transforming the care continuum for patients suffering from debilitating and chronic autoimmune diseases by enabling timely differential diagnosis and optimizing therapeutic intervention.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2"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On September 23, 2019, the Company closed its initial public offering (the IPO) of 4,140,000 shares of its common stock at a price to the public of $14.00 per share, including the exercise in full by the underwriters of their option to purchase 540,000 additional shares of the Company's common stock. Including the exercise of the option to purchase additional shares, the aggregate net proceeds to the Company from the offering was approximately $50.5 million, net of underwriting discounts, commissions and other estimated offering expenses, for aggregate expenses of approximately $7.5 million. In addition, an aggregate of 7,816,643 shares of common stock, excluding warrant conversions, were issued to the holders of the Company's Series A-3, Series B-3, Series C, Series D, Series E, Series F and Series H redeemable convertible preferred stockholders upon the automatic conversion of all shares of redeemable convertible preferred stock to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99" w:lineRule="exact"/>
        <w:rPr>
          <w:sz w:val="20"/>
          <w:szCs w:val="20"/>
          <w:color w:val="auto"/>
        </w:rPr>
      </w:pPr>
    </w:p>
    <w:p>
      <w:pPr>
        <w:jc w:val="both"/>
        <w:ind w:right="120" w:firstLine="446"/>
        <w:spacing w:after="0" w:line="254" w:lineRule="auto"/>
        <w:rPr>
          <w:sz w:val="20"/>
          <w:szCs w:val="20"/>
          <w:color w:val="auto"/>
        </w:rPr>
      </w:pPr>
      <w:r>
        <w:rPr>
          <w:rFonts w:ascii="Arial" w:cs="Arial" w:eastAsia="Arial" w:hAnsi="Arial"/>
          <w:sz w:val="18"/>
          <w:szCs w:val="18"/>
          <w:color w:val="auto"/>
        </w:rPr>
        <w:t>On September 6, 2019, the Company effected a one-for-183.635 reverse stock split of its common stock (the Reverse Stock Split). The par value and the authorized shares of the common stock were not adjusted as a result of the Reverse Stock Split. All issued and outstanding common stock and the conversion ratio of the redeemable convertible preferred stock have been retroactively adjusted to reflect this Reverse Stock Split for all periods presented in the accompanying condensed financial statements and notes to the condensed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suffered recurring losses and negative cash flows from operating activities since inception. The Company anticipates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that it will continue to incur net losses into the foreseeable future. At September 30, 2019, the Company had cash and cash equivalents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$77.8 million and had an accumulated deficit of $161.2 million, respectively. Since inception, the Company has financed its operations primarily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through private placements of preferred securities, the sale of common stock through its IPO and debt financing arrangements. Based 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current business plan, management believes that its existing capital resources will be sufficient to fund the Company's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at least the next twelve months.</w:t>
      </w:r>
    </w:p>
    <w:p>
      <w:pPr>
        <w:spacing w:after="0" w:line="225"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86"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99" w:lineRule="exact"/>
        <w:rPr>
          <w:sz w:val="20"/>
          <w:szCs w:val="20"/>
          <w:color w:val="auto"/>
        </w:rPr>
      </w:pPr>
    </w:p>
    <w:p>
      <w:pPr>
        <w:ind w:firstLine="446"/>
        <w:spacing w:after="0" w:line="251" w:lineRule="auto"/>
        <w:rPr>
          <w:sz w:val="20"/>
          <w:szCs w:val="20"/>
          <w:color w:val="auto"/>
        </w:rPr>
      </w:pPr>
      <w:r>
        <w:rPr>
          <w:rFonts w:ascii="Arial" w:cs="Arial" w:eastAsia="Arial" w:hAnsi="Arial"/>
          <w:sz w:val="18"/>
          <w:szCs w:val="18"/>
          <w:color w:val="auto"/>
        </w:rPr>
        <w:t>The accompanying interim condensed balance sheet as of September 30, 2019, the condensed statements of operations and the condensed statements of redeemable convertible preferred stock and stockholders' equity (deficit) for the three and nine months ended September 30, 2019 and 2018 and cash flows for the nine months ended September 30, 2019 and 2018 and the related footnote disclosure are unaudited and have been prepared in accordance with the rules and regulations of the Securities and Exchange Commission (SEC), and with accounting principles generally accepted in the United States (GAAP) applicable to interim financial statements. In management's opinion, the unaudited interim condensed financial statements have been prepared on the same basis as the audited financial statements and include all adjustments, which include only normal recurring adjustments, necessary for the fair presentation of the Company's financial position as of September 30, 2019 and its results of operations for the three and nine months ended September 30, 2019 and 2018 and cash flows for the nine months ended September 30, 2019 and 2018 in accordance with GAAP. The results for the nine months ended September 30, 2019 are not necessarily indicative of the results expected for the full fiscal year or any other interim period. The year-end condensed balance sheet data was derived from audited financial statements, but does not include all disclosures required by accounting principles generally accepted in the United States of America. These unaudited condensed financial statements should be read in conjunction with the Company’s audited financial statements for the year ended December 31, 2018, included in its Prospectus dated September 18, 2019 filed with the SEC on September 20, 2019.</w:t>
      </w:r>
    </w:p>
    <w:p>
      <w:pPr>
        <w:spacing w:after="0" w:line="76" w:lineRule="exact"/>
        <w:rPr>
          <w:sz w:val="20"/>
          <w:szCs w:val="20"/>
          <w:color w:val="auto"/>
        </w:rPr>
      </w:pPr>
    </w:p>
    <w:p>
      <w:pPr>
        <w:ind w:right="120" w:firstLine="446"/>
        <w:spacing w:after="0" w:line="256"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w:t>
      </w:r>
    </w:p>
    <w:p>
      <w:pPr>
        <w:spacing w:after="0" w:line="202"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the fair value of financial instruments measured at fair value, the recoverability of its long-lived assets (including goodwill), net deferred tax assets (and related valuation allowance), and for periods prior to the IPO, the fair value of the Company's common stock and redeemable convertible preferred stock.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99" w:lineRule="exact"/>
        <w:rPr>
          <w:sz w:val="20"/>
          <w:szCs w:val="20"/>
          <w:color w:val="auto"/>
        </w:rPr>
      </w:pPr>
    </w:p>
    <w:p>
      <w:pPr>
        <w:ind w:right="100" w:firstLine="446"/>
        <w:spacing w:after="0" w:line="256"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310" w:lineRule="exact"/>
        <w:rPr>
          <w:sz w:val="20"/>
          <w:szCs w:val="20"/>
          <w:color w:val="auto"/>
        </w:rPr>
      </w:pPr>
    </w:p>
    <w:p>
      <w:pPr>
        <w:ind w:right="140" w:firstLine="446"/>
        <w:spacing w:after="0" w:line="256" w:lineRule="auto"/>
        <w:rPr>
          <w:sz w:val="20"/>
          <w:szCs w:val="20"/>
          <w:color w:val="auto"/>
        </w:rPr>
      </w:pPr>
      <w:r>
        <w:rPr>
          <w:rFonts w:ascii="Arial" w:cs="Arial" w:eastAsia="Arial" w:hAnsi="Arial"/>
          <w:sz w:val="18"/>
          <w:szCs w:val="18"/>
          <w:color w:val="auto"/>
        </w:rPr>
        <w:t>Significant payers are those which represent more than 10% of the Company's total revenue or accounts receivable balance at each respective balance sheet date. For each significant payer, revenue as a percentage of total revenue and accounts receivable as a percentage of total accounts receivable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Revenue</w:t>
            </w: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40"/>
        </w:trPr>
        <w:tc>
          <w:tcPr>
            <w:tcW w:w="5880" w:type="dxa"/>
            <w:vAlign w:val="bottom"/>
          </w:tcPr>
          <w:p>
            <w:pPr>
              <w:spacing w:after="0"/>
              <w:rPr>
                <w:sz w:val="12"/>
                <w:szCs w:val="12"/>
                <w:color w:val="auto"/>
              </w:rPr>
            </w:pPr>
          </w:p>
        </w:tc>
        <w:tc>
          <w:tcPr>
            <w:tcW w:w="2220" w:type="dxa"/>
            <w:vAlign w:val="bottom"/>
            <w:gridSpan w:val="4"/>
          </w:tcPr>
          <w:p>
            <w:pPr>
              <w:jc w:val="center"/>
              <w:ind w:left="437"/>
              <w:spacing w:after="0" w:line="140" w:lineRule="exact"/>
              <w:rPr>
                <w:sz w:val="20"/>
                <w:szCs w:val="20"/>
                <w:color w:val="auto"/>
              </w:rPr>
            </w:pPr>
            <w:r>
              <w:rPr>
                <w:rFonts w:ascii="Arial" w:cs="Arial" w:eastAsia="Arial" w:hAnsi="Arial"/>
                <w:sz w:val="13"/>
                <w:szCs w:val="13"/>
                <w:b w:val="1"/>
                <w:bCs w:val="1"/>
                <w:color w:val="auto"/>
                <w:w w:val="96"/>
              </w:rPr>
              <w:t>Three Months Ended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40" w:type="dxa"/>
            <w:vAlign w:val="bottom"/>
            <w:gridSpan w:val="4"/>
          </w:tcPr>
          <w:p>
            <w:pPr>
              <w:jc w:val="center"/>
              <w:ind w:right="275"/>
              <w:spacing w:after="0" w:line="140" w:lineRule="exact"/>
              <w:rPr>
                <w:sz w:val="20"/>
                <w:szCs w:val="20"/>
                <w:color w:val="auto"/>
              </w:rPr>
            </w:pPr>
            <w:r>
              <w:rPr>
                <w:rFonts w:ascii="Arial" w:cs="Arial" w:eastAsia="Arial" w:hAnsi="Arial"/>
                <w:sz w:val="13"/>
                <w:szCs w:val="13"/>
                <w:b w:val="1"/>
                <w:bCs w:val="1"/>
                <w:color w:val="auto"/>
                <w:w w:val="97"/>
              </w:rPr>
              <w:t>Nine Months Ended</w:t>
            </w:r>
          </w:p>
        </w:tc>
      </w:tr>
      <w:tr>
        <w:trPr>
          <w:trHeight w:val="178"/>
        </w:trPr>
        <w:tc>
          <w:tcPr>
            <w:tcW w:w="58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277"/>
              <w:spacing w:after="0"/>
              <w:rPr>
                <w:sz w:val="20"/>
                <w:szCs w:val="20"/>
                <w:color w:val="auto"/>
              </w:rPr>
            </w:pPr>
            <w:r>
              <w:rPr>
                <w:rFonts w:ascii="Arial" w:cs="Arial" w:eastAsia="Arial" w:hAnsi="Arial"/>
                <w:sz w:val="13"/>
                <w:szCs w:val="13"/>
                <w:b w:val="1"/>
                <w:bCs w:val="1"/>
                <w:color w:val="auto"/>
                <w:w w:val="96"/>
              </w:rPr>
              <w:t>September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3"/>
                <w:szCs w:val="13"/>
                <w:b w:val="1"/>
                <w:bCs w:val="1"/>
                <w:color w:val="auto"/>
                <w:w w:val="96"/>
              </w:rPr>
              <w:t>September 30,</w:t>
            </w:r>
          </w:p>
        </w:tc>
        <w:tc>
          <w:tcPr>
            <w:tcW w:w="860" w:type="dxa"/>
            <w:vAlign w:val="bottom"/>
            <w:tcBorders>
              <w:bottom w:val="single" w:sz="8" w:color="auto"/>
            </w:tcBorders>
          </w:tcPr>
          <w:p>
            <w:pPr>
              <w:spacing w:after="0"/>
              <w:rPr>
                <w:sz w:val="15"/>
                <w:szCs w:val="15"/>
                <w:color w:val="auto"/>
              </w:rPr>
            </w:pPr>
          </w:p>
        </w:tc>
      </w:tr>
      <w:tr>
        <w:trPr>
          <w:trHeight w:val="196"/>
        </w:trPr>
        <w:tc>
          <w:tcPr>
            <w:tcW w:w="58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3"/>
                <w:szCs w:val="13"/>
                <w:b w:val="1"/>
                <w:bCs w:val="1"/>
                <w:color w:val="auto"/>
              </w:rPr>
              <w:t>2018</w:t>
            </w:r>
          </w:p>
        </w:tc>
      </w:tr>
      <w:tr>
        <w:trPr>
          <w:trHeight w:val="257"/>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5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Blue Shield</w:t>
            </w:r>
          </w:p>
        </w:tc>
        <w:tc>
          <w:tcPr>
            <w:tcW w:w="4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6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Healthcare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Medicare Advantage</w:t>
            </w:r>
          </w:p>
        </w:tc>
        <w:tc>
          <w:tcPr>
            <w:tcW w:w="48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03"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8"/>
        </w:trPr>
        <w:tc>
          <w:tcPr>
            <w:tcW w:w="8100" w:type="dxa"/>
            <w:vAlign w:val="bottom"/>
          </w:tcPr>
          <w:p>
            <w:pPr>
              <w:spacing w:after="0"/>
              <w:rPr>
                <w:sz w:val="15"/>
                <w:szCs w:val="15"/>
                <w:color w:val="auto"/>
              </w:rPr>
            </w:pPr>
          </w:p>
        </w:tc>
        <w:tc>
          <w:tcPr>
            <w:tcW w:w="310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3"/>
                <w:szCs w:val="13"/>
                <w:b w:val="1"/>
                <w:bCs w:val="1"/>
                <w:color w:val="auto"/>
              </w:rPr>
              <w:t>Accounts Receivable</w:t>
            </w:r>
          </w:p>
        </w:tc>
        <w:tc>
          <w:tcPr>
            <w:tcW w:w="200" w:type="dxa"/>
            <w:vAlign w:val="bottom"/>
            <w:tcBorders>
              <w:bottom w:val="single" w:sz="8" w:color="auto"/>
            </w:tcBorders>
          </w:tcPr>
          <w:p>
            <w:pPr>
              <w:spacing w:after="0"/>
              <w:rPr>
                <w:sz w:val="15"/>
                <w:szCs w:val="15"/>
                <w:color w:val="auto"/>
              </w:rPr>
            </w:pPr>
          </w:p>
        </w:tc>
      </w:tr>
      <w:tr>
        <w:trPr>
          <w:trHeight w:val="412"/>
        </w:trPr>
        <w:tc>
          <w:tcPr>
            <w:tcW w:w="810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September 30, 2019</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2018</w:t>
            </w:r>
          </w:p>
        </w:tc>
        <w:tc>
          <w:tcPr>
            <w:tcW w:w="200" w:type="dxa"/>
            <w:vAlign w:val="bottom"/>
            <w:tcBorders>
              <w:bottom w:val="single" w:sz="8" w:color="auto"/>
            </w:tcBorders>
          </w:tcPr>
          <w:p>
            <w:pPr>
              <w:spacing w:after="0"/>
              <w:rPr>
                <w:sz w:val="24"/>
                <w:szCs w:val="24"/>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50"/>
        </w:trPr>
        <w:tc>
          <w:tcPr>
            <w:tcW w:w="8100" w:type="dxa"/>
            <w:vAlign w:val="bottom"/>
          </w:tcPr>
          <w:p>
            <w:pPr>
              <w:ind w:left="20"/>
              <w:spacing w:after="0"/>
              <w:rPr>
                <w:sz w:val="20"/>
                <w:szCs w:val="20"/>
                <w:color w:val="auto"/>
              </w:rPr>
            </w:pPr>
            <w:r>
              <w:rPr>
                <w:rFonts w:ascii="Arial" w:cs="Arial" w:eastAsia="Arial" w:hAnsi="Arial"/>
                <w:sz w:val="18"/>
                <w:szCs w:val="18"/>
                <w:color w:val="auto"/>
              </w:rPr>
              <w:t>Blue Shield</w:t>
            </w: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6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Healthcare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Medicare Advantage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11 %</w:t>
            </w:r>
          </w:p>
        </w:tc>
      </w:tr>
    </w:tbl>
    <w:p>
      <w:pPr>
        <w:spacing w:after="0" w:line="229" w:lineRule="exact"/>
        <w:rPr>
          <w:sz w:val="20"/>
          <w:szCs w:val="20"/>
          <w:color w:val="auto"/>
        </w:rPr>
      </w:pPr>
    </w:p>
    <w:p>
      <w:pPr>
        <w:jc w:val="both"/>
        <w:ind w:right="200" w:firstLine="446"/>
        <w:spacing w:after="0" w:line="245" w:lineRule="auto"/>
        <w:rPr>
          <w:sz w:val="20"/>
          <w:szCs w:val="20"/>
          <w:color w:val="auto"/>
        </w:rPr>
      </w:pPr>
      <w:r>
        <w:rPr>
          <w:rFonts w:ascii="Arial" w:cs="Arial" w:eastAsia="Arial" w:hAnsi="Arial"/>
          <w:sz w:val="18"/>
          <w:szCs w:val="18"/>
          <w:color w:val="auto"/>
        </w:rPr>
        <w:t>For the three months ended September 30, 2019 and 2018, approximately 83%, and 86%, respectively, of the Company's revenue was related to the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 For the nine months ended September 30, 2019 and 2018, approximately 83% and 86%, respectively, of the Company's revenue was related to the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w:t>
      </w:r>
    </w:p>
    <w:p>
      <w:pPr>
        <w:spacing w:after="0" w:line="160" w:lineRule="exact"/>
        <w:rPr>
          <w:sz w:val="20"/>
          <w:szCs w:val="20"/>
          <w:color w:val="auto"/>
        </w:rPr>
      </w:pPr>
    </w:p>
    <w:p>
      <w:pPr>
        <w:ind w:right="580" w:firstLine="446"/>
        <w:spacing w:after="0" w:line="262" w:lineRule="auto"/>
        <w:rPr>
          <w:sz w:val="20"/>
          <w:szCs w:val="20"/>
          <w:color w:val="auto"/>
        </w:rPr>
      </w:pPr>
      <w:r>
        <w:rPr>
          <w:rFonts w:ascii="Arial" w:cs="Arial" w:eastAsia="Arial" w:hAnsi="Arial"/>
          <w:sz w:val="18"/>
          <w:szCs w:val="18"/>
          <w:color w:val="auto"/>
        </w:rPr>
        <w:t>The Company is dependent on key suppliers for certain laboratory materials. An interruption in the supply of these materials would temporarily impact the Company's ability to perform testing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includes the Company's revenues as disaggregated by payer category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3140" w:type="dxa"/>
            <w:vAlign w:val="bottom"/>
            <w:gridSpan w:val="6"/>
          </w:tcPr>
          <w:p>
            <w:pPr>
              <w:ind w:left="440"/>
              <w:spacing w:after="0"/>
              <w:rPr>
                <w:sz w:val="20"/>
                <w:szCs w:val="20"/>
                <w:color w:val="auto"/>
              </w:rPr>
            </w:pPr>
            <w:r>
              <w:rPr>
                <w:rFonts w:ascii="Arial" w:cs="Arial" w:eastAsia="Arial" w:hAnsi="Arial"/>
                <w:sz w:val="13"/>
                <w:szCs w:val="13"/>
                <w:b w:val="1"/>
                <w:bCs w:val="1"/>
                <w:color w:val="auto"/>
              </w:rPr>
              <w:t>Three Months Ended September 30,</w:t>
            </w:r>
          </w:p>
        </w:tc>
        <w:tc>
          <w:tcPr>
            <w:tcW w:w="280" w:type="dxa"/>
            <w:vAlign w:val="bottom"/>
          </w:tcPr>
          <w:p>
            <w:pPr>
              <w:spacing w:after="0"/>
              <w:rPr>
                <w:sz w:val="15"/>
                <w:szCs w:val="15"/>
                <w:color w:val="auto"/>
              </w:rPr>
            </w:pPr>
          </w:p>
        </w:tc>
        <w:tc>
          <w:tcPr>
            <w:tcW w:w="2740" w:type="dxa"/>
            <w:vAlign w:val="bottom"/>
            <w:gridSpan w:val="4"/>
          </w:tcPr>
          <w:p>
            <w:pPr>
              <w:jc w:val="right"/>
              <w:ind w:right="409"/>
              <w:spacing w:after="0"/>
              <w:rPr>
                <w:sz w:val="20"/>
                <w:szCs w:val="20"/>
                <w:color w:val="auto"/>
              </w:rPr>
            </w:pPr>
            <w:r>
              <w:rPr>
                <w:rFonts w:ascii="Arial" w:cs="Arial" w:eastAsia="Arial" w:hAnsi="Arial"/>
                <w:sz w:val="13"/>
                <w:szCs w:val="13"/>
                <w:b w:val="1"/>
                <w:bCs w:val="1"/>
                <w:color w:val="auto"/>
              </w:rPr>
              <w:t>Nine Months Ended September 30,</w:t>
            </w:r>
          </w:p>
        </w:tc>
      </w:tr>
      <w:tr>
        <w:trPr>
          <w:trHeight w:val="196"/>
        </w:trPr>
        <w:tc>
          <w:tcPr>
            <w:tcW w:w="52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rPr>
              <w:t>2018</w:t>
            </w: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880" w:type="dxa"/>
            <w:vAlign w:val="bottom"/>
          </w:tcPr>
          <w:p>
            <w:pPr>
              <w:jc w:val="right"/>
              <w:ind w:right="713"/>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6,188</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9"/>
              <w:spacing w:after="0"/>
              <w:rPr>
                <w:sz w:val="20"/>
                <w:szCs w:val="20"/>
                <w:color w:val="auto"/>
              </w:rPr>
            </w:pPr>
            <w:r>
              <w:rPr>
                <w:rFonts w:ascii="Arial" w:cs="Arial" w:eastAsia="Arial" w:hAnsi="Arial"/>
                <w:sz w:val="14"/>
                <w:szCs w:val="14"/>
                <w:color w:val="auto"/>
              </w:rPr>
              <w:t>5,408</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0"/>
              <w:spacing w:after="0"/>
              <w:rPr>
                <w:sz w:val="20"/>
                <w:szCs w:val="20"/>
                <w:color w:val="auto"/>
              </w:rPr>
            </w:pPr>
            <w:r>
              <w:rPr>
                <w:rFonts w:ascii="Arial" w:cs="Arial" w:eastAsia="Arial" w:hAnsi="Arial"/>
                <w:sz w:val="14"/>
                <w:szCs w:val="14"/>
                <w:color w:val="auto"/>
              </w:rPr>
              <w:t>17,716</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15,023</w:t>
            </w: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7,964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7,013</w:t>
            </w: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Client</w:t>
            </w:r>
          </w:p>
        </w:tc>
        <w:tc>
          <w:tcPr>
            <w:tcW w:w="880" w:type="dxa"/>
            <w:vAlign w:val="bottom"/>
          </w:tcPr>
          <w:p>
            <w:pPr>
              <w:spacing w:after="0"/>
              <w:rPr>
                <w:sz w:val="18"/>
                <w:szCs w:val="18"/>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1,007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89"/>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428</w:t>
            </w: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Other(1)</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335</w:t>
            </w:r>
          </w:p>
        </w:tc>
      </w:tr>
      <w:tr>
        <w:trPr>
          <w:trHeight w:val="216"/>
        </w:trPr>
        <w:tc>
          <w:tcPr>
            <w:tcW w:w="5200" w:type="dxa"/>
            <w:vAlign w:val="bottom"/>
          </w:tcPr>
          <w:p>
            <w:pPr>
              <w:ind w:left="20"/>
              <w:spacing w:after="0"/>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880" w:type="dxa"/>
            <w:vAlign w:val="bottom"/>
          </w:tcPr>
          <w:p>
            <w:pPr>
              <w:spacing w:after="0"/>
              <w:rPr>
                <w:sz w:val="18"/>
                <w:szCs w:val="18"/>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9"/>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88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7"/>
              </w:rPr>
              <w:t>10,439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8,223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30,173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22,799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4"/>
          <w:szCs w:val="14"/>
          <w:color w:val="auto"/>
        </w:rPr>
        <w:t>(1)</w:t>
        <w:tab/>
        <w:t>Includes patient self-pay that is immaterial</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2"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The carrying value of the Company's cash and cash equivalents, other assets and accrued liabilities approximate fair value due to the short-term nature of these items. Based on the borrowing rates currently available to the Company for debt with similar terms and consideration of default and credit risk, the carrying value of the Company's long-term borrowings approximates its fair value, which is considered a Level 2 input.</w:t>
      </w:r>
    </w:p>
    <w:p>
      <w:pPr>
        <w:spacing w:after="0" w:line="204" w:lineRule="exact"/>
        <w:rPr>
          <w:sz w:val="20"/>
          <w:szCs w:val="20"/>
          <w:color w:val="auto"/>
        </w:rPr>
      </w:pPr>
    </w:p>
    <w:p>
      <w:pPr>
        <w:ind w:right="40" w:firstLine="446"/>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left="1700" w:right="40" w:hanging="1296"/>
        <w:spacing w:after="0" w:line="256" w:lineRule="auto"/>
        <w:rPr>
          <w:sz w:val="20"/>
          <w:szCs w:val="20"/>
          <w:color w:val="auto"/>
        </w:rPr>
      </w:pPr>
      <w:r>
        <w:rPr>
          <w:rFonts w:ascii="Arial" w:cs="Arial" w:eastAsia="Arial" w:hAnsi="Arial"/>
          <w:sz w:val="18"/>
          <w:szCs w:val="18"/>
          <w:color w:val="auto"/>
        </w:rPr>
        <w:t>Level 2 -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3 - Unobservable inputs that are supported by little or no market activity for the related assets or liabilities.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10" w:name="page11"/>
    <w:bookmarkEnd w:id="10"/>
    <w:p>
      <w:pPr>
        <w:ind w:right="200" w:firstLine="446"/>
        <w:spacing w:after="0" w:line="262"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96" w:lineRule="exact"/>
        <w:rPr>
          <w:sz w:val="20"/>
          <w:szCs w:val="20"/>
          <w:color w:val="auto"/>
        </w:rPr>
      </w:pPr>
    </w:p>
    <w:p>
      <w:pPr>
        <w:ind w:right="300" w:firstLine="446"/>
        <w:spacing w:after="0" w:line="256" w:lineRule="auto"/>
        <w:rPr>
          <w:sz w:val="20"/>
          <w:szCs w:val="20"/>
          <w:color w:val="auto"/>
        </w:rPr>
      </w:pPr>
      <w:r>
        <w:rPr>
          <w:rFonts w:ascii="Arial" w:cs="Arial" w:eastAsia="Arial" w:hAnsi="Arial"/>
          <w:sz w:val="18"/>
          <w:szCs w:val="18"/>
          <w:color w:val="auto"/>
        </w:rPr>
        <w:t>The Company's redeemable convertible preferred stock warrant liabilities were measured at fair value on a recurring basis and were classified as Level 3 liabilities. The Company recorded subsequent adjustments to reflect the increase or decrease in estimated fair value at each reporting date in current period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99" w:lineRule="exact"/>
        <w:rPr>
          <w:sz w:val="20"/>
          <w:szCs w:val="20"/>
          <w:color w:val="auto"/>
        </w:rPr>
      </w:pPr>
    </w:p>
    <w:p>
      <w:pPr>
        <w:ind w:firstLine="446"/>
        <w:spacing w:after="0" w:line="262"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96" w:lineRule="exact"/>
        <w:rPr>
          <w:sz w:val="20"/>
          <w:szCs w:val="20"/>
          <w:color w:val="auto"/>
        </w:rPr>
      </w:pPr>
    </w:p>
    <w:p>
      <w:pPr>
        <w:ind w:right="180" w:firstLine="446"/>
        <w:spacing w:after="0" w:line="252" w:lineRule="auto"/>
        <w:rPr>
          <w:sz w:val="20"/>
          <w:szCs w:val="20"/>
          <w:color w:val="auto"/>
        </w:rPr>
      </w:pPr>
      <w:r>
        <w:rPr>
          <w:rFonts w:ascii="Arial" w:cs="Arial" w:eastAsia="Arial" w:hAnsi="Arial"/>
          <w:sz w:val="18"/>
          <w:szCs w:val="18"/>
          <w:color w:val="auto"/>
        </w:rPr>
        <w:t>In 2016, the Company entered into an arrangement with a financial institution with which it has an existing banking relationship whereby in exchange for the issuance of corporate credit cards, the Company agreed to obtain a $0.1 million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209" w:lineRule="exact"/>
        <w:rPr>
          <w:sz w:val="20"/>
          <w:szCs w:val="20"/>
          <w:color w:val="auto"/>
        </w:rPr>
      </w:pPr>
    </w:p>
    <w:p>
      <w:pPr>
        <w:ind w:right="180" w:firstLine="446"/>
        <w:spacing w:after="0" w:line="262"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80" w:type="dxa"/>
            <w:vAlign w:val="bottom"/>
          </w:tcPr>
          <w:p>
            <w:pPr>
              <w:spacing w:after="0"/>
              <w:rPr>
                <w:sz w:val="17"/>
                <w:szCs w:val="17"/>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2019</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8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77,828</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13,164</w:t>
            </w:r>
          </w:p>
        </w:tc>
      </w:tr>
      <w:tr>
        <w:trPr>
          <w:trHeight w:val="25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w:t>
            </w:r>
          </w:p>
        </w:tc>
      </w:tr>
      <w:tr>
        <w:trPr>
          <w:trHeight w:val="275"/>
        </w:trPr>
        <w:tc>
          <w:tcPr>
            <w:tcW w:w="83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77,928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13,264</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2" w:lineRule="exact"/>
        <w:rPr>
          <w:sz w:val="20"/>
          <w:szCs w:val="20"/>
          <w:color w:val="auto"/>
        </w:rPr>
      </w:pPr>
    </w:p>
    <w:p>
      <w:pPr>
        <w:ind w:right="280" w:firstLine="446"/>
        <w:spacing w:after="0" w:line="256" w:lineRule="auto"/>
        <w:rPr>
          <w:sz w:val="20"/>
          <w:szCs w:val="20"/>
          <w:color w:val="auto"/>
        </w:rPr>
      </w:pPr>
      <w:r>
        <w:rPr>
          <w:rFonts w:ascii="Arial" w:cs="Arial" w:eastAsia="Arial" w:hAnsi="Arial"/>
          <w:sz w:val="18"/>
          <w:szCs w:val="18"/>
          <w:color w:val="auto"/>
        </w:rPr>
        <w:t>As of December 31, 2018, the Company deferred offering costs of $0.4 million consisting of legal, accounting and other fees and costs directly attributable to its IPO, which are recorded within other assets in the accompanying condensed balance sheet. As of September 30, 2019, the deferred offering costs were offset against the proceeds received upon the completion of the IPO.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99"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Prior to the completion of the IPO, the Company had multiple classes of redeemable convertible preferred stock, all of which were classified as temporary equity in the accompanying condensed balance sheet as the redemption of the shares were outside of the Company's control. Redeemable convertible preferred stock which was redeemable on or after a certain date at the option of the holder was accreted to its redemption value from the date of issuance to the earliest redemption date.</w:t>
      </w:r>
    </w:p>
    <w:p>
      <w:pPr>
        <w:spacing w:after="0" w:line="56" w:lineRule="exact"/>
        <w:rPr>
          <w:sz w:val="20"/>
          <w:szCs w:val="20"/>
          <w:color w:val="auto"/>
        </w:rPr>
      </w:pPr>
    </w:p>
    <w:p>
      <w:pPr>
        <w:ind w:right="220" w:firstLine="446"/>
        <w:spacing w:after="0" w:line="262" w:lineRule="auto"/>
        <w:rPr>
          <w:sz w:val="20"/>
          <w:szCs w:val="20"/>
          <w:color w:val="auto"/>
        </w:rPr>
      </w:pPr>
      <w:r>
        <w:rPr>
          <w:rFonts w:ascii="Arial" w:cs="Arial" w:eastAsia="Arial" w:hAnsi="Arial"/>
          <w:sz w:val="18"/>
          <w:szCs w:val="18"/>
          <w:color w:val="auto"/>
        </w:rPr>
        <w:t>In connection with the completion of the IPO in September 2019, all outstanding shares of redeemable convertible preferred stock were automatically converted into an aggregate of 7,816,643 shares of common stock, excluding warrant conversions.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12"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Prior to the completion of the IPO, the Company accounted for its redeemable convertible preferred stock warrants as liabilities based upon the characteristics and provisions of each instrument. The redeemable convertible preferred stock warrants were recorded at their fair value on the date of issuance and were revalued on each subsequent balance sheet date, with fair value changes recognized as increases or reductions in the statements of operations. Upon the completion of the IPO, all remaining outstanding warrants to purchase shares of redeemable convertible preferred stock were automatically converted into warrants to purchase shares of common stock. As such, the warrants no longer require liability accounting and the then fair value of the warrant liability was reclassified into stockholders’ equity.</w:t>
      </w:r>
    </w:p>
    <w:p>
      <w:pPr>
        <w:spacing w:after="0" w:line="60" w:lineRule="exact"/>
        <w:rPr>
          <w:sz w:val="20"/>
          <w:szCs w:val="20"/>
          <w:color w:val="auto"/>
        </w:rPr>
      </w:pPr>
    </w:p>
    <w:p>
      <w:pPr>
        <w:ind w:right="680" w:firstLine="446"/>
        <w:spacing w:after="0" w:line="262" w:lineRule="auto"/>
        <w:rPr>
          <w:sz w:val="20"/>
          <w:szCs w:val="20"/>
          <w:color w:val="auto"/>
        </w:rPr>
      </w:pPr>
      <w:r>
        <w:rPr>
          <w:rFonts w:ascii="Arial" w:cs="Arial" w:eastAsia="Arial" w:hAnsi="Arial"/>
          <w:sz w:val="18"/>
          <w:szCs w:val="18"/>
          <w:color w:val="auto"/>
        </w:rPr>
        <w:t>The Company performed the final remeasurement of the warrant liabilities as of the IPO closing date. See Note 7 for the amounts associated with the fair value measurements and Note 5 for further discussion on the remaining warrants.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9"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(the Payers) consist of healthcare insurers, government payers (primarily Medicare and Medicaid), client payers (i.e., hospitals, other laboratories, etc.), and patient self-pay. The Company's service is a single performance obligation that is completed upon the delivery of test results to the prescribing physician which triggers revenue recognition</w:t>
      </w:r>
    </w:p>
    <w:p>
      <w:pPr>
        <w:spacing w:after="0" w:line="207"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Payers are billed at the Company's list price. Net revenues recognized consist of amounts billed net of allowances for differences between amounts billed and the estimated consideration the Company expects to receive from such payers.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is recorded upon settlement. The transaction price is estimated using an expected value method on a portfolio basis. The Company's portfolios are grouped per payer (i.e. each individual third-party insurance, Medicare, client payers, patient self-pay, etc.) and per test basis.</w:t>
      </w:r>
    </w:p>
    <w:p>
      <w:pPr>
        <w:spacing w:after="0" w:line="206" w:lineRule="exact"/>
        <w:rPr>
          <w:sz w:val="20"/>
          <w:szCs w:val="20"/>
          <w:color w:val="auto"/>
        </w:rPr>
      </w:pPr>
    </w:p>
    <w:p>
      <w:pPr>
        <w:ind w:right="20" w:firstLine="446"/>
        <w:spacing w:after="0" w:line="256" w:lineRule="auto"/>
        <w:rPr>
          <w:sz w:val="20"/>
          <w:szCs w:val="20"/>
          <w:color w:val="auto"/>
        </w:rPr>
      </w:pPr>
      <w:r>
        <w:rPr>
          <w:rFonts w:ascii="Arial" w:cs="Arial" w:eastAsia="Arial" w:hAnsi="Arial"/>
          <w:sz w:val="18"/>
          <w:szCs w:val="18"/>
          <w:color w:val="auto"/>
        </w:rPr>
        <w:t>Collection of the Company's net revenues from payers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84" w:lineRule="exact"/>
        <w:rPr>
          <w:sz w:val="20"/>
          <w:szCs w:val="20"/>
          <w:color w:val="auto"/>
        </w:rPr>
      </w:pPr>
    </w:p>
    <w:p>
      <w:pPr>
        <w:ind w:right="20" w:firstLine="446"/>
        <w:spacing w:after="0" w:line="313" w:lineRule="auto"/>
        <w:rPr>
          <w:sz w:val="20"/>
          <w:szCs w:val="20"/>
          <w:color w:val="auto"/>
        </w:rPr>
      </w:pPr>
      <w:r>
        <w:rPr>
          <w:rFonts w:ascii="Arial" w:cs="Arial" w:eastAsia="Arial" w:hAnsi="Arial"/>
          <w:sz w:val="17"/>
          <w:szCs w:val="17"/>
          <w:color w:val="auto"/>
        </w:rPr>
        <w:t xml:space="preserve">The Company early adopted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as of January 1, 2018 using a cumulative-effect adjustment to the opening balance of accumulated deficit and accounts receivable of $3.1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108" w:lineRule="exact"/>
        <w:rPr>
          <w:sz w:val="20"/>
          <w:szCs w:val="20"/>
          <w:color w:val="auto"/>
        </w:rPr>
      </w:pPr>
    </w:p>
    <w:p>
      <w:pPr>
        <w:ind w:right="400" w:firstLine="446"/>
        <w:spacing w:after="0" w:line="231" w:lineRule="auto"/>
        <w:rPr>
          <w:sz w:val="20"/>
          <w:szCs w:val="20"/>
          <w:color w:val="auto"/>
        </w:rPr>
      </w:pPr>
      <w:r>
        <w:rPr>
          <w:rFonts w:ascii="Arial" w:cs="Arial" w:eastAsia="Arial" w:hAnsi="Arial"/>
          <w:sz w:val="18"/>
          <w:szCs w:val="18"/>
          <w:color w:val="auto"/>
        </w:rPr>
        <w:t>In December 2018, the Company entered into a co-promotion agreement with Janssen (the Janssen agreement) to co-promote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United States. The Company recognized revenue of approximately $0.4 million and $0.8 million during the three and nine months ended September 30, 2019, respectively. The related expenses for marketing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included in selling, general and administrative expenses and are expensed as incurred.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9" w:lineRule="exact"/>
        <w:rPr>
          <w:sz w:val="20"/>
          <w:szCs w:val="20"/>
          <w:color w:val="auto"/>
        </w:rPr>
      </w:pPr>
    </w:p>
    <w:p>
      <w:pPr>
        <w:jc w:val="both"/>
        <w:ind w:right="20" w:firstLine="446"/>
        <w:spacing w:after="0" w:line="256"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$0.4 million for the three months ended September 30, 2019 and 2018, and $1.1 million for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and are included in selling, general and administrative expenses in the accompanying condensed statements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2" w:lineRule="exact"/>
        <w:rPr>
          <w:sz w:val="20"/>
          <w:szCs w:val="20"/>
          <w:color w:val="auto"/>
        </w:rPr>
      </w:pPr>
    </w:p>
    <w:p>
      <w:pPr>
        <w:ind w:right="140" w:firstLine="446"/>
        <w:spacing w:after="0" w:line="256"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totaled approximately $ 0.4 million and $0.3 million for the three months ended September 30, 2019 and 2018, respectively, and $1.1 million and $0.9 million for the nine months ended September 30, 2019 and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9" w:lineRule="exact"/>
        <w:rPr>
          <w:sz w:val="20"/>
          <w:szCs w:val="20"/>
          <w:color w:val="auto"/>
        </w:rPr>
      </w:pPr>
    </w:p>
    <w:p>
      <w:pPr>
        <w:ind w:right="700" w:firstLine="446"/>
        <w:spacing w:after="0" w:line="262"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3" w:right="239" w:bottom="1440" w:gutter="0" w:footer="0" w:header="0"/>
        </w:sectPr>
      </w:pPr>
    </w:p>
    <w:bookmarkStart w:id="12" w:name="page13"/>
    <w:bookmarkEnd w:id="12"/>
    <w:p>
      <w:pPr>
        <w:spacing w:after="0" w:line="256" w:lineRule="auto"/>
        <w:rPr>
          <w:sz w:val="20"/>
          <w:szCs w:val="20"/>
          <w:color w:val="auto"/>
        </w:rPr>
      </w:pPr>
      <w:r>
        <w:rPr>
          <w:rFonts w:ascii="Arial" w:cs="Arial" w:eastAsia="Arial" w:hAnsi="Arial"/>
          <w:sz w:val="18"/>
          <w:szCs w:val="18"/>
          <w:color w:val="auto"/>
        </w:rPr>
        <w:t>period) on a straight-line basis. The fair value of stock options is determined using the Black-Scholes-Merton (BSM) option pricing model, which requires management to make certain assumptions regarding a number of complex and subjective variables. Equity award forfeitures are recorded as they occur.</w:t>
      </w:r>
    </w:p>
    <w:p>
      <w:pPr>
        <w:spacing w:after="0" w:line="202"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This decision was based on the lack of relevant historical data due to the Company's limited historical experience. In addition, due to the Company's limited historical data, the estimated volatility incorporates the historical volatility over the expected term of the award of comparable companies whose share prices are publicly available. The risk-free interest rate for periods within the contractual term of the option is based on the U.S. Treasury yield in effect at the time of grant. The dividend yield was zero, as the Company has never declared or paid dividends and has no plans to do so in the foreseeable future.</w:t>
      </w:r>
    </w:p>
    <w:p>
      <w:pPr>
        <w:spacing w:after="0" w:line="207" w:lineRule="exact"/>
        <w:rPr>
          <w:sz w:val="20"/>
          <w:szCs w:val="20"/>
          <w:color w:val="auto"/>
        </w:rPr>
      </w:pPr>
    </w:p>
    <w:p>
      <w:pPr>
        <w:ind w:right="100" w:firstLine="446"/>
        <w:spacing w:after="0" w:line="253" w:lineRule="auto"/>
        <w:rPr>
          <w:sz w:val="20"/>
          <w:szCs w:val="20"/>
          <w:color w:val="auto"/>
        </w:rPr>
      </w:pPr>
      <w:r>
        <w:rPr>
          <w:rFonts w:ascii="Arial" w:cs="Arial" w:eastAsia="Arial" w:hAnsi="Arial"/>
          <w:sz w:val="18"/>
          <w:szCs w:val="18"/>
          <w:color w:val="auto"/>
        </w:rPr>
        <w:t>Upon the effective date of the IPO, the Company began using the closing price of its common stock as the fair value of its common stock on the corresponding date. Prior to the completion of the IPO in September 2019, due to the absence of a public market for the Company's common stock, it was necessary to estimate the fair value of the common stock underlying the Company's stock-based awards when performing fair value calculations using the BSM option pricing model. The fair value of the common stock underlying the Company's stock-based awards was assessed on each grant date by the Company's board of directors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2" w:lineRule="exact"/>
        <w:rPr>
          <w:sz w:val="20"/>
          <w:szCs w:val="20"/>
          <w:color w:val="auto"/>
        </w:rPr>
      </w:pPr>
    </w:p>
    <w:p>
      <w:pPr>
        <w:ind w:right="100" w:firstLine="446"/>
        <w:spacing w:after="0" w:line="256"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99"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Potentially dilutive common stock equivalents are comprised of redeemable convertible preferred stock, warrants for the purchase of redeemable convertible preferred and common stock and options outstanding under the Company's stock option plans. For the three and nine months ended September 30, 2019 and 2018, there is no difference in the number of shares used to calculate basic and diluted shares outstanding as the inclusion of the potentially dilutive securities would be antidilutive.</w:t>
      </w:r>
    </w:p>
    <w:p>
      <w:pPr>
        <w:spacing w:after="0" w:line="206" w:lineRule="exact"/>
        <w:rPr>
          <w:sz w:val="20"/>
          <w:szCs w:val="20"/>
          <w:color w:val="auto"/>
        </w:rPr>
      </w:pPr>
    </w:p>
    <w:p>
      <w:pPr>
        <w:ind w:right="340" w:firstLine="446"/>
        <w:spacing w:after="0" w:line="262"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354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44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380" w:type="dxa"/>
            <w:vAlign w:val="bottom"/>
            <w:tcBorders>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2018</w:t>
            </w:r>
          </w:p>
        </w:tc>
      </w:tr>
      <w:tr>
        <w:trPr>
          <w:trHeight w:val="216"/>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5,202,940</w:t>
            </w:r>
          </w:p>
        </w:tc>
        <w:tc>
          <w:tcPr>
            <w:tcW w:w="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5,202,940</w:t>
            </w:r>
          </w:p>
        </w:tc>
      </w:tr>
      <w:tr>
        <w:trPr>
          <w:trHeight w:val="210"/>
        </w:trPr>
        <w:tc>
          <w:tcPr>
            <w:tcW w:w="4380" w:type="dxa"/>
            <w:vAlign w:val="bottom"/>
          </w:tcPr>
          <w:p>
            <w:pPr>
              <w:ind w:left="20"/>
              <w:spacing w:after="0"/>
              <w:rPr>
                <w:sz w:val="20"/>
                <w:szCs w:val="20"/>
                <w:color w:val="auto"/>
              </w:rPr>
            </w:pPr>
            <w:r>
              <w:rPr>
                <w:rFonts w:ascii="Arial" w:cs="Arial" w:eastAsia="Arial" w:hAnsi="Arial"/>
                <w:sz w:val="14"/>
                <w:szCs w:val="14"/>
                <w:color w:val="auto"/>
              </w:rPr>
              <w:t>Warrants to purchase redeemable convertible preferred stock</w:t>
            </w:r>
          </w:p>
        </w:tc>
        <w:tc>
          <w:tcPr>
            <w:tcW w:w="1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203,549</w:t>
            </w:r>
          </w:p>
        </w:tc>
        <w:tc>
          <w:tcPr>
            <w:tcW w:w="10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8"/>
              <w:spacing w:after="0"/>
              <w:rPr>
                <w:sz w:val="20"/>
                <w:szCs w:val="20"/>
                <w:color w:val="auto"/>
              </w:rPr>
            </w:pPr>
            <w:r>
              <w:rPr>
                <w:rFonts w:ascii="Arial" w:cs="Arial" w:eastAsia="Arial" w:hAnsi="Arial"/>
                <w:sz w:val="14"/>
                <w:szCs w:val="14"/>
                <w:color w:val="auto"/>
              </w:rPr>
              <w:t>203,549</w:t>
            </w:r>
          </w:p>
        </w:tc>
      </w:tr>
      <w:tr>
        <w:trPr>
          <w:trHeight w:val="222"/>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461,273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934,789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461,273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934,789</w:t>
            </w:r>
          </w:p>
        </w:tc>
      </w:tr>
      <w:tr>
        <w:trPr>
          <w:trHeight w:val="210"/>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options</w:t>
            </w:r>
          </w:p>
        </w:tc>
        <w:tc>
          <w:tcPr>
            <w:tcW w:w="1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1,475,006</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69,885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1,475,006</w:t>
            </w: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69,885</w:t>
            </w:r>
          </w:p>
        </w:tc>
      </w:tr>
      <w:tr>
        <w:trPr>
          <w:trHeight w:val="235"/>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1,936,279</w:t>
            </w: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6,411,163</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1,936,279</w:t>
            </w:r>
          </w:p>
        </w:tc>
        <w:tc>
          <w:tcPr>
            <w:tcW w:w="1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6,411,163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9" w:lineRule="exact"/>
        <w:rPr>
          <w:sz w:val="20"/>
          <w:szCs w:val="20"/>
          <w:color w:val="auto"/>
        </w:rPr>
      </w:pPr>
    </w:p>
    <w:p>
      <w:pPr>
        <w:ind w:right="60" w:firstLine="446"/>
        <w:spacing w:after="0" w:line="256"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3" w:name="page14"/>
    <w:bookmarkEnd w:id="13"/>
    <w:p>
      <w:pPr>
        <w:ind w:right="180" w:firstLine="446"/>
        <w:spacing w:after="0" w:line="27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67" w:lineRule="exact"/>
        <w:rPr>
          <w:sz w:val="20"/>
          <w:szCs w:val="20"/>
          <w:color w:val="auto"/>
        </w:rPr>
      </w:pPr>
    </w:p>
    <w:p>
      <w:pPr>
        <w:ind w:right="60" w:firstLine="446"/>
        <w:spacing w:after="0" w:line="254"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new topic supersedes Topic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8"/>
          <w:szCs w:val="18"/>
          <w:i w:val="1"/>
          <w:iCs w:val="1"/>
          <w:color w:val="auto"/>
        </w:rPr>
        <w:t>Codification Improvements to Topic 842</w:t>
      </w:r>
      <w:r>
        <w:rPr>
          <w:rFonts w:ascii="Arial" w:cs="Arial" w:eastAsia="Arial" w:hAnsi="Arial"/>
          <w:sz w:val="18"/>
          <w:szCs w:val="18"/>
          <w:color w:val="auto"/>
        </w:rPr>
        <w:t>, which provides narrow amendments to clarify how to apply certain aspects of the new lease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which was issued to provide relief to companies from restating comparative periods. Pursuant to this ASU, in the period of adoption the Company will not restate comparative periods presented in its condensed financial statements. The effective date of this guidance for public companies is for reporting periods beginning after December 15, 2018. Topic 842 mandates a modified retrospective transition method. The Company intends to adopt the new lease standard using a cumulative effect to accumulated deficit and will elect the package of practical expedients, which among other things will allow the Company to carry forward its historical lease classification. The Company is currently evaluating the impact of Topic 842 on its condensed financial statements.</w:t>
      </w:r>
    </w:p>
    <w:p>
      <w:pPr>
        <w:spacing w:after="0" w:line="186"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adds and modifies certain disclosure requirements for fair value measurements.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This update is effective for annual periods beginning after December 15, 2019, and interim periods within those periods, and early adoption is permitted. The Company is currently evaluating the impact of ASU 2018-13 on its condensed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2019</w:t>
            </w:r>
          </w:p>
        </w:tc>
        <w:tc>
          <w:tcPr>
            <w:tcW w:w="22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 2018</w:t>
            </w:r>
          </w:p>
        </w:tc>
      </w:tr>
      <w:tr>
        <w:trPr>
          <w:trHeight w:val="24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Diagnostic testing supplies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916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1,174</w:t>
            </w:r>
          </w:p>
        </w:tc>
        <w:tc>
          <w:tcPr>
            <w:tcW w:w="100" w:type="dxa"/>
            <w:vAlign w:val="bottom"/>
            <w:tcBorders>
              <w:top w:val="single" w:sz="8" w:color="CCEEFF"/>
            </w:tcBorders>
            <w:shd w:val="clear" w:color="auto" w:fill="CCEEFF"/>
          </w:tcPr>
          <w:p>
            <w:pPr>
              <w:spacing w:after="0"/>
              <w:rPr>
                <w:sz w:val="21"/>
                <w:szCs w:val="21"/>
                <w:color w:val="auto"/>
              </w:rPr>
            </w:pP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Prepaid product royalties</w:t>
            </w:r>
          </w:p>
        </w:tc>
        <w:tc>
          <w:tcPr>
            <w:tcW w:w="200" w:type="dxa"/>
            <w:vAlign w:val="bottom"/>
          </w:tcPr>
          <w:p>
            <w:pPr>
              <w:spacing w:after="0"/>
              <w:rPr>
                <w:sz w:val="20"/>
                <w:szCs w:val="20"/>
                <w:color w:val="auto"/>
              </w:rPr>
            </w:pPr>
          </w:p>
        </w:tc>
        <w:tc>
          <w:tcPr>
            <w:tcW w:w="1600" w:type="dxa"/>
            <w:vAlign w:val="bottom"/>
          </w:tcPr>
          <w:p>
            <w:pPr>
              <w:jc w:val="right"/>
              <w:ind w:right="82"/>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82"/>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0"/>
                <w:szCs w:val="20"/>
                <w:color w:val="auto"/>
              </w:rPr>
            </w:pPr>
          </w:p>
        </w:tc>
      </w:tr>
      <w:tr>
        <w:trPr>
          <w:trHeight w:val="25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maintenance and insurance contracts</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21"/>
                <w:szCs w:val="21"/>
                <w:color w:val="auto"/>
              </w:rPr>
            </w:pPr>
          </w:p>
        </w:tc>
      </w:tr>
      <w:tr>
        <w:trPr>
          <w:trHeight w:val="23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prepaid assets</w:t>
            </w: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tcPr>
          <w:p>
            <w:pPr>
              <w:spacing w:after="0"/>
              <w:rPr>
                <w:sz w:val="20"/>
                <w:szCs w:val="20"/>
                <w:color w:val="auto"/>
              </w:rPr>
            </w:pPr>
          </w:p>
        </w:tc>
      </w:tr>
      <w:tr>
        <w:trPr>
          <w:trHeight w:val="262"/>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and other current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1,686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2,196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8"/>
        </w:trPr>
        <w:tc>
          <w:tcPr>
            <w:tcW w:w="7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2019</w:t>
            </w:r>
          </w:p>
        </w:tc>
        <w:tc>
          <w:tcPr>
            <w:tcW w:w="20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 2018</w:t>
            </w:r>
          </w:p>
        </w:tc>
      </w:tr>
      <w:tr>
        <w:trPr>
          <w:trHeight w:val="216"/>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62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00" w:type="dxa"/>
            <w:vAlign w:val="bottom"/>
          </w:tcPr>
          <w:p>
            <w:pPr>
              <w:spacing w:after="0"/>
              <w:rPr>
                <w:sz w:val="18"/>
                <w:szCs w:val="18"/>
                <w:color w:val="auto"/>
              </w:rPr>
            </w:pPr>
          </w:p>
        </w:tc>
        <w:tc>
          <w:tcPr>
            <w:tcW w:w="1580" w:type="dxa"/>
            <w:vAlign w:val="bottom"/>
          </w:tcPr>
          <w:p>
            <w:pPr>
              <w:jc w:val="right"/>
              <w:ind w:right="69"/>
              <w:spacing w:after="0"/>
              <w:rPr>
                <w:sz w:val="20"/>
                <w:szCs w:val="20"/>
                <w:color w:val="auto"/>
              </w:rPr>
            </w:pPr>
            <w:r>
              <w:rPr>
                <w:rFonts w:ascii="Arial" w:cs="Arial" w:eastAsia="Arial" w:hAnsi="Arial"/>
                <w:sz w:val="14"/>
                <w:szCs w:val="14"/>
                <w:color w:val="auto"/>
              </w:rPr>
              <w:t>2,228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69"/>
              <w:spacing w:after="0"/>
              <w:rPr>
                <w:sz w:val="20"/>
                <w:szCs w:val="20"/>
                <w:color w:val="auto"/>
              </w:rPr>
            </w:pPr>
            <w:r>
              <w:rPr>
                <w:rFonts w:ascii="Arial" w:cs="Arial" w:eastAsia="Arial" w:hAnsi="Arial"/>
                <w:sz w:val="14"/>
                <w:szCs w:val="14"/>
                <w:color w:val="auto"/>
              </w:rPr>
              <w:t>1,855</w:t>
            </w:r>
          </w:p>
        </w:tc>
        <w:tc>
          <w:tcPr>
            <w:tcW w:w="100" w:type="dxa"/>
            <w:vAlign w:val="bottom"/>
          </w:tcPr>
          <w:p>
            <w:pPr>
              <w:spacing w:after="0"/>
              <w:rPr>
                <w:sz w:val="18"/>
                <w:szCs w:val="18"/>
                <w:color w:val="auto"/>
              </w:rPr>
            </w:pP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796</w:t>
            </w:r>
          </w:p>
        </w:tc>
        <w:tc>
          <w:tcPr>
            <w:tcW w:w="100" w:type="dxa"/>
            <w:vAlign w:val="bottom"/>
            <w:shd w:val="clear" w:color="auto" w:fill="CCEEFF"/>
          </w:tcPr>
          <w:p>
            <w:pPr>
              <w:spacing w:after="0"/>
              <w:rPr>
                <w:sz w:val="19"/>
                <w:szCs w:val="19"/>
                <w:color w:val="auto"/>
              </w:rPr>
            </w:pPr>
          </w:p>
        </w:tc>
      </w:tr>
      <w:tr>
        <w:trPr>
          <w:trHeight w:val="210"/>
        </w:trPr>
        <w:tc>
          <w:tcPr>
            <w:tcW w:w="76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00" w:type="dxa"/>
            <w:vAlign w:val="bottom"/>
          </w:tcPr>
          <w:p>
            <w:pPr>
              <w:spacing w:after="0"/>
              <w:rPr>
                <w:sz w:val="18"/>
                <w:szCs w:val="18"/>
                <w:color w:val="auto"/>
              </w:rPr>
            </w:pPr>
          </w:p>
        </w:tc>
        <w:tc>
          <w:tcPr>
            <w:tcW w:w="1580" w:type="dxa"/>
            <w:vAlign w:val="bottom"/>
          </w:tcPr>
          <w:p>
            <w:pPr>
              <w:jc w:val="right"/>
              <w:ind w:right="69"/>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ind w:right="69"/>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8"/>
                <w:szCs w:val="18"/>
                <w:color w:val="auto"/>
              </w:rPr>
            </w:pP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9"/>
                <w:szCs w:val="19"/>
                <w:color w:val="auto"/>
              </w:rPr>
            </w:pPr>
          </w:p>
        </w:tc>
      </w:tr>
      <w:tr>
        <w:trPr>
          <w:trHeight w:val="204"/>
        </w:trPr>
        <w:tc>
          <w:tcPr>
            <w:tcW w:w="762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00" w:type="dxa"/>
            <w:vAlign w:val="bottom"/>
          </w:tcPr>
          <w:p>
            <w:pPr>
              <w:spacing w:after="0"/>
              <w:rPr>
                <w:sz w:val="17"/>
                <w:szCs w:val="17"/>
                <w:color w:val="auto"/>
              </w:rPr>
            </w:pPr>
          </w:p>
        </w:tc>
        <w:tc>
          <w:tcPr>
            <w:tcW w:w="1580" w:type="dxa"/>
            <w:vAlign w:val="bottom"/>
          </w:tcPr>
          <w:p>
            <w:pPr>
              <w:jc w:val="right"/>
              <w:ind w:right="69"/>
              <w:spacing w:after="0"/>
              <w:rPr>
                <w:sz w:val="20"/>
                <w:szCs w:val="20"/>
                <w:color w:val="auto"/>
              </w:rPr>
            </w:pPr>
            <w:r>
              <w:rPr>
                <w:rFonts w:ascii="Arial" w:cs="Arial" w:eastAsia="Arial" w:hAnsi="Arial"/>
                <w:sz w:val="14"/>
                <w:szCs w:val="14"/>
                <w:color w:val="auto"/>
              </w:rPr>
              <w:t>3,598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ind w:right="69"/>
              <w:spacing w:after="0"/>
              <w:rPr>
                <w:sz w:val="20"/>
                <w:szCs w:val="20"/>
                <w:color w:val="auto"/>
              </w:rPr>
            </w:pPr>
            <w:r>
              <w:rPr>
                <w:rFonts w:ascii="Arial" w:cs="Arial" w:eastAsia="Arial" w:hAnsi="Arial"/>
                <w:sz w:val="14"/>
                <w:szCs w:val="14"/>
                <w:color w:val="auto"/>
              </w:rPr>
              <w:t>3,385</w:t>
            </w:r>
          </w:p>
        </w:tc>
        <w:tc>
          <w:tcPr>
            <w:tcW w:w="100" w:type="dxa"/>
            <w:vAlign w:val="bottom"/>
          </w:tcPr>
          <w:p>
            <w:pPr>
              <w:spacing w:after="0"/>
              <w:rPr>
                <w:sz w:val="17"/>
                <w:szCs w:val="17"/>
                <w:color w:val="auto"/>
              </w:rPr>
            </w:pPr>
          </w:p>
        </w:tc>
      </w:tr>
      <w:tr>
        <w:trPr>
          <w:trHeight w:val="222"/>
        </w:trPr>
        <w:tc>
          <w:tcPr>
            <w:tcW w:w="7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(2,284)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(1,819)</w:t>
            </w:r>
          </w:p>
        </w:tc>
        <w:tc>
          <w:tcPr>
            <w:tcW w:w="100" w:type="dxa"/>
            <w:vAlign w:val="bottom"/>
            <w:shd w:val="clear" w:color="auto" w:fill="CCEEFF"/>
          </w:tcPr>
          <w:p>
            <w:pPr>
              <w:spacing w:after="0"/>
              <w:rPr>
                <w:sz w:val="19"/>
                <w:szCs w:val="19"/>
                <w:color w:val="auto"/>
              </w:rPr>
            </w:pPr>
          </w:p>
        </w:tc>
      </w:tr>
      <w:tr>
        <w:trPr>
          <w:trHeight w:val="204"/>
        </w:trPr>
        <w:tc>
          <w:tcPr>
            <w:tcW w:w="76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1,314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1,566</w:t>
            </w:r>
          </w:p>
        </w:tc>
        <w:tc>
          <w:tcPr>
            <w:tcW w:w="100" w:type="dxa"/>
            <w:vAlign w:val="bottom"/>
          </w:tcPr>
          <w:p>
            <w:pPr>
              <w:spacing w:after="0"/>
              <w:rPr>
                <w:sz w:val="17"/>
                <w:szCs w:val="17"/>
                <w:color w:val="auto"/>
              </w:rPr>
            </w:pPr>
          </w:p>
        </w:tc>
      </w:tr>
      <w:tr>
        <w:trPr>
          <w:trHeight w:val="27"/>
        </w:trPr>
        <w:tc>
          <w:tcPr>
            <w:tcW w:w="7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bl>
    <w:p>
      <w:pPr>
        <w:spacing w:after="0" w:line="215" w:lineRule="exact"/>
        <w:rPr>
          <w:sz w:val="20"/>
          <w:szCs w:val="20"/>
          <w:color w:val="auto"/>
        </w:rPr>
      </w:pPr>
    </w:p>
    <w:p>
      <w:pPr>
        <w:ind w:right="280" w:firstLine="446"/>
        <w:spacing w:after="0" w:line="254" w:lineRule="auto"/>
        <w:rPr>
          <w:sz w:val="20"/>
          <w:szCs w:val="20"/>
          <w:color w:val="auto"/>
        </w:rPr>
      </w:pPr>
      <w:r>
        <w:rPr>
          <w:rFonts w:ascii="Arial" w:cs="Arial" w:eastAsia="Arial" w:hAnsi="Arial"/>
          <w:sz w:val="18"/>
          <w:szCs w:val="18"/>
          <w:color w:val="auto"/>
        </w:rPr>
        <w:t>Depreciation and amortization expense for the three months ended September 30, 2019 and 2018 was approximately $0.1 million and $0.2 million, respectively, and for the nine months ended September 30, 2019 and 2018, was approximately $0.5 million and $0.4 million, respectively. At September 30, 2019 and December 31, 2018, the gross book value of assets under capital lease was $0.8 million and $0.4 million, respectively, and is classified in "Laboratory equipment" in the table above.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2019</w:t>
            </w:r>
          </w:p>
        </w:tc>
        <w:tc>
          <w:tcPr>
            <w:tcW w:w="22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 2018</w:t>
            </w:r>
          </w:p>
        </w:tc>
      </w:tr>
      <w:tr>
        <w:trPr>
          <w:trHeight w:val="24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2,850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2,111</w:t>
            </w:r>
          </w:p>
        </w:tc>
        <w:tc>
          <w:tcPr>
            <w:tcW w:w="100" w:type="dxa"/>
            <w:vAlign w:val="bottom"/>
            <w:tcBorders>
              <w:top w:val="single" w:sz="8" w:color="CCEEFF"/>
            </w:tcBorders>
            <w:shd w:val="clear" w:color="auto" w:fill="CCEEFF"/>
          </w:tcPr>
          <w:p>
            <w:pPr>
              <w:spacing w:after="0"/>
              <w:rPr>
                <w:sz w:val="21"/>
                <w:szCs w:val="21"/>
                <w:color w:val="auto"/>
              </w:rPr>
            </w:pPr>
          </w:p>
        </w:tc>
      </w:tr>
      <w:tr>
        <w:trPr>
          <w:trHeight w:val="233"/>
        </w:trPr>
        <w:tc>
          <w:tcPr>
            <w:tcW w:w="7620" w:type="dxa"/>
            <w:vAlign w:val="bottom"/>
          </w:tcPr>
          <w:p>
            <w:pPr>
              <w:ind w:left="20"/>
              <w:spacing w:after="0"/>
              <w:rPr>
                <w:sz w:val="20"/>
                <w:szCs w:val="20"/>
                <w:color w:val="auto"/>
              </w:rPr>
            </w:pPr>
            <w:r>
              <w:rPr>
                <w:rFonts w:ascii="Arial" w:cs="Arial" w:eastAsia="Arial" w:hAnsi="Arial"/>
                <w:sz w:val="16"/>
                <w:szCs w:val="16"/>
                <w:color w:val="auto"/>
              </w:rPr>
              <w:t>Accrued deferred offering costs</w:t>
            </w:r>
          </w:p>
        </w:tc>
        <w:tc>
          <w:tcPr>
            <w:tcW w:w="200" w:type="dxa"/>
            <w:vAlign w:val="bottom"/>
          </w:tcPr>
          <w:p>
            <w:pPr>
              <w:spacing w:after="0"/>
              <w:rPr>
                <w:sz w:val="20"/>
                <w:szCs w:val="20"/>
                <w:color w:val="auto"/>
              </w:rPr>
            </w:pPr>
          </w:p>
        </w:tc>
        <w:tc>
          <w:tcPr>
            <w:tcW w:w="1580" w:type="dxa"/>
            <w:vAlign w:val="bottom"/>
          </w:tcPr>
          <w:p>
            <w:pPr>
              <w:jc w:val="right"/>
              <w:ind w:right="81"/>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81"/>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0"/>
                <w:szCs w:val="20"/>
                <w:color w:val="auto"/>
              </w:rPr>
            </w:pPr>
          </w:p>
        </w:tc>
      </w:tr>
      <w:tr>
        <w:trPr>
          <w:trHeight w:val="253"/>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21"/>
                <w:szCs w:val="21"/>
                <w:color w:val="auto"/>
              </w:rPr>
            </w:pPr>
          </w:p>
        </w:tc>
      </w:tr>
      <w:tr>
        <w:trPr>
          <w:trHeight w:val="233"/>
        </w:trPr>
        <w:tc>
          <w:tcPr>
            <w:tcW w:w="7620" w:type="dxa"/>
            <w:vAlign w:val="bottom"/>
          </w:tcPr>
          <w:p>
            <w:pPr>
              <w:ind w:left="20"/>
              <w:spacing w:after="0"/>
              <w:rPr>
                <w:sz w:val="20"/>
                <w:szCs w:val="20"/>
                <w:color w:val="auto"/>
              </w:rPr>
            </w:pPr>
            <w:r>
              <w:rPr>
                <w:rFonts w:ascii="Arial" w:cs="Arial" w:eastAsia="Arial" w:hAnsi="Arial"/>
                <w:sz w:val="16"/>
                <w:szCs w:val="16"/>
                <w:color w:val="auto"/>
              </w:rPr>
              <w:t>Accrued purchases of goods and services</w:t>
            </w:r>
          </w:p>
        </w:tc>
        <w:tc>
          <w:tcPr>
            <w:tcW w:w="200" w:type="dxa"/>
            <w:vAlign w:val="bottom"/>
          </w:tcPr>
          <w:p>
            <w:pPr>
              <w:spacing w:after="0"/>
              <w:rPr>
                <w:sz w:val="20"/>
                <w:szCs w:val="20"/>
                <w:color w:val="auto"/>
              </w:rPr>
            </w:pPr>
          </w:p>
        </w:tc>
        <w:tc>
          <w:tcPr>
            <w:tcW w:w="1580" w:type="dxa"/>
            <w:vAlign w:val="bottom"/>
          </w:tcPr>
          <w:p>
            <w:pPr>
              <w:jc w:val="right"/>
              <w:ind w:right="81"/>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81"/>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r>
      <w:tr>
        <w:trPr>
          <w:trHeight w:val="253"/>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royalties</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21"/>
                <w:szCs w:val="21"/>
                <w:color w:val="auto"/>
              </w:rPr>
            </w:pPr>
          </w:p>
        </w:tc>
      </w:tr>
      <w:tr>
        <w:trPr>
          <w:trHeight w:val="233"/>
        </w:trPr>
        <w:tc>
          <w:tcPr>
            <w:tcW w:w="7620" w:type="dxa"/>
            <w:vAlign w:val="bottom"/>
          </w:tcPr>
          <w:p>
            <w:pPr>
              <w:ind w:left="20"/>
              <w:spacing w:after="0"/>
              <w:rPr>
                <w:sz w:val="20"/>
                <w:szCs w:val="20"/>
                <w:color w:val="auto"/>
              </w:rPr>
            </w:pPr>
            <w:r>
              <w:rPr>
                <w:rFonts w:ascii="Arial" w:cs="Arial" w:eastAsia="Arial" w:hAnsi="Arial"/>
                <w:sz w:val="16"/>
                <w:szCs w:val="16"/>
                <w:color w:val="auto"/>
              </w:rPr>
              <w:t>Accrued clinical study activity</w:t>
            </w:r>
          </w:p>
        </w:tc>
        <w:tc>
          <w:tcPr>
            <w:tcW w:w="200" w:type="dxa"/>
            <w:vAlign w:val="bottom"/>
          </w:tcPr>
          <w:p>
            <w:pPr>
              <w:spacing w:after="0"/>
              <w:rPr>
                <w:sz w:val="20"/>
                <w:szCs w:val="20"/>
                <w:color w:val="auto"/>
              </w:rPr>
            </w:pPr>
          </w:p>
        </w:tc>
        <w:tc>
          <w:tcPr>
            <w:tcW w:w="1580" w:type="dxa"/>
            <w:vAlign w:val="bottom"/>
          </w:tcPr>
          <w:p>
            <w:pPr>
              <w:jc w:val="right"/>
              <w:ind w:right="81"/>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ind w:right="8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r>
      <w:tr>
        <w:trPr>
          <w:trHeight w:val="253"/>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lease obligations, current portion</w:t>
            </w: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1"/>
                <w:szCs w:val="21"/>
                <w:color w:val="auto"/>
              </w:rPr>
            </w:pPr>
          </w:p>
        </w:tc>
      </w:tr>
      <w:tr>
        <w:trPr>
          <w:trHeight w:val="237"/>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597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spacing w:after="0"/>
              <w:rPr>
                <w:sz w:val="20"/>
                <w:szCs w:val="20"/>
                <w:color w:val="auto"/>
              </w:rPr>
            </w:pPr>
          </w:p>
        </w:tc>
      </w:tr>
      <w:tr>
        <w:trPr>
          <w:trHeight w:val="262"/>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liabilities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6,449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3,923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108" w:lineRule="exact"/>
        <w:rPr>
          <w:sz w:val="20"/>
          <w:szCs w:val="20"/>
          <w:color w:val="auto"/>
        </w:rPr>
      </w:pPr>
    </w:p>
    <w:p>
      <w:pPr>
        <w:ind w:right="200" w:firstLine="446"/>
        <w:spacing w:after="0" w:line="254"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$20.0 million, $17.8 million of which was immediately used to repay the Company's existing loan with Capital Royalty Partners II L.P. and its affiliates. On December 7, 2018, the Company borrowed an additional $5.0 million under the 2017 Term Loan. At September 30, 2019, no additional amounts remain available to borrow under the 2017 Term Loan.</w:t>
      </w:r>
    </w:p>
    <w:p>
      <w:pPr>
        <w:spacing w:after="0" w:line="204"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The interest rate on all borrowings under the 2017 Term Loan is 11.0%, of which 2.5% is paid in-kind in the form of additional term loans, or PIK Loans, until September of 2019, after which interest accrues at an annual rate of 11.0%. The Company has estimated the effective interest rate of this loan to be approximately 14%. Accrued interest is due and payable monthly, unless the Company elects to pay PIK interest. The outstanding principal and accrued interest on the 2017 Term Loan will be repaid in twenty-four equal monthly installments commencing in October 2020. Upon repayment of the final installment under the 2017 Term Loan, the Company is required to pay an additional fee of $1.0 million. This obligation is being accreted into interest expense over the term of 2017 Term Loan using the effective interest method. For the three months ended September 30, 2019 and 2018, the Company issued PIK Loans totaling $0.2 million and $0.1 million, respectively. For the nine months ended September 30, 2019 and 2018, the Company issued PIK Loans totaling $0.5 million and $0.4 million,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15" w:name="page16"/>
    <w:bookmarkEnd w:id="15"/>
    <w:p>
      <w:pPr>
        <w:ind w:right="320" w:firstLine="446"/>
        <w:spacing w:after="0" w:line="256" w:lineRule="auto"/>
        <w:rPr>
          <w:sz w:val="20"/>
          <w:szCs w:val="20"/>
          <w:color w:val="auto"/>
        </w:rPr>
      </w:pPr>
      <w:r>
        <w:rPr>
          <w:rFonts w:ascii="Arial" w:cs="Arial" w:eastAsia="Arial" w:hAnsi="Arial"/>
          <w:sz w:val="18"/>
          <w:szCs w:val="18"/>
          <w:color w:val="auto"/>
        </w:rPr>
        <w:t>If the 2017 Term Loan is prepaid after September 7, 2019, but before September 7, 2020, the 2017 Term Loan requires a prepayment premium of 3% of the aggregate outstanding principal. The prepayment premium decreases by 1% during each subsequent twelve-month period after September 7, 2020.</w:t>
      </w:r>
    </w:p>
    <w:p>
      <w:pPr>
        <w:spacing w:after="0" w:line="202" w:lineRule="exact"/>
        <w:rPr>
          <w:sz w:val="20"/>
          <w:szCs w:val="20"/>
          <w:color w:val="auto"/>
        </w:rPr>
      </w:pPr>
    </w:p>
    <w:p>
      <w:pPr>
        <w:ind w:right="60" w:firstLine="446"/>
        <w:spacing w:after="0" w:line="253" w:lineRule="auto"/>
        <w:rPr>
          <w:sz w:val="20"/>
          <w:szCs w:val="20"/>
          <w:color w:val="auto"/>
        </w:rPr>
      </w:pPr>
      <w:r>
        <w:rPr>
          <w:rFonts w:ascii="Arial" w:cs="Arial" w:eastAsia="Arial" w:hAnsi="Arial"/>
          <w:sz w:val="18"/>
          <w:szCs w:val="18"/>
          <w:color w:val="auto"/>
        </w:rPr>
        <w:t>The 2017 Term Loan is collateralized by a first priority security interest on substantially all of the Company's assets, including intellectual property. The affirmative covenants of the 2017 Term Loan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206" w:lineRule="exact"/>
        <w:rPr>
          <w:sz w:val="20"/>
          <w:szCs w:val="20"/>
          <w:color w:val="auto"/>
        </w:rPr>
      </w:pPr>
    </w:p>
    <w:p>
      <w:pPr>
        <w:ind w:firstLine="446"/>
        <w:spacing w:after="0" w:line="251" w:lineRule="auto"/>
        <w:rPr>
          <w:sz w:val="20"/>
          <w:szCs w:val="20"/>
          <w:color w:val="auto"/>
        </w:rPr>
      </w:pPr>
      <w:r>
        <w:rPr>
          <w:rFonts w:ascii="Arial" w:cs="Arial" w:eastAsia="Arial" w:hAnsi="Arial"/>
          <w:sz w:val="18"/>
          <w:szCs w:val="18"/>
          <w:color w:val="auto"/>
        </w:rPr>
        <w:t>The affirmative covenants require that the Company achieve a specified level of revenue, and either (i) gross margins, or (ii) gross profits (collectively referred to as the Interest Only Milestones), as measured quarterly on a rolling twelve month basis, and commencing with the quarter ending December 31, 2017 (1) the interest rate on the 2017 Term Loan will increase by 8% and (2) repayment will commence on the date it is determined the Interest Only Milestones have not been met and over the following eighteen months in equal monthly installments. The consequences of failing to achieve the Interest Only Milestones will be waived if, within sixty days of failing to achieve the Interest Only Milestones, the Company issues additional equity securities or subordinated debt with net proceeds of at least $9.5 million. In addition, the 2017 Term Loan requires that the Company maintain certain levels of minimum liquidity. If the Company has achieved the Interest Only Milestones, the Company is required to maintain an unrestricted cash balance of $2.0 million. If the Interest Only Milestones are not met, the Company must maintain unrestricted cash balances totaling at least the trailing four months cash used to fund operating activities.</w:t>
      </w:r>
    </w:p>
    <w:p>
      <w:pPr>
        <w:spacing w:after="0" w:line="213" w:lineRule="exact"/>
        <w:rPr>
          <w:sz w:val="20"/>
          <w:szCs w:val="20"/>
          <w:color w:val="auto"/>
        </w:rPr>
      </w:pPr>
    </w:p>
    <w:p>
      <w:pPr>
        <w:ind w:right="20" w:firstLine="446"/>
        <w:spacing w:after="0" w:line="251"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2017 Term Loan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2019, the Company was in compliance with all covenants of the 2017 Term Loan.</w:t>
      </w:r>
    </w:p>
    <w:p>
      <w:pPr>
        <w:spacing w:after="0" w:line="225" w:lineRule="exact"/>
        <w:rPr>
          <w:sz w:val="20"/>
          <w:szCs w:val="20"/>
          <w:color w:val="auto"/>
        </w:rPr>
      </w:pPr>
    </w:p>
    <w:p>
      <w:pPr>
        <w:ind w:right="80" w:firstLine="446"/>
        <w:spacing w:after="0" w:line="253" w:lineRule="auto"/>
        <w:rPr>
          <w:sz w:val="20"/>
          <w:szCs w:val="20"/>
          <w:color w:val="auto"/>
        </w:rPr>
      </w:pPr>
      <w:r>
        <w:rPr>
          <w:rFonts w:ascii="Arial" w:cs="Arial" w:eastAsia="Arial" w:hAnsi="Arial"/>
          <w:sz w:val="18"/>
          <w:szCs w:val="18"/>
          <w:color w:val="auto"/>
        </w:rPr>
        <w:t>Upon an event of default in any of the 2017 Term Loan covenants, the repayment of the 2017 Term Loan may be accelerated and the applicable interest rate will be increased by 4.0% until the default is cured. Although repayment of the 2017 Term Loan can be accelerated under certain circumstances, the Company believes acceleration of this loan is not probable as of the date of these condensed financial statements. Accordingly, the Company has reflected the amounts of the 2017 Term Loan due beyond twelve months of the balance sheet date as non-current.</w:t>
      </w:r>
    </w:p>
    <w:p>
      <w:pPr>
        <w:spacing w:after="0" w:line="57" w:lineRule="exact"/>
        <w:rPr>
          <w:sz w:val="20"/>
          <w:szCs w:val="20"/>
          <w:color w:val="auto"/>
        </w:rPr>
      </w:pPr>
    </w:p>
    <w:p>
      <w:pPr>
        <w:ind w:right="40" w:firstLine="446"/>
        <w:spacing w:after="0" w:line="251" w:lineRule="auto"/>
        <w:rPr>
          <w:sz w:val="20"/>
          <w:szCs w:val="20"/>
          <w:color w:val="auto"/>
        </w:rPr>
      </w:pPr>
      <w:r>
        <w:rPr>
          <w:rFonts w:ascii="Arial" w:cs="Arial" w:eastAsia="Arial" w:hAnsi="Arial"/>
          <w:sz w:val="18"/>
          <w:szCs w:val="18"/>
          <w:color w:val="auto"/>
        </w:rPr>
        <w:t>In connection with the 2017 Term Loan, the Company paid issuance costs of $0.4 million to Innovatus and an additional $0.1 million to third parties. These fees were recorded as discounts to the carrying value of the 2017 Term Loan. The Company also issued Innovatus warrants (i) on the closing date of the 2017 Term Loan, to purchase 15,384,615 shares of Series F redeemable convertible preferred stock at an exercise price of $0.078 per share and (ii) on December 7, 2018, to purchase 3,846,154 shares of Series F redeemable convertible preferred stock at an exercise price of $0.078 per share (Note 5). These warrants are immediately exercisable and will expire if unexercised seven years after their issuance. The fair value of the warrants on each of their dates of issuance, determined using BSM option pricing model, was recorded as a discount to long-term debt and an offsetting amount recognized as a liability. The resulting debt discount is being amortized to interest expense using the effective interest method over the term of the 2017 Term Loan. In connection with the completion of the IPO in September 2019, the Series F redeemable convertible preferred stock warrants automatically converted into warrants exercisable for an aggregate of 104,722 shares of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16" w:name="page17"/>
    <w:bookmarkEnd w:id="16"/>
    <w:p>
      <w:pPr>
        <w:ind w:right="720" w:firstLine="446"/>
        <w:spacing w:after="0" w:line="262" w:lineRule="auto"/>
        <w:rPr>
          <w:sz w:val="20"/>
          <w:szCs w:val="20"/>
          <w:color w:val="auto"/>
        </w:rPr>
      </w:pPr>
      <w:r>
        <w:rPr>
          <w:rFonts w:ascii="Arial" w:cs="Arial" w:eastAsia="Arial" w:hAnsi="Arial"/>
          <w:sz w:val="18"/>
          <w:szCs w:val="18"/>
          <w:color w:val="auto"/>
        </w:rPr>
        <w:t>Future minimum aggregate payments, including interest, for outstanding borrowings under the 2017 Term Loan are as follows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September 30, 2019</w:t>
            </w: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 (remaining)</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725</w:t>
            </w:r>
          </w:p>
        </w:tc>
      </w:tr>
      <w:tr>
        <w:trPr>
          <w:trHeight w:val="210"/>
        </w:trPr>
        <w:tc>
          <w:tcPr>
            <w:tcW w:w="9600" w:type="dxa"/>
            <w:vAlign w:val="bottom"/>
          </w:tcPr>
          <w:p>
            <w:pPr>
              <w:ind w:left="20"/>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8"/>
                <w:szCs w:val="18"/>
                <w:color w:val="auto"/>
              </w:rPr>
            </w:pPr>
          </w:p>
        </w:tc>
        <w:tc>
          <w:tcPr>
            <w:tcW w:w="1600" w:type="dxa"/>
            <w:vAlign w:val="bottom"/>
          </w:tcPr>
          <w:p>
            <w:pPr>
              <w:jc w:val="right"/>
              <w:ind w:right="69"/>
              <w:spacing w:after="0"/>
              <w:rPr>
                <w:sz w:val="20"/>
                <w:szCs w:val="20"/>
                <w:color w:val="auto"/>
              </w:rPr>
            </w:pPr>
            <w:r>
              <w:rPr>
                <w:rFonts w:ascii="Arial" w:cs="Arial" w:eastAsia="Arial" w:hAnsi="Arial"/>
                <w:sz w:val="14"/>
                <w:szCs w:val="14"/>
                <w:color w:val="auto"/>
              </w:rPr>
              <w:t>6,125</w:t>
            </w:r>
          </w:p>
        </w:tc>
      </w:tr>
      <w:tr>
        <w:trPr>
          <w:trHeight w:val="222"/>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14,937</w:t>
            </w:r>
          </w:p>
        </w:tc>
      </w:tr>
      <w:tr>
        <w:trPr>
          <w:trHeight w:val="21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11,250</w:t>
            </w:r>
          </w:p>
        </w:tc>
      </w:tr>
      <w:tr>
        <w:trPr>
          <w:trHeight w:val="216"/>
        </w:trPr>
        <w:tc>
          <w:tcPr>
            <w:tcW w:w="9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33,037</w:t>
            </w:r>
          </w:p>
        </w:tc>
      </w:tr>
      <w:tr>
        <w:trPr>
          <w:trHeight w:val="210"/>
        </w:trPr>
        <w:tc>
          <w:tcPr>
            <w:tcW w:w="9600" w:type="dxa"/>
            <w:vAlign w:val="bottom"/>
          </w:tcPr>
          <w:p>
            <w:pPr>
              <w:ind w:left="34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96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Unamortized debt discount and issuance costs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(484)</w:t>
            </w:r>
          </w:p>
        </w:tc>
      </w:tr>
      <w:tr>
        <w:trPr>
          <w:trHeight w:val="210"/>
        </w:trPr>
        <w:tc>
          <w:tcPr>
            <w:tcW w:w="96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Interest</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(6,876)</w:t>
            </w:r>
          </w:p>
        </w:tc>
      </w:tr>
      <w:tr>
        <w:trPr>
          <w:trHeight w:val="235"/>
        </w:trPr>
        <w:tc>
          <w:tcPr>
            <w:tcW w:w="9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borrowings, net of discounts and debt issuance costs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25,677</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Warrants to Purchase Common or Preferred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completion of the Company's IPO in September 2019:</w:t>
      </w:r>
    </w:p>
    <w:p>
      <w:pPr>
        <w:spacing w:after="0" w:line="90" w:lineRule="exact"/>
        <w:rPr>
          <w:sz w:val="20"/>
          <w:szCs w:val="20"/>
          <w:color w:val="auto"/>
        </w:rPr>
      </w:pPr>
    </w:p>
    <w:p>
      <w:pPr>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remaining outstanding Series F redeemable convertible preferred stock warrants automatically converted into warrants exercisable for an aggregate 104,722 shares of common stock.</w:t>
      </w:r>
    </w:p>
    <w:p>
      <w:pPr>
        <w:spacing w:after="0" w:line="47"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to purchase common stock for 569,184 shares of the Company's common stock were exercised via cashless exercise resulting in the issuance of 512,363 shares of common stock. Unexercised warrants to purchase common stock for 9,054 shares were terminated prior to the completion of the IPO.</w:t>
      </w:r>
    </w:p>
    <w:p>
      <w:pPr>
        <w:spacing w:after="0" w:line="53" w:lineRule="exact"/>
        <w:rPr>
          <w:rFonts w:ascii="Arial" w:cs="Arial" w:eastAsia="Arial" w:hAnsi="Arial"/>
          <w:sz w:val="18"/>
          <w:szCs w:val="18"/>
          <w:color w:val="auto"/>
        </w:rPr>
      </w:pPr>
    </w:p>
    <w:p>
      <w:pPr>
        <w:ind w:left="660" w:right="30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to purchase Series D and Series E redeemable convertible preferred stock for 119,771 shares of the Company's common stock were exercised via cashless exercise resulting in the issuance of 27,431 shares of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warrants to purchase common stock were outstanding as of September 30, 2019:</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Shares</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2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7"/>
                <w:szCs w:val="17"/>
                <w:color w:val="auto"/>
              </w:rPr>
            </w:pPr>
          </w:p>
        </w:tc>
        <w:tc>
          <w:tcPr>
            <w:tcW w:w="2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282,402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560" w:type="dxa"/>
            <w:vAlign w:val="bottom"/>
          </w:tcPr>
          <w:p>
            <w:pPr>
              <w:jc w:val="right"/>
              <w:spacing w:after="0"/>
              <w:rPr>
                <w:sz w:val="20"/>
                <w:szCs w:val="20"/>
                <w:color w:val="auto"/>
              </w:rPr>
            </w:pPr>
            <w:r>
              <w:rPr>
                <w:rFonts w:ascii="Arial" w:cs="Arial" w:eastAsia="Arial" w:hAnsi="Arial"/>
                <w:sz w:val="14"/>
                <w:szCs w:val="14"/>
                <w:color w:val="auto"/>
              </w:rPr>
              <w:t>74,018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8"/>
                <w:szCs w:val="18"/>
                <w:color w:val="auto"/>
              </w:rPr>
            </w:pPr>
          </w:p>
        </w:tc>
        <w:tc>
          <w:tcPr>
            <w:tcW w:w="236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4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22"/>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210"/>
        </w:trPr>
        <w:tc>
          <w:tcPr>
            <w:tcW w:w="4440" w:type="dxa"/>
            <w:vAlign w:val="bottom"/>
            <w:gridSpan w:val="2"/>
          </w:tcPr>
          <w:p>
            <w:pPr>
              <w:ind w:left="20"/>
              <w:spacing w:after="0"/>
              <w:rPr>
                <w:sz w:val="20"/>
                <w:szCs w:val="20"/>
                <w:color w:val="auto"/>
              </w:rPr>
            </w:pPr>
            <w:r>
              <w:rPr>
                <w:rFonts w:ascii="Arial" w:cs="Arial" w:eastAsia="Arial" w:hAnsi="Arial"/>
                <w:sz w:val="14"/>
                <w:szCs w:val="14"/>
                <w:color w:val="auto"/>
              </w:rPr>
              <w:t>Common stock warrants (1)</w:t>
            </w:r>
          </w:p>
        </w:tc>
        <w:tc>
          <w:tcPr>
            <w:tcW w:w="560" w:type="dxa"/>
            <w:vAlign w:val="bottom"/>
          </w:tcPr>
          <w:p>
            <w:pPr>
              <w:jc w:val="right"/>
              <w:spacing w:after="0"/>
              <w:rPr>
                <w:sz w:val="20"/>
                <w:szCs w:val="20"/>
                <w:color w:val="auto"/>
              </w:rPr>
            </w:pPr>
            <w:r>
              <w:rPr>
                <w:rFonts w:ascii="Arial" w:cs="Arial" w:eastAsia="Arial" w:hAnsi="Arial"/>
                <w:sz w:val="14"/>
                <w:szCs w:val="14"/>
                <w:color w:val="auto"/>
              </w:rPr>
              <w:t>83,778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18"/>
                <w:szCs w:val="18"/>
                <w:color w:val="auto"/>
              </w:rPr>
            </w:pPr>
          </w:p>
        </w:tc>
        <w:tc>
          <w:tcPr>
            <w:tcW w:w="236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8, 2017</w:t>
            </w:r>
          </w:p>
        </w:tc>
        <w:tc>
          <w:tcPr>
            <w:tcW w:w="2240" w:type="dxa"/>
            <w:vAlign w:val="bottom"/>
          </w:tcPr>
          <w:p>
            <w:pPr>
              <w:jc w:val="right"/>
              <w:spacing w:after="0"/>
              <w:rPr>
                <w:sz w:val="20"/>
                <w:szCs w:val="20"/>
                <w:color w:val="auto"/>
              </w:rPr>
            </w:pPr>
            <w:r>
              <w:rPr>
                <w:rFonts w:ascii="Arial" w:cs="Arial" w:eastAsia="Arial" w:hAnsi="Arial"/>
                <w:sz w:val="14"/>
                <w:szCs w:val="14"/>
                <w:color w:val="auto"/>
              </w:rPr>
              <w:t>September 8, 2024</w:t>
            </w:r>
          </w:p>
        </w:tc>
      </w:tr>
      <w:tr>
        <w:trPr>
          <w:trHeight w:val="216"/>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 (1)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204"/>
        </w:trPr>
        <w:tc>
          <w:tcPr>
            <w:tcW w:w="33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461,273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(1) Prior to the conversion upon IPO, the remaining warrants were for the purchase of Series F redeemable convertible preferred stock.</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outstanding warrants to purchase shares of common stock are equity classified at September 30, 2019.</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9"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The Company leases approximately 14,000 square feet of office and laboratory space in Vista, California, under a lease that expires in January 2021, with options to extend the lease for two additional 36-month periods. In addition, the Company also leases approximately 19,500 square feet of office space in Vista, California, under a lease that expires in January 2021 with an option to extend the lease for an additional 24-month period. The Company's lease payments under each of these leases are subject to escalation clauses.</w:t>
      </w:r>
    </w:p>
    <w:p>
      <w:pPr>
        <w:spacing w:after="0" w:line="204" w:lineRule="exact"/>
        <w:rPr>
          <w:sz w:val="20"/>
          <w:szCs w:val="20"/>
          <w:color w:val="auto"/>
        </w:rPr>
      </w:pPr>
    </w:p>
    <w:p>
      <w:pPr>
        <w:ind w:right="280" w:firstLine="446"/>
        <w:spacing w:after="0" w:line="262" w:lineRule="auto"/>
        <w:rPr>
          <w:sz w:val="20"/>
          <w:szCs w:val="20"/>
          <w:color w:val="auto"/>
        </w:rPr>
      </w:pPr>
      <w:r>
        <w:rPr>
          <w:rFonts w:ascii="Arial" w:cs="Arial" w:eastAsia="Arial" w:hAnsi="Arial"/>
          <w:sz w:val="18"/>
          <w:szCs w:val="18"/>
          <w:color w:val="auto"/>
        </w:rPr>
        <w:t>For the three months ended September 30, 2019 and 2018, rent expense was $0.1 million. For the nine months ended September 30, 2019 and 2018, rent expense was $0.3 million.</w:t>
      </w:r>
    </w:p>
    <w:p>
      <w:pPr>
        <w:sectPr>
          <w:pgSz w:w="11900" w:h="16838" w:orient="portrait"/>
          <w:cols w:equalWidth="0" w:num="1">
            <w:col w:w="11400"/>
          </w:cols>
          <w:pgMar w:left="240" w:top="97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247"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In connection with the acquisition of the medical diagnostics division of Cypress Bioscience, Inc. in 2010, the Company was required to pay certain amounts in the event that certain revenue milestones were achieved and upon the first commercial sale of a product associated with this acquisition. The acquisition also included amounts that may be due under several licensing agreements. All milestone payments other than one have been paid as of December 31, 2017. The remaining milestone obligation is for an additional $2.0 million payment due to Prometheus Laboratories, Inc. (Prometheus) for which the fair value was determined to be zero at September 30, 2019 and December 31, 2018.</w:t>
      </w:r>
    </w:p>
    <w:p>
      <w:pPr>
        <w:spacing w:after="0" w:line="209" w:lineRule="exact"/>
        <w:rPr>
          <w:sz w:val="20"/>
          <w:szCs w:val="20"/>
          <w:color w:val="auto"/>
        </w:rPr>
      </w:pPr>
    </w:p>
    <w:p>
      <w:pPr>
        <w:ind w:right="180" w:firstLine="446"/>
        <w:spacing w:after="0" w:line="256" w:lineRule="auto"/>
        <w:rPr>
          <w:sz w:val="20"/>
          <w:szCs w:val="20"/>
          <w:color w:val="auto"/>
        </w:rPr>
      </w:pPr>
      <w:r>
        <w:rPr>
          <w:rFonts w:ascii="Arial" w:cs="Arial" w:eastAsia="Arial" w:hAnsi="Arial"/>
          <w:sz w:val="18"/>
          <w:szCs w:val="18"/>
          <w:color w:val="auto"/>
        </w:rPr>
        <w:t>In addition, the Company has ongoing royalty payment obligations on net sales of products which incorporate certain acquired technologies ranging from 2.5% to 7.5%. Future royalties payable under these arrangements are limited to the lesser of an aggregate of $4.2 million (including an upfront payment of $100,000) or the total royalties earned through January 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99"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on net sales of products which incorporate licensed technology, as defined, ranging from 3.0% to 20.0%. Royalties are accrued when earned and recorded in costs of revenue in the accompanying condensed statement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112" w:lineRule="exact"/>
        <w:rPr>
          <w:sz w:val="20"/>
          <w:szCs w:val="20"/>
          <w:color w:val="auto"/>
        </w:rPr>
      </w:pPr>
    </w:p>
    <w:p>
      <w:pPr>
        <w:ind w:right="680" w:firstLine="446"/>
        <w:spacing w:after="0" w:line="262" w:lineRule="auto"/>
        <w:rPr>
          <w:sz w:val="20"/>
          <w:szCs w:val="20"/>
          <w:color w:val="auto"/>
        </w:rPr>
      </w:pPr>
      <w:r>
        <w:rPr>
          <w:rFonts w:ascii="Arial" w:cs="Arial" w:eastAsia="Arial" w:hAnsi="Arial"/>
          <w:sz w:val="18"/>
          <w:szCs w:val="18"/>
          <w:color w:val="auto"/>
        </w:rPr>
        <w:t>In January 2018, the Company entered into a supply agreement with one supplier for reagents which includes a minimum annual purchase commitment of $3.25 million for each of the three years covered by the agreement, which terminates in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99" w:lineRule="exact"/>
        <w:rPr>
          <w:sz w:val="20"/>
          <w:szCs w:val="20"/>
          <w:color w:val="auto"/>
        </w:rPr>
      </w:pPr>
    </w:p>
    <w:p>
      <w:pPr>
        <w:ind w:right="40" w:firstLine="446"/>
        <w:spacing w:after="0" w:line="252"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subpoenas and other civil investigative demands, from governmental agencies, Medicare or Medicaid payers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not a party to any litigation and does not have contingent reserves established for any litigation liabilities.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12" w:lineRule="exact"/>
        <w:rPr>
          <w:sz w:val="20"/>
          <w:szCs w:val="20"/>
          <w:color w:val="auto"/>
        </w:rPr>
      </w:pPr>
    </w:p>
    <w:p>
      <w:pPr>
        <w:ind w:right="340" w:firstLine="446"/>
        <w:spacing w:after="0" w:line="262"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97" w:lineRule="exact"/>
        <w:rPr>
          <w:sz w:val="20"/>
          <w:szCs w:val="20"/>
          <w:color w:val="auto"/>
        </w:rPr>
      </w:pPr>
    </w:p>
    <w:p>
      <w:pPr>
        <w:jc w:val="center"/>
        <w:ind w:left="6340"/>
        <w:spacing w:after="0"/>
        <w:rPr>
          <w:sz w:val="20"/>
          <w:szCs w:val="20"/>
          <w:color w:val="auto"/>
        </w:rPr>
      </w:pPr>
      <w:r>
        <w:rPr>
          <w:rFonts w:ascii="Arial" w:cs="Arial" w:eastAsia="Arial" w:hAnsi="Arial"/>
          <w:sz w:val="13"/>
          <w:szCs w:val="13"/>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22225</wp:posOffset>
            </wp:positionV>
            <wp:extent cx="32073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47" w:lineRule="exact"/>
        <w:rPr>
          <w:sz w:val="20"/>
          <w:szCs w:val="20"/>
          <w:color w:val="auto"/>
        </w:rPr>
      </w:pPr>
    </w:p>
    <w:p>
      <w:pPr>
        <w:ind w:left="6800"/>
        <w:spacing w:after="0"/>
        <w:tabs>
          <w:tab w:leader="none" w:pos="8020" w:val="left"/>
          <w:tab w:leader="none" w:pos="9300" w:val="left"/>
          <w:tab w:leader="none" w:pos="10580" w:val="left"/>
        </w:tabs>
        <w:rPr>
          <w:sz w:val="20"/>
          <w:szCs w:val="20"/>
          <w:color w:val="auto"/>
        </w:rPr>
      </w:pPr>
      <w:r>
        <w:rPr>
          <w:rFonts w:ascii="Arial" w:cs="Arial" w:eastAsia="Arial" w:hAnsi="Arial"/>
          <w:sz w:val="13"/>
          <w:szCs w:val="13"/>
          <w:b w:val="1"/>
          <w:bCs w:val="1"/>
          <w:color w:val="auto"/>
        </w:rPr>
        <w:t>Total</w:t>
      </w:r>
      <w:r>
        <w:rPr>
          <w:sz w:val="20"/>
          <w:szCs w:val="20"/>
          <w:color w:val="auto"/>
        </w:rPr>
        <w:tab/>
      </w:r>
      <w:r>
        <w:rPr>
          <w:rFonts w:ascii="Arial" w:cs="Arial" w:eastAsia="Arial" w:hAnsi="Arial"/>
          <w:sz w:val="13"/>
          <w:szCs w:val="13"/>
          <w:b w:val="1"/>
          <w:bCs w:val="1"/>
          <w:color w:val="auto"/>
        </w:rPr>
        <w:t>Level 1</w:t>
      </w:r>
      <w:r>
        <w:rPr>
          <w:sz w:val="20"/>
          <w:szCs w:val="20"/>
          <w:color w:val="auto"/>
        </w:rPr>
        <w:tab/>
      </w:r>
      <w:r>
        <w:rPr>
          <w:rFonts w:ascii="Arial" w:cs="Arial" w:eastAsia="Arial" w:hAnsi="Arial"/>
          <w:sz w:val="13"/>
          <w:szCs w:val="13"/>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3773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3716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73" w:lineRule="exact"/>
        <w:rPr>
          <w:sz w:val="20"/>
          <w:szCs w:val="20"/>
          <w:color w:val="auto"/>
        </w:rPr>
      </w:pPr>
    </w:p>
    <w:p>
      <w:pPr>
        <w:ind w:left="340"/>
        <w:spacing w:after="0"/>
        <w:tabs>
          <w:tab w:leader="none" w:pos="6360" w:val="left"/>
          <w:tab w:leader="none" w:pos="6940" w:val="left"/>
          <w:tab w:leader="none" w:pos="7660" w:val="left"/>
          <w:tab w:leader="none" w:pos="8240" w:val="left"/>
          <w:tab w:leader="none" w:pos="9820" w:val="left"/>
          <w:tab w:leader="none" w:pos="11100" w:val="left"/>
        </w:tabs>
        <w:rPr>
          <w:sz w:val="20"/>
          <w:szCs w:val="20"/>
          <w:color w:val="auto"/>
        </w:rPr>
      </w:pPr>
      <w:r>
        <w:rPr>
          <w:rFonts w:ascii="Arial" w:cs="Arial" w:eastAsia="Arial" w:hAnsi="Arial"/>
          <w:sz w:val="14"/>
          <w:szCs w:val="14"/>
          <w:color w:val="auto"/>
        </w:rPr>
        <w:t>Money market funds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71,950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71,950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03" w:right="279" w:bottom="1440" w:gutter="0" w:footer="0" w:header="0"/>
        </w:sectPr>
      </w:pPr>
    </w:p>
    <w:bookmarkStart w:id="18" w:name="page19"/>
    <w:bookmarkEnd w:id="18"/>
    <w:p>
      <w:pPr>
        <w:ind w:left="8260"/>
        <w:spacing w:after="0"/>
        <w:rPr>
          <w:sz w:val="20"/>
          <w:szCs w:val="20"/>
          <w:color w:val="auto"/>
        </w:rPr>
      </w:pPr>
      <w:r>
        <w:rPr>
          <w:rFonts w:ascii="Arial" w:cs="Arial" w:eastAsia="Arial" w:hAnsi="Arial"/>
          <w:sz w:val="13"/>
          <w:szCs w:val="13"/>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22225</wp:posOffset>
            </wp:positionV>
            <wp:extent cx="32848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5"/>
                <w:szCs w:val="15"/>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Level 3</w:t>
            </w:r>
          </w:p>
        </w:tc>
      </w:tr>
      <w:tr>
        <w:trPr>
          <w:trHeight w:val="195"/>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(As Revised)</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b w:val="1"/>
                <w:bCs w:val="1"/>
                <w:color w:val="auto"/>
              </w:rPr>
              <w:t>(As Revised)</w:t>
            </w:r>
          </w:p>
        </w:tc>
      </w:tr>
      <w:tr>
        <w:trPr>
          <w:trHeight w:val="224"/>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0"/>
        </w:trPr>
        <w:tc>
          <w:tcPr>
            <w:tcW w:w="6240" w:type="dxa"/>
            <w:vAlign w:val="bottom"/>
          </w:tcPr>
          <w:p>
            <w:pPr>
              <w:ind w:left="340"/>
              <w:spacing w:after="0"/>
              <w:rPr>
                <w:sz w:val="20"/>
                <w:szCs w:val="20"/>
                <w:color w:val="auto"/>
              </w:rPr>
            </w:pPr>
            <w:r>
              <w:rPr>
                <w:rFonts w:ascii="Arial" w:cs="Arial" w:eastAsia="Arial" w:hAnsi="Arial"/>
                <w:sz w:val="14"/>
                <w:szCs w:val="14"/>
                <w:color w:val="auto"/>
              </w:rPr>
              <w:t>Money market funds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8,618</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8,618</w:t>
            </w:r>
          </w:p>
        </w:tc>
        <w:tc>
          <w:tcPr>
            <w:tcW w:w="100" w:type="dxa"/>
            <w:vAlign w:val="bottom"/>
          </w:tcPr>
          <w:p>
            <w:pPr>
              <w:spacing w:after="0"/>
              <w:rPr>
                <w:sz w:val="18"/>
                <w:szCs w:val="18"/>
                <w:color w:val="auto"/>
              </w:rPr>
            </w:pP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w:t>
            </w:r>
          </w:p>
        </w:tc>
      </w:tr>
      <w:tr>
        <w:trPr>
          <w:trHeight w:val="222"/>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04"/>
        </w:trPr>
        <w:tc>
          <w:tcPr>
            <w:tcW w:w="6240" w:type="dxa"/>
            <w:vAlign w:val="bottom"/>
          </w:tcPr>
          <w:p>
            <w:pPr>
              <w:ind w:left="340"/>
              <w:spacing w:after="0"/>
              <w:rPr>
                <w:sz w:val="20"/>
                <w:szCs w:val="20"/>
                <w:color w:val="auto"/>
              </w:rPr>
            </w:pPr>
            <w:r>
              <w:rPr>
                <w:rFonts w:ascii="Arial" w:cs="Arial" w:eastAsia="Arial" w:hAnsi="Arial"/>
                <w:sz w:val="14"/>
                <w:szCs w:val="14"/>
                <w:color w:val="auto"/>
              </w:rPr>
              <w:t>Redeemable convertible preferred stock warrant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1,503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73"/>
              <w:spacing w:after="0"/>
              <w:rPr>
                <w:sz w:val="20"/>
                <w:szCs w:val="20"/>
                <w:color w:val="auto"/>
              </w:rPr>
            </w:pPr>
            <w:r>
              <w:rPr>
                <w:rFonts w:ascii="Arial" w:cs="Arial" w:eastAsia="Arial" w:hAnsi="Arial"/>
                <w:sz w:val="14"/>
                <w:szCs w:val="14"/>
                <w:color w:val="auto"/>
              </w:rPr>
              <w:t>1,503</w:t>
            </w:r>
          </w:p>
        </w:tc>
      </w:tr>
    </w:tbl>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66" w:lineRule="exact"/>
        <w:rPr>
          <w:sz w:val="20"/>
          <w:szCs w:val="20"/>
          <w:color w:val="auto"/>
        </w:rPr>
      </w:pPr>
    </w:p>
    <w:p>
      <w:pPr>
        <w:ind w:right="180" w:firstLine="446"/>
        <w:spacing w:after="0" w:line="262" w:lineRule="auto"/>
        <w:rPr>
          <w:sz w:val="20"/>
          <w:szCs w:val="20"/>
          <w:color w:val="auto"/>
        </w:rPr>
      </w:pPr>
      <w:r>
        <w:rPr>
          <w:rFonts w:ascii="Arial" w:cs="Arial" w:eastAsia="Arial" w:hAnsi="Arial"/>
          <w:sz w:val="18"/>
          <w:szCs w:val="18"/>
          <w:color w:val="auto"/>
        </w:rPr>
        <w:t>The following table includes a roll-forward of the financial instruments measured on a recurring basis and classified within Level 3 of the fair value hierarchy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center"/>
              <w:ind w:right="171"/>
              <w:spacing w:after="0"/>
              <w:rPr>
                <w:sz w:val="20"/>
                <w:szCs w:val="20"/>
                <w:color w:val="auto"/>
              </w:rPr>
            </w:pPr>
            <w:r>
              <w:rPr>
                <w:rFonts w:ascii="Arial" w:cs="Arial" w:eastAsia="Arial" w:hAnsi="Arial"/>
                <w:sz w:val="13"/>
                <w:szCs w:val="13"/>
                <w:b w:val="1"/>
                <w:bCs w:val="1"/>
                <w:color w:val="auto"/>
                <w:w w:val="93"/>
              </w:rPr>
              <w:t>Liability</w:t>
            </w:r>
          </w:p>
        </w:tc>
      </w:tr>
      <w:tr>
        <w:trPr>
          <w:trHeight w:val="135"/>
        </w:trPr>
        <w:tc>
          <w:tcPr>
            <w:tcW w:w="9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jc w:val="center"/>
              <w:ind w:right="171"/>
              <w:spacing w:after="0" w:line="135" w:lineRule="exact"/>
              <w:rPr>
                <w:sz w:val="20"/>
                <w:szCs w:val="20"/>
                <w:color w:val="auto"/>
              </w:rPr>
            </w:pPr>
            <w:r>
              <w:rPr>
                <w:rFonts w:ascii="Arial" w:cs="Arial" w:eastAsia="Arial" w:hAnsi="Arial"/>
                <w:sz w:val="13"/>
                <w:szCs w:val="13"/>
                <w:b w:val="1"/>
                <w:bCs w:val="1"/>
                <w:color w:val="auto"/>
                <w:w w:val="94"/>
              </w:rPr>
              <w:t>Classified</w:t>
            </w:r>
          </w:p>
        </w:tc>
      </w:tr>
      <w:tr>
        <w:trPr>
          <w:trHeight w:val="178"/>
        </w:trPr>
        <w:tc>
          <w:tcPr>
            <w:tcW w:w="9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71"/>
              <w:spacing w:after="0"/>
              <w:rPr>
                <w:sz w:val="20"/>
                <w:szCs w:val="20"/>
                <w:color w:val="auto"/>
              </w:rPr>
            </w:pPr>
            <w:r>
              <w:rPr>
                <w:rFonts w:ascii="Arial" w:cs="Arial" w:eastAsia="Arial" w:hAnsi="Arial"/>
                <w:sz w:val="13"/>
                <w:szCs w:val="13"/>
                <w:b w:val="1"/>
                <w:bCs w:val="1"/>
                <w:color w:val="auto"/>
                <w:w w:val="95"/>
              </w:rPr>
              <w:t>Warrants</w:t>
            </w:r>
          </w:p>
        </w:tc>
      </w:tr>
      <w:tr>
        <w:trPr>
          <w:trHeight w:val="195"/>
        </w:trPr>
        <w:tc>
          <w:tcPr>
            <w:tcW w:w="9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71"/>
              <w:spacing w:after="0"/>
              <w:rPr>
                <w:sz w:val="20"/>
                <w:szCs w:val="20"/>
                <w:color w:val="auto"/>
              </w:rPr>
            </w:pPr>
            <w:r>
              <w:rPr>
                <w:rFonts w:ascii="Arial" w:cs="Arial" w:eastAsia="Arial" w:hAnsi="Arial"/>
                <w:sz w:val="13"/>
                <w:szCs w:val="13"/>
                <w:b w:val="1"/>
                <w:bCs w:val="1"/>
                <w:color w:val="auto"/>
                <w:w w:val="98"/>
              </w:rPr>
              <w:t>(As Revised)</w:t>
            </w:r>
          </w:p>
        </w:tc>
      </w:tr>
      <w:tr>
        <w:trPr>
          <w:trHeight w:val="224"/>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December 31, 2017</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896</w:t>
            </w:r>
          </w:p>
        </w:tc>
      </w:tr>
      <w:tr>
        <w:trPr>
          <w:trHeight w:val="210"/>
        </w:trPr>
        <w:tc>
          <w:tcPr>
            <w:tcW w:w="9760" w:type="dxa"/>
            <w:vAlign w:val="bottom"/>
          </w:tcPr>
          <w:p>
            <w:pPr>
              <w:ind w:left="20"/>
              <w:spacing w:after="0"/>
              <w:rPr>
                <w:sz w:val="20"/>
                <w:szCs w:val="20"/>
                <w:color w:val="auto"/>
              </w:rPr>
            </w:pPr>
            <w:r>
              <w:rPr>
                <w:rFonts w:ascii="Arial" w:cs="Arial" w:eastAsia="Arial" w:hAnsi="Arial"/>
                <w:sz w:val="14"/>
                <w:szCs w:val="14"/>
                <w:color w:val="auto"/>
              </w:rPr>
              <w:t>Issuance of warrants to purchase shares of Series F redeemable convertible preferred stock in connection with 2017 Term Loan (Note 4)</w:t>
            </w:r>
          </w:p>
        </w:tc>
        <w:tc>
          <w:tcPr>
            <w:tcW w:w="240" w:type="dxa"/>
            <w:vAlign w:val="bottom"/>
          </w:tcPr>
          <w:p>
            <w:pPr>
              <w:spacing w:after="0"/>
              <w:rPr>
                <w:sz w:val="18"/>
                <w:szCs w:val="18"/>
                <w:color w:val="auto"/>
              </w:rPr>
            </w:pPr>
          </w:p>
        </w:tc>
        <w:tc>
          <w:tcPr>
            <w:tcW w:w="1300" w:type="dxa"/>
            <w:vAlign w:val="bottom"/>
          </w:tcPr>
          <w:p>
            <w:pPr>
              <w:jc w:val="right"/>
              <w:ind w:right="71"/>
              <w:spacing w:after="0"/>
              <w:rPr>
                <w:sz w:val="20"/>
                <w:szCs w:val="20"/>
                <w:color w:val="auto"/>
              </w:rPr>
            </w:pPr>
            <w:r>
              <w:rPr>
                <w:rFonts w:ascii="Arial" w:cs="Arial" w:eastAsia="Arial" w:hAnsi="Arial"/>
                <w:sz w:val="14"/>
                <w:szCs w:val="14"/>
                <w:color w:val="auto"/>
              </w:rPr>
              <w:t>289</w:t>
            </w:r>
          </w:p>
        </w:tc>
      </w:tr>
      <w:tr>
        <w:trPr>
          <w:trHeight w:val="222"/>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Remeasurement of financial instruments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318</w:t>
            </w:r>
          </w:p>
        </w:tc>
      </w:tr>
      <w:tr>
        <w:trPr>
          <w:trHeight w:val="204"/>
        </w:trPr>
        <w:tc>
          <w:tcPr>
            <w:tcW w:w="9760" w:type="dxa"/>
            <w:vAlign w:val="bottom"/>
          </w:tcPr>
          <w:p>
            <w:pPr>
              <w:ind w:left="20"/>
              <w:spacing w:after="0"/>
              <w:rPr>
                <w:sz w:val="20"/>
                <w:szCs w:val="20"/>
                <w:color w:val="auto"/>
              </w:rPr>
            </w:pPr>
            <w:r>
              <w:rPr>
                <w:rFonts w:ascii="Arial" w:cs="Arial" w:eastAsia="Arial" w:hAnsi="Arial"/>
                <w:sz w:val="14"/>
                <w:szCs w:val="14"/>
                <w:color w:val="auto"/>
              </w:rPr>
              <w:t>Balances at December 31, 2018</w:t>
            </w:r>
          </w:p>
        </w:tc>
        <w:tc>
          <w:tcPr>
            <w:tcW w:w="240" w:type="dxa"/>
            <w:vAlign w:val="bottom"/>
          </w:tcPr>
          <w:p>
            <w:pPr>
              <w:spacing w:after="0"/>
              <w:rPr>
                <w:sz w:val="17"/>
                <w:szCs w:val="17"/>
                <w:color w:val="auto"/>
              </w:rPr>
            </w:pPr>
          </w:p>
        </w:tc>
        <w:tc>
          <w:tcPr>
            <w:tcW w:w="1300" w:type="dxa"/>
            <w:vAlign w:val="bottom"/>
          </w:tcPr>
          <w:p>
            <w:pPr>
              <w:jc w:val="right"/>
              <w:ind w:right="71"/>
              <w:spacing w:after="0"/>
              <w:rPr>
                <w:sz w:val="20"/>
                <w:szCs w:val="20"/>
                <w:color w:val="auto"/>
              </w:rPr>
            </w:pPr>
            <w:r>
              <w:rPr>
                <w:rFonts w:ascii="Arial" w:cs="Arial" w:eastAsia="Arial" w:hAnsi="Arial"/>
                <w:sz w:val="14"/>
                <w:szCs w:val="14"/>
                <w:color w:val="auto"/>
              </w:rPr>
              <w:t>1,503</w:t>
            </w:r>
          </w:p>
        </w:tc>
      </w:tr>
      <w:tr>
        <w:trPr>
          <w:trHeight w:val="222"/>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Remeasurement of financial instruments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(267)</w:t>
            </w:r>
          </w:p>
        </w:tc>
      </w:tr>
      <w:tr>
        <w:trPr>
          <w:trHeight w:val="210"/>
        </w:trPr>
        <w:tc>
          <w:tcPr>
            <w:tcW w:w="9760" w:type="dxa"/>
            <w:vAlign w:val="bottom"/>
          </w:tcPr>
          <w:p>
            <w:pPr>
              <w:ind w:left="20"/>
              <w:spacing w:after="0"/>
              <w:rPr>
                <w:sz w:val="20"/>
                <w:szCs w:val="20"/>
                <w:color w:val="auto"/>
              </w:rPr>
            </w:pPr>
            <w:r>
              <w:rPr>
                <w:rFonts w:ascii="Arial" w:cs="Arial" w:eastAsia="Arial" w:hAnsi="Arial"/>
                <w:sz w:val="14"/>
                <w:szCs w:val="14"/>
                <w:color w:val="auto"/>
              </w:rPr>
              <w:t>Net exercise of preferred stock warrants</w:t>
            </w:r>
          </w:p>
        </w:tc>
        <w:tc>
          <w:tcPr>
            <w:tcW w:w="24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4"/>
                <w:szCs w:val="14"/>
                <w:color w:val="auto"/>
              </w:rPr>
              <w:t>(510)</w:t>
            </w:r>
          </w:p>
        </w:tc>
      </w:tr>
      <w:tr>
        <w:trPr>
          <w:trHeight w:val="222"/>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Reclassification of liability classified warrants to stockholders' equity (deficit)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(726)</w:t>
            </w:r>
          </w:p>
        </w:tc>
      </w:tr>
      <w:tr>
        <w:trPr>
          <w:trHeight w:val="204"/>
        </w:trPr>
        <w:tc>
          <w:tcPr>
            <w:tcW w:w="9760" w:type="dxa"/>
            <w:vAlign w:val="bottom"/>
          </w:tcPr>
          <w:p>
            <w:pPr>
              <w:ind w:left="20"/>
              <w:spacing w:after="0"/>
              <w:rPr>
                <w:sz w:val="20"/>
                <w:szCs w:val="20"/>
                <w:color w:val="auto"/>
              </w:rPr>
            </w:pPr>
            <w:r>
              <w:rPr>
                <w:rFonts w:ascii="Arial" w:cs="Arial" w:eastAsia="Arial" w:hAnsi="Arial"/>
                <w:sz w:val="14"/>
                <w:szCs w:val="14"/>
                <w:color w:val="auto"/>
              </w:rPr>
              <w:t>Balance at September 30, 2019</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r>
      <w:tr>
        <w:trPr>
          <w:trHeight w:val="27"/>
        </w:trPr>
        <w:tc>
          <w:tcPr>
            <w:tcW w:w="9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580" w:firstLine="446"/>
        <w:spacing w:after="0" w:line="262" w:lineRule="auto"/>
        <w:rPr>
          <w:sz w:val="20"/>
          <w:szCs w:val="20"/>
          <w:color w:val="auto"/>
        </w:rPr>
      </w:pPr>
      <w:r>
        <w:rPr>
          <w:rFonts w:ascii="Arial" w:cs="Arial" w:eastAsia="Arial" w:hAnsi="Arial"/>
          <w:sz w:val="18"/>
          <w:szCs w:val="18"/>
          <w:color w:val="auto"/>
        </w:rPr>
        <w:t>Changes in the fair value of the Company's liability classified warrants are recorded in the line item change in fair value of financial instruments in the accompanying condensed statement of operations.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Convertible Preferred Stock</w:t>
      </w:r>
    </w:p>
    <w:p>
      <w:pPr>
        <w:spacing w:after="0" w:line="99" w:lineRule="exact"/>
        <w:rPr>
          <w:sz w:val="20"/>
          <w:szCs w:val="20"/>
          <w:color w:val="auto"/>
        </w:rPr>
      </w:pPr>
    </w:p>
    <w:p>
      <w:pPr>
        <w:jc w:val="both"/>
        <w:ind w:right="400" w:firstLine="446"/>
        <w:spacing w:after="0" w:line="256" w:lineRule="auto"/>
        <w:rPr>
          <w:sz w:val="20"/>
          <w:szCs w:val="20"/>
          <w:color w:val="auto"/>
        </w:rPr>
      </w:pPr>
      <w:r>
        <w:rPr>
          <w:rFonts w:ascii="Arial" w:cs="Arial" w:eastAsia="Arial" w:hAnsi="Arial"/>
          <w:sz w:val="18"/>
          <w:szCs w:val="18"/>
          <w:color w:val="auto"/>
        </w:rPr>
        <w:t>On January 2, 2019, the Company amended and restated its restated certificate of incorporation to, among other things, increase its authorized shares of convertible preferred stock from 750,300,000 to 955,500,000 shares, of which 205,200,000 shares are designated as Series G convertible preferred stock and set forth the rights, preferences and privileges of the Series G convertible preferred stock.</w:t>
      </w:r>
    </w:p>
    <w:p>
      <w:pPr>
        <w:spacing w:after="0" w:line="67" w:lineRule="exact"/>
        <w:rPr>
          <w:sz w:val="20"/>
          <w:szCs w:val="20"/>
          <w:color w:val="auto"/>
        </w:rPr>
      </w:pPr>
    </w:p>
    <w:p>
      <w:pPr>
        <w:ind w:right="260" w:firstLine="446"/>
        <w:spacing w:after="0" w:line="254" w:lineRule="auto"/>
        <w:rPr>
          <w:sz w:val="20"/>
          <w:szCs w:val="20"/>
          <w:color w:val="auto"/>
        </w:rPr>
      </w:pPr>
      <w:r>
        <w:rPr>
          <w:rFonts w:ascii="Arial" w:cs="Arial" w:eastAsia="Arial" w:hAnsi="Arial"/>
          <w:sz w:val="18"/>
          <w:szCs w:val="18"/>
          <w:color w:val="auto"/>
        </w:rPr>
        <w:t>On July 11, 2019, the Company amended and restated its restated certificate of incorporation to among other things, increase its authorized shares of convertible preferred stock from 955,500,000 to 1,038,667,059 shares, of which 479,967,595 shares are designated as Series H redeemable convertible preferred stock and set forth the rights, preferences and privileges of the Series H redeemable convertible preferred stock.</w:t>
      </w:r>
    </w:p>
    <w:p>
      <w:pPr>
        <w:spacing w:after="0" w:line="56" w:lineRule="exact"/>
        <w:rPr>
          <w:sz w:val="20"/>
          <w:szCs w:val="20"/>
          <w:color w:val="auto"/>
        </w:rPr>
      </w:pPr>
    </w:p>
    <w:p>
      <w:pPr>
        <w:ind w:right="500" w:firstLine="446"/>
        <w:spacing w:after="0" w:line="254" w:lineRule="auto"/>
        <w:rPr>
          <w:sz w:val="20"/>
          <w:szCs w:val="20"/>
          <w:color w:val="auto"/>
        </w:rPr>
      </w:pPr>
      <w:r>
        <w:rPr>
          <w:rFonts w:ascii="Arial" w:cs="Arial" w:eastAsia="Arial" w:hAnsi="Arial"/>
          <w:sz w:val="18"/>
          <w:szCs w:val="18"/>
          <w:color w:val="auto"/>
        </w:rPr>
        <w:t>Upon completion of the Company's IPO in September 2019, an aggregate of 7,816,643 shares of common stock, excluding warrant conversions, were issued to the holders of the Company's Series A-3, Series B-3, Series C, Series D, Series E, Series F and Series H redeemable convertible preferred stockholders upon the automatic conversion of all shares of redeemable convertible preferred stock to common stock. As a result, no shares of redeemable convertible preferred stock remain outstanding at September 30,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Financing</w:t>
      </w:r>
    </w:p>
    <w:p>
      <w:pPr>
        <w:spacing w:after="0" w:line="99"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color w:val="auto"/>
        </w:rPr>
        <w:t>In December 2017, the Company's Board of Directors authorized a third tranche closing of the issuance to existing preferred stockholders in connection with the Company's Series F financing, which was completed between December 2017 and January 2018. In December 2017, a group of existing investors of the Company purchased 54,246,756 shares of Series F redeemable convertible preferred stock at a per share price of $0.078 for aggregate gross proceeds of approximately $4.2 million. In early January 2018, a group of existing stockholders of the Company purchased an additional 34,914,327 shares of Series F redeemable convertible preferred stock at a per share price of $0.078 for aggregate gross proceeds of approximately $2.7 million.</w:t>
      </w:r>
    </w:p>
    <w:p>
      <w:pPr>
        <w:spacing w:after="0" w:line="74" w:lineRule="exact"/>
        <w:rPr>
          <w:sz w:val="20"/>
          <w:szCs w:val="20"/>
          <w:color w:val="auto"/>
        </w:rPr>
      </w:pPr>
    </w:p>
    <w:p>
      <w:pPr>
        <w:ind w:right="960" w:firstLine="446"/>
        <w:spacing w:after="0" w:line="262" w:lineRule="auto"/>
        <w:rPr>
          <w:sz w:val="20"/>
          <w:szCs w:val="20"/>
          <w:color w:val="auto"/>
        </w:rPr>
      </w:pPr>
      <w:r>
        <w:rPr>
          <w:rFonts w:ascii="Arial" w:cs="Arial" w:eastAsia="Arial" w:hAnsi="Arial"/>
          <w:sz w:val="18"/>
          <w:szCs w:val="18"/>
          <w:color w:val="auto"/>
        </w:rPr>
        <w:t>The Company concluded that the third tranche closing of the Series F preferred stock purchase agreement contained a single freestanding financial instrument, shares of Series F redeemable convertible preferred stock, and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19" w:name="page20"/>
    <w:bookmarkEnd w:id="19"/>
    <w:p>
      <w:pPr>
        <w:ind w:right="60"/>
        <w:spacing w:after="0" w:line="252" w:lineRule="auto"/>
        <w:rPr>
          <w:sz w:val="20"/>
          <w:szCs w:val="20"/>
          <w:color w:val="auto"/>
        </w:rPr>
      </w:pPr>
      <w:r>
        <w:rPr>
          <w:rFonts w:ascii="Arial" w:cs="Arial" w:eastAsia="Arial" w:hAnsi="Arial"/>
          <w:sz w:val="18"/>
          <w:szCs w:val="18"/>
          <w:color w:val="auto"/>
        </w:rPr>
        <w:t>the Company determined there were no embedded features requiring bifurcation in the shares of Series F redeemable convertible preferred stock issued in the third tranche closing. The Company accounted for the difference between the estimated fair value and the $0.078 per share purchase price of shares of Series F redeemable convertible preferred stock issued in the third tranche closing as a deemed dividend since all investors in the third closing are existing preferred stockholders of the Company, and the Company did not identify any elements to the transaction which it believes were compensatory in nature. As a result, the Company recognized a deemed dividend in the amount of $1.2 million in the first quarter of 2018, that was recorded as additional paid-in capital (in the absence of retained earnings) in the accompanying condensed statement of redeemable convertible preferred stock and stockholders’ deficit.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G Financing</w:t>
      </w:r>
    </w:p>
    <w:p>
      <w:pPr>
        <w:spacing w:after="0" w:line="112" w:lineRule="exact"/>
        <w:rPr>
          <w:sz w:val="20"/>
          <w:szCs w:val="20"/>
          <w:color w:val="auto"/>
        </w:rPr>
      </w:pPr>
    </w:p>
    <w:p>
      <w:pPr>
        <w:ind w:right="80" w:firstLine="446"/>
        <w:spacing w:after="0" w:line="253" w:lineRule="auto"/>
        <w:rPr>
          <w:sz w:val="20"/>
          <w:szCs w:val="20"/>
          <w:color w:val="auto"/>
        </w:rPr>
      </w:pPr>
      <w:r>
        <w:rPr>
          <w:rFonts w:ascii="Arial" w:cs="Arial" w:eastAsia="Arial" w:hAnsi="Arial"/>
          <w:sz w:val="18"/>
          <w:szCs w:val="18"/>
          <w:color w:val="auto"/>
        </w:rPr>
        <w:t>In January 2019, the Company entered into an agreement with new and certain existing preferred stockholders to issue shares of Series G redeemable convertible preferred stock in multiple separate closings at per share price of $0.078 in each closing. Shares of Series G redeemable convertible preferred stock were issuable under the Series G preferred stock purchase agreement until the earlier of March 31, 2019 or the issuance of all authorized shares of Series G redeemable convertible preferred stock, as specified in the Company's amended and restated certificate of incorporation.</w:t>
      </w:r>
    </w:p>
    <w:p>
      <w:pPr>
        <w:spacing w:after="0" w:line="206" w:lineRule="exact"/>
        <w:rPr>
          <w:sz w:val="20"/>
          <w:szCs w:val="20"/>
          <w:color w:val="auto"/>
        </w:rPr>
      </w:pPr>
    </w:p>
    <w:p>
      <w:pPr>
        <w:ind w:right="80" w:firstLine="446"/>
        <w:spacing w:after="0" w:line="256" w:lineRule="auto"/>
        <w:rPr>
          <w:sz w:val="20"/>
          <w:szCs w:val="20"/>
          <w:color w:val="auto"/>
        </w:rPr>
      </w:pPr>
      <w:r>
        <w:rPr>
          <w:rFonts w:ascii="Arial" w:cs="Arial" w:eastAsia="Arial" w:hAnsi="Arial"/>
          <w:sz w:val="18"/>
          <w:szCs w:val="18"/>
          <w:color w:val="auto"/>
        </w:rPr>
        <w:t>In January 2019 and March 2019, the Company sold 88,030,905 and 9,615,384 shares, respectively, of Series G redeemable convertible preferred stock for aggregate gross proceeds of approximately $7.6 million to new and existing investors, of which $3.75 million of gross proceeds were received as of December 31, 2018 and are included in the accompanying December 31, 2018 balance sheet.</w:t>
      </w:r>
    </w:p>
    <w:p>
      <w:pPr>
        <w:spacing w:after="0" w:line="243" w:lineRule="exact"/>
        <w:rPr>
          <w:sz w:val="20"/>
          <w:szCs w:val="20"/>
          <w:color w:val="auto"/>
        </w:rPr>
      </w:pPr>
    </w:p>
    <w:p>
      <w:pPr>
        <w:ind w:right="80" w:firstLine="446"/>
        <w:spacing w:after="0" w:line="262" w:lineRule="auto"/>
        <w:rPr>
          <w:sz w:val="20"/>
          <w:szCs w:val="20"/>
          <w:color w:val="auto"/>
        </w:rPr>
      </w:pPr>
      <w:r>
        <w:rPr>
          <w:rFonts w:ascii="Arial" w:cs="Arial" w:eastAsia="Arial" w:hAnsi="Arial"/>
          <w:sz w:val="18"/>
          <w:szCs w:val="18"/>
          <w:color w:val="auto"/>
        </w:rPr>
        <w:t>In May 2019, the Company sold an additional 51,282,048 shares of Series G redeemable convertible preferred stock for aggregate gross proceeds of approximately $4.0 million to existing investors.</w:t>
      </w:r>
    </w:p>
    <w:p>
      <w:pPr>
        <w:spacing w:after="0" w:line="196"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In addition, in May 2019, the Series G preferred stock purchase agreement was amended to include the right of the Company to require certain holders of Series G redeemable convertible preferred stock to purchase an additional 32,051,280 shares of Series G redeemable convertible preferred stock at $0.078 per share, for total aggregate proceeds of $2.5 million, at any time after July 31, 2019 and prior to May 31, 2020. This right terminated in connection with the issuance of the Series H redeemable convertible stock in July 2019.</w:t>
      </w:r>
    </w:p>
    <w:p>
      <w:pPr>
        <w:spacing w:after="0" w:line="204" w:lineRule="exact"/>
        <w:rPr>
          <w:sz w:val="20"/>
          <w:szCs w:val="20"/>
          <w:color w:val="auto"/>
        </w:rPr>
      </w:pPr>
    </w:p>
    <w:p>
      <w:pPr>
        <w:ind w:right="100" w:firstLine="446"/>
        <w:spacing w:after="0" w:line="252" w:lineRule="auto"/>
        <w:rPr>
          <w:sz w:val="20"/>
          <w:szCs w:val="20"/>
          <w:color w:val="auto"/>
        </w:rPr>
      </w:pPr>
      <w:r>
        <w:rPr>
          <w:rFonts w:ascii="Arial" w:cs="Arial" w:eastAsia="Arial" w:hAnsi="Arial"/>
          <w:sz w:val="18"/>
          <w:szCs w:val="18"/>
          <w:color w:val="auto"/>
        </w:rPr>
        <w:t>The Company concluded that the closings of the Series G preferred stock purchase agreement in January and March 2019, contained a single freestanding financial instrument, shares of Series G redeemable convertible preferred stock, and the Company determined there were no embedded features requiring bifurcation in the shares of Series G redeemable convertible preferred stock issued. The Company concluded the closing in May 2019 contained two freestanding financial instruments, shares of Series G redeemable convertible preferred stock and the Company call right, and the Company concluded there were no embedded features requiring bifurcation in the shares of Series G redeemable convertible preferred stock issued. The Company call right was deemed to have nominal value since it was with insiders with knowledge of the imminent closing of Series H redeemable convertible stock.</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H Financing</w:t>
      </w:r>
    </w:p>
    <w:p>
      <w:pPr>
        <w:spacing w:after="0" w:line="247" w:lineRule="exact"/>
        <w:rPr>
          <w:sz w:val="20"/>
          <w:szCs w:val="20"/>
          <w:color w:val="auto"/>
        </w:rPr>
      </w:pPr>
    </w:p>
    <w:p>
      <w:pPr>
        <w:ind w:right="180" w:firstLine="446"/>
        <w:spacing w:after="0" w:line="253" w:lineRule="auto"/>
        <w:rPr>
          <w:sz w:val="20"/>
          <w:szCs w:val="20"/>
          <w:color w:val="auto"/>
        </w:rPr>
      </w:pPr>
      <w:r>
        <w:rPr>
          <w:rFonts w:ascii="Arial" w:cs="Arial" w:eastAsia="Arial" w:hAnsi="Arial"/>
          <w:sz w:val="18"/>
          <w:szCs w:val="18"/>
          <w:color w:val="auto"/>
        </w:rPr>
        <w:t>In July 2019, the Company entered into an agreement with a new investor to issue shares of Series H redeemable convertible preferred stock at a per share price of $0.04712. Pursuant to the terms of the agreement, the new investor purchased 233,446,519 shares of Series H redeemable convertible preferred stock for gross proceeds of approximately $11.0 million. In connection with the Series H financing, the Company converted all of the 148,928,337 outstanding shares of the Company's Series G redeemable convertible preferred stock into 246,521,076 shares of Series H redeemable convertible preferred stock on a dollar-for-dollar basis.</w:t>
      </w:r>
    </w:p>
    <w:p>
      <w:pPr>
        <w:spacing w:after="0" w:line="206" w:lineRule="exact"/>
        <w:rPr>
          <w:sz w:val="20"/>
          <w:szCs w:val="20"/>
          <w:color w:val="auto"/>
        </w:rPr>
      </w:pPr>
    </w:p>
    <w:p>
      <w:pPr>
        <w:ind w:right="180" w:firstLine="446"/>
        <w:spacing w:after="0" w:line="252" w:lineRule="auto"/>
        <w:rPr>
          <w:sz w:val="20"/>
          <w:szCs w:val="20"/>
          <w:color w:val="auto"/>
        </w:rPr>
      </w:pPr>
      <w:r>
        <w:rPr>
          <w:rFonts w:ascii="Arial" w:cs="Arial" w:eastAsia="Arial" w:hAnsi="Arial"/>
          <w:sz w:val="18"/>
          <w:szCs w:val="18"/>
          <w:color w:val="auto"/>
        </w:rPr>
        <w:t>The Company concluded that the closing of the Series H preferred stock purchase agreement contained a single freestanding financial instrument, shares of Series H redeemable convertible preferred stock, and the Company determined there were no embedded features requiring bifurcation in the shares of Series H redeemable convertible preferred stock issued at closing. The Company accounted for the difference between the effective conversion price of $ 0.04712 and the fair value of the underlying common stock at the commitment date as a beneficial conversion feature, which was immediately accreted as a deemed dividend. As a result, the Company recognized a beneficial conversion feature in the amount of $6.7 million in the third quarter of 2019, that was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20" w:name="page21"/>
    <w:bookmarkEnd w:id="20"/>
    <w:p>
      <w:pPr>
        <w:ind w:right="100"/>
        <w:spacing w:after="0" w:line="252" w:lineRule="auto"/>
        <w:rPr>
          <w:sz w:val="20"/>
          <w:szCs w:val="20"/>
          <w:color w:val="auto"/>
        </w:rPr>
      </w:pPr>
      <w:r>
        <w:rPr>
          <w:rFonts w:ascii="Arial" w:cs="Arial" w:eastAsia="Arial" w:hAnsi="Arial"/>
          <w:sz w:val="18"/>
          <w:szCs w:val="18"/>
          <w:color w:val="auto"/>
        </w:rPr>
        <w:t>recorded as additional paid-in capital (in the absence of retained earnings) in the accompanying condensed statement of redeemable convertible preferred stock and stockholders’ equity (deficit). Additionally, the Company concluded that the conversion of shares of Series G into shares of Series H redeemable convertible preferred stock in connection with the issuance of Series H redeemable convertible preferred stock represented an extinguishment of the Series G shares. As a result, the Company recognized a deemed dividend for the extinguishment charge in the amount of $6.9 million in the third quarter of 2019, that was recorded as additional paid-in capital (in the absence of retained earnings) in the accompanying condensed statement of redeemable convertible preferred stock and stockholders' equity (deficit).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2" w:lineRule="exact"/>
        <w:rPr>
          <w:sz w:val="20"/>
          <w:szCs w:val="20"/>
          <w:color w:val="auto"/>
        </w:rPr>
      </w:pPr>
    </w:p>
    <w:p>
      <w:pPr>
        <w:ind w:firstLine="446"/>
        <w:spacing w:after="0" w:line="256" w:lineRule="auto"/>
        <w:rPr>
          <w:sz w:val="20"/>
          <w:szCs w:val="20"/>
          <w:color w:val="auto"/>
        </w:rPr>
      </w:pPr>
      <w:r>
        <w:rPr>
          <w:rFonts w:ascii="Arial" w:cs="Arial" w:eastAsia="Arial" w:hAnsi="Arial"/>
          <w:sz w:val="18"/>
          <w:szCs w:val="18"/>
          <w:color w:val="auto"/>
        </w:rPr>
        <w:t>Common stockholders are entitled to dividends as and when declared by the Board of Directors, subject to the rights of holders of all classes of stock outstanding having priority rights as to dividends. There have been no dividends declared to date. The holder of each share of common stock is entitled to one vote.</w:t>
      </w:r>
    </w:p>
    <w:p>
      <w:pPr>
        <w:spacing w:after="0" w:line="202" w:lineRule="exact"/>
        <w:rPr>
          <w:sz w:val="20"/>
          <w:szCs w:val="20"/>
          <w:color w:val="auto"/>
        </w:rPr>
      </w:pPr>
    </w:p>
    <w:p>
      <w:pPr>
        <w:ind w:right="400" w:firstLine="446"/>
        <w:spacing w:after="0" w:line="262" w:lineRule="auto"/>
        <w:rPr>
          <w:sz w:val="20"/>
          <w:szCs w:val="20"/>
          <w:color w:val="auto"/>
        </w:rPr>
      </w:pPr>
      <w:r>
        <w:rPr>
          <w:rFonts w:ascii="Arial" w:cs="Arial" w:eastAsia="Arial" w:hAnsi="Arial"/>
          <w:sz w:val="18"/>
          <w:szCs w:val="18"/>
          <w:color w:val="auto"/>
        </w:rPr>
        <w:t>On January 2, 2019, the Company amended and restated its restated certificate of incorporation to, among other things, increase its authorized shares of common stock from 1,470,000,000 to 1,675,200,000 shares.</w:t>
      </w:r>
    </w:p>
    <w:p>
      <w:pPr>
        <w:spacing w:after="0" w:line="196" w:lineRule="exact"/>
        <w:rPr>
          <w:sz w:val="20"/>
          <w:szCs w:val="20"/>
          <w:color w:val="auto"/>
        </w:rPr>
      </w:pPr>
    </w:p>
    <w:p>
      <w:pPr>
        <w:ind w:right="620" w:firstLine="446"/>
        <w:spacing w:after="0" w:line="262" w:lineRule="auto"/>
        <w:rPr>
          <w:sz w:val="20"/>
          <w:szCs w:val="20"/>
          <w:color w:val="auto"/>
        </w:rPr>
      </w:pPr>
      <w:r>
        <w:rPr>
          <w:rFonts w:ascii="Arial" w:cs="Arial" w:eastAsia="Arial" w:hAnsi="Arial"/>
          <w:sz w:val="18"/>
          <w:szCs w:val="18"/>
          <w:color w:val="auto"/>
        </w:rPr>
        <w:t>On July 11, 2019, the Company amended and restated its restated certificate of incorporation to, among other things, increase its authorized shares of common stock from 1,675,200,000 to 1,970,000,000 shares.</w:t>
      </w:r>
    </w:p>
    <w:p>
      <w:pPr>
        <w:spacing w:after="0" w:line="196" w:lineRule="exact"/>
        <w:rPr>
          <w:sz w:val="20"/>
          <w:szCs w:val="20"/>
          <w:color w:val="auto"/>
        </w:rPr>
      </w:pPr>
    </w:p>
    <w:p>
      <w:pPr>
        <w:ind w:right="420" w:firstLine="446"/>
        <w:spacing w:after="0" w:line="262" w:lineRule="auto"/>
        <w:rPr>
          <w:sz w:val="20"/>
          <w:szCs w:val="20"/>
          <w:color w:val="auto"/>
        </w:rPr>
      </w:pPr>
      <w:r>
        <w:rPr>
          <w:rFonts w:ascii="Arial" w:cs="Arial" w:eastAsia="Arial" w:hAnsi="Arial"/>
          <w:sz w:val="18"/>
          <w:szCs w:val="18"/>
          <w:color w:val="auto"/>
        </w:rPr>
        <w:t>The Company filed its amended and restated certificate of incorporation on September 23, 2019, authorizing 200,000,000 shares of common stock and 10,000,000 shares of preferred stock.</w:t>
      </w:r>
    </w:p>
    <w:p>
      <w:pPr>
        <w:spacing w:after="0" w:line="48"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On September 23, 2019, the Company closed its IPO of 4,140,000 shares of its common stock at a price to the public of $14.00 per share, including the exercise in full by the underwriters of their option to purchase 540,000 additional shares of the Company's common stock. Including the exercise of the option to purchase additional shares, the aggregate net proceeds to the Company from the offering was approximately $50.5 million, net of underwriting discounts, commissions and other estimated offering expenses, for aggregate expenses of approximately $7.5 million. In addition, an aggregate of 7,816,643 shares of common stock, excluding warrant conversions, were issued to the holders of the Company's Series A-3, Series B-3, Series C, Series D, Series E, Series F and Series H redeemable convertible preferred stockholders upon the automatic conversion of all shares of redeemable convertible preferred stock to common stock.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Option Plan</w:t>
      </w:r>
    </w:p>
    <w:p>
      <w:pPr>
        <w:spacing w:after="0" w:line="99" w:lineRule="exact"/>
        <w:rPr>
          <w:sz w:val="20"/>
          <w:szCs w:val="20"/>
          <w:color w:val="auto"/>
        </w:rPr>
      </w:pPr>
    </w:p>
    <w:p>
      <w:pPr>
        <w:ind w:right="80" w:firstLine="446"/>
        <w:spacing w:after="0" w:line="256" w:lineRule="auto"/>
        <w:rPr>
          <w:sz w:val="20"/>
          <w:szCs w:val="20"/>
          <w:color w:val="auto"/>
        </w:rPr>
      </w:pPr>
      <w:r>
        <w:rPr>
          <w:rFonts w:ascii="Arial" w:cs="Arial" w:eastAsia="Arial" w:hAnsi="Arial"/>
          <w:sz w:val="18"/>
          <w:szCs w:val="18"/>
          <w:color w:val="auto"/>
        </w:rPr>
        <w:t>In December 2012, the Company's Board of Directors adopted the 2013 Stock Option Plan (the Plan). Pursuant to the Plan, employees, consultants, and directors may be granted either incentive stock options or non-qualified stock options to purchase shares of the Company's common stock. In July 2019, the number of shares reserved for issuance under the Plan was increased from 669,806 to 1,663,681 shares.</w:t>
      </w:r>
    </w:p>
    <w:p>
      <w:pPr>
        <w:spacing w:after="0" w:line="67" w:lineRule="exact"/>
        <w:rPr>
          <w:sz w:val="20"/>
          <w:szCs w:val="20"/>
          <w:color w:val="auto"/>
        </w:rPr>
      </w:pPr>
    </w:p>
    <w:p>
      <w:pPr>
        <w:ind w:right="40" w:firstLine="446"/>
        <w:spacing w:after="0" w:line="251"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Incentive Award Plan (the 2019 Plan). Under the 2019 Plan, the Company may grant stock options, stock appreciation rights, restricted stock, restricted stock units and other awards to individuals who are then employees, officers, non-employee directors or consultants of the Company or its subsidiaries. A total of (i) 2,011,832 shares of common stock plus (ii) shares subject to awards granted under the 2013 Plan on or before the effective date of the 2019 Plan became available for issuance under the 2019 Plan and will initially be reserved for issuance under the 2019 Plan. In addition, the number of shares of common stock available for issuance under the 2019 Plan will be increased annually on the first day of each fiscal year during the term of the 2019 Plan, beginning with the 2020 fiscal year, by an amount equal to 4% of the total number of shares of capital stock outstanding on December 31st of the preceding calendar year or such smaller amount as the Board of Directors may determine. As of September 30, 2019, 1,199,631 shares remained available for future awards.</w:t>
      </w:r>
    </w:p>
    <w:p>
      <w:pPr>
        <w:spacing w:after="0" w:line="213" w:lineRule="exact"/>
        <w:rPr>
          <w:sz w:val="20"/>
          <w:szCs w:val="20"/>
          <w:color w:val="auto"/>
        </w:rPr>
      </w:pPr>
    </w:p>
    <w:p>
      <w:pPr>
        <w:ind w:right="460" w:firstLine="446"/>
        <w:spacing w:after="0" w:line="262" w:lineRule="auto"/>
        <w:rPr>
          <w:sz w:val="20"/>
          <w:szCs w:val="20"/>
          <w:color w:val="auto"/>
        </w:rPr>
      </w:pPr>
      <w:r>
        <w:rPr>
          <w:rFonts w:ascii="Arial" w:cs="Arial" w:eastAsia="Arial" w:hAnsi="Arial"/>
          <w:sz w:val="18"/>
          <w:szCs w:val="18"/>
          <w:color w:val="auto"/>
        </w:rPr>
        <w:t>The options generally expire ten years after the date of grant and are exercisable to the extent vested. Vesting is established by the Board of Directors and is generally four years from the date of grant.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under the Company's stock option plans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125"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49"/>
        </w:trPr>
        <w:tc>
          <w:tcPr>
            <w:tcW w:w="55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Weighted-</w:t>
            </w: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Average</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Weighted-</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Remaining</w:t>
            </w:r>
          </w:p>
        </w:tc>
        <w:tc>
          <w:tcPr>
            <w:tcW w:w="240" w:type="dxa"/>
            <w:vAlign w:val="bottom"/>
          </w:tcPr>
          <w:p>
            <w:pPr>
              <w:spacing w:after="0"/>
              <w:rPr>
                <w:sz w:val="11"/>
                <w:szCs w:val="11"/>
                <w:color w:val="auto"/>
              </w:rPr>
            </w:pPr>
          </w:p>
        </w:tc>
        <w:tc>
          <w:tcPr>
            <w:tcW w:w="1040" w:type="dxa"/>
            <w:vAlign w:val="bottom"/>
          </w:tcPr>
          <w:p>
            <w:pPr>
              <w:jc w:val="center"/>
              <w:ind w:right="172"/>
              <w:spacing w:after="0" w:line="135"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460" w:type="dxa"/>
            <w:vAlign w:val="bottom"/>
          </w:tcPr>
          <w:p>
            <w:pPr>
              <w:jc w:val="right"/>
              <w:ind w:right="370"/>
              <w:spacing w:after="0" w:line="135"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Average</w:t>
            </w:r>
          </w:p>
        </w:tc>
        <w:tc>
          <w:tcPr>
            <w:tcW w:w="16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Contractual</w:t>
            </w:r>
          </w:p>
        </w:tc>
        <w:tc>
          <w:tcPr>
            <w:tcW w:w="240" w:type="dxa"/>
            <w:vAlign w:val="bottom"/>
          </w:tcPr>
          <w:p>
            <w:pPr>
              <w:spacing w:after="0"/>
              <w:rPr>
                <w:sz w:val="11"/>
                <w:szCs w:val="11"/>
                <w:color w:val="auto"/>
              </w:rPr>
            </w:pPr>
          </w:p>
        </w:tc>
        <w:tc>
          <w:tcPr>
            <w:tcW w:w="1040" w:type="dxa"/>
            <w:vAlign w:val="bottom"/>
          </w:tcPr>
          <w:p>
            <w:pPr>
              <w:jc w:val="center"/>
              <w:ind w:right="152"/>
              <w:spacing w:after="0" w:line="135"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74"/>
        </w:trPr>
        <w:tc>
          <w:tcPr>
            <w:tcW w:w="55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3"/>
                <w:szCs w:val="13"/>
                <w:b w:val="1"/>
                <w:bCs w:val="1"/>
                <w:color w:val="auto"/>
              </w:rPr>
              <w:t>Options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5"/>
              </w:rPr>
              <w:t>Exercise Price</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Term (Years)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2"/>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2018</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661,180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6,198</w:t>
            </w:r>
          </w:p>
        </w:tc>
        <w:tc>
          <w:tcPr>
            <w:tcW w:w="0" w:type="dxa"/>
            <w:vAlign w:val="bottom"/>
          </w:tcPr>
          <w:p>
            <w:pPr>
              <w:spacing w:after="0"/>
              <w:rPr>
                <w:sz w:val="1"/>
                <w:szCs w:val="1"/>
                <w:color w:val="auto"/>
              </w:rPr>
            </w:pPr>
          </w:p>
        </w:tc>
      </w:tr>
      <w:tr>
        <w:trPr>
          <w:trHeight w:val="210"/>
        </w:trPr>
        <w:tc>
          <w:tcPr>
            <w:tcW w:w="5540" w:type="dxa"/>
            <w:vAlign w:val="bottom"/>
          </w:tcPr>
          <w:p>
            <w:pPr>
              <w:ind w:left="34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ind w:right="90"/>
              <w:spacing w:after="0"/>
              <w:rPr>
                <w:sz w:val="20"/>
                <w:szCs w:val="20"/>
                <w:color w:val="auto"/>
              </w:rPr>
            </w:pPr>
            <w:r>
              <w:rPr>
                <w:rFonts w:ascii="Arial" w:cs="Arial" w:eastAsia="Arial" w:hAnsi="Arial"/>
                <w:sz w:val="14"/>
                <w:szCs w:val="14"/>
                <w:color w:val="auto"/>
              </w:rPr>
              <w:t>814,339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13.99</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Exercised</w:t>
            </w: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34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ind w:right="50"/>
              <w:spacing w:after="0"/>
              <w:rPr>
                <w:sz w:val="20"/>
                <w:szCs w:val="20"/>
                <w:color w:val="auto"/>
              </w:rPr>
            </w:pPr>
            <w:r>
              <w:rPr>
                <w:rFonts w:ascii="Arial" w:cs="Arial" w:eastAsia="Arial" w:hAnsi="Arial"/>
                <w:sz w:val="14"/>
                <w:szCs w:val="14"/>
                <w:color w:val="auto"/>
              </w:rPr>
              <w:t>(310)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Expired</w:t>
            </w: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(153)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37.20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4"/>
                <w:szCs w:val="14"/>
                <w:color w:val="auto"/>
              </w:rPr>
              <w:t>Outstanding, September 30, 2019</w:t>
            </w: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1,475,006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72"/>
              <w:spacing w:after="0"/>
              <w:rPr>
                <w:sz w:val="20"/>
                <w:szCs w:val="20"/>
                <w:color w:val="auto"/>
              </w:rPr>
            </w:pPr>
            <w:r>
              <w:rPr>
                <w:rFonts w:ascii="Arial" w:cs="Arial" w:eastAsia="Arial" w:hAnsi="Arial"/>
                <w:sz w:val="14"/>
                <w:szCs w:val="14"/>
                <w:color w:val="auto"/>
              </w:rPr>
              <w:t>10,993</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4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Vested and expected to vest, September 30, 2019</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1,475,006</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8.26</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10,993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September 30, 2019</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40" w:type="dxa"/>
            <w:vAlign w:val="bottom"/>
            <w:vMerge w:val="continue"/>
          </w:tcPr>
          <w:p>
            <w:pPr>
              <w:spacing w:after="0"/>
              <w:rPr>
                <w:sz w:val="16"/>
                <w:szCs w:val="16"/>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20,464</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30.74</w:t>
            </w:r>
          </w:p>
        </w:tc>
        <w:tc>
          <w:tcPr>
            <w:tcW w:w="10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72"/>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300" w:firstLine="446"/>
        <w:spacing w:after="0" w:line="262" w:lineRule="auto"/>
        <w:rPr>
          <w:sz w:val="20"/>
          <w:szCs w:val="20"/>
          <w:color w:val="auto"/>
        </w:rPr>
      </w:pPr>
      <w:r>
        <w:rPr>
          <w:rFonts w:ascii="Arial" w:cs="Arial" w:eastAsia="Arial" w:hAnsi="Arial"/>
          <w:sz w:val="18"/>
          <w:szCs w:val="18"/>
          <w:color w:val="auto"/>
        </w:rPr>
        <w:t>The intrinsic value is calculated as the difference between the fair value of the Company's common stock and the exercise price of the stock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99" w:lineRule="exact"/>
        <w:rPr>
          <w:sz w:val="20"/>
          <w:szCs w:val="20"/>
          <w:color w:val="auto"/>
        </w:rPr>
      </w:pPr>
    </w:p>
    <w:p>
      <w:pPr>
        <w:ind w:right="500" w:firstLine="446"/>
        <w:spacing w:after="0" w:line="262" w:lineRule="auto"/>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60" w:type="dxa"/>
            <w:vAlign w:val="bottom"/>
          </w:tcPr>
          <w:p>
            <w:pPr>
              <w:spacing w:after="0"/>
              <w:rPr>
                <w:sz w:val="15"/>
                <w:szCs w:val="15"/>
                <w:color w:val="auto"/>
              </w:rPr>
            </w:pPr>
          </w:p>
        </w:tc>
        <w:tc>
          <w:tcPr>
            <w:tcW w:w="2960" w:type="dxa"/>
            <w:vAlign w:val="bottom"/>
            <w:gridSpan w:val="4"/>
          </w:tcPr>
          <w:p>
            <w:pPr>
              <w:ind w:left="360"/>
              <w:spacing w:after="0"/>
              <w:rPr>
                <w:sz w:val="20"/>
                <w:szCs w:val="20"/>
                <w:color w:val="auto"/>
              </w:rPr>
            </w:pPr>
            <w:r>
              <w:rPr>
                <w:rFonts w:ascii="Arial" w:cs="Arial" w:eastAsia="Arial" w:hAnsi="Arial"/>
                <w:sz w:val="13"/>
                <w:szCs w:val="13"/>
                <w:b w:val="1"/>
                <w:bCs w:val="1"/>
                <w:color w:val="auto"/>
              </w:rPr>
              <w:t>Three Months Ended September 30,</w:t>
            </w:r>
          </w:p>
        </w:tc>
        <w:tc>
          <w:tcPr>
            <w:tcW w:w="2880" w:type="dxa"/>
            <w:vAlign w:val="bottom"/>
            <w:gridSpan w:val="3"/>
          </w:tcPr>
          <w:p>
            <w:pPr>
              <w:jc w:val="right"/>
              <w:ind w:right="330"/>
              <w:spacing w:after="0"/>
              <w:rPr>
                <w:sz w:val="20"/>
                <w:szCs w:val="20"/>
                <w:color w:val="auto"/>
              </w:rPr>
            </w:pPr>
            <w:r>
              <w:rPr>
                <w:rFonts w:ascii="Arial" w:cs="Arial" w:eastAsia="Arial" w:hAnsi="Arial"/>
                <w:sz w:val="13"/>
                <w:szCs w:val="13"/>
                <w:b w:val="1"/>
                <w:bCs w:val="1"/>
                <w:color w:val="auto"/>
              </w:rPr>
              <w:t>Nine Months Ended September 30,</w:t>
            </w:r>
          </w:p>
        </w:tc>
      </w:tr>
      <w:tr>
        <w:trPr>
          <w:trHeight w:val="196"/>
        </w:trPr>
        <w:tc>
          <w:tcPr>
            <w:tcW w:w="556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top w:val="single" w:sz="8" w:color="auto"/>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3"/>
                <w:szCs w:val="13"/>
                <w:b w:val="1"/>
                <w:bCs w:val="1"/>
                <w:color w:val="auto"/>
              </w:rPr>
              <w:t>2018</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99"/>
              </w:rPr>
              <w:t>59%</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30"/>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31"/>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50"/>
              <w:spacing w:after="0"/>
              <w:rPr>
                <w:sz w:val="20"/>
                <w:szCs w:val="20"/>
                <w:color w:val="auto"/>
              </w:rPr>
            </w:pPr>
            <w:r>
              <w:rPr>
                <w:rFonts w:ascii="Arial" w:cs="Arial" w:eastAsia="Arial" w:hAnsi="Arial"/>
                <w:sz w:val="14"/>
                <w:szCs w:val="14"/>
                <w:color w:val="auto"/>
              </w:rPr>
              <w:t>70%</w:t>
            </w:r>
          </w:p>
        </w:tc>
      </w:tr>
      <w:tr>
        <w:trPr>
          <w:trHeight w:val="216"/>
        </w:trPr>
        <w:tc>
          <w:tcPr>
            <w:tcW w:w="55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ind w:right="71"/>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1380" w:type="dxa"/>
            <w:vAlign w:val="bottom"/>
          </w:tcPr>
          <w:p>
            <w:pPr>
              <w:jc w:val="right"/>
              <w:ind w:right="51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8"/>
                <w:szCs w:val="18"/>
                <w:color w:val="auto"/>
              </w:rPr>
            </w:pPr>
          </w:p>
        </w:tc>
        <w:tc>
          <w:tcPr>
            <w:tcW w:w="1380" w:type="dxa"/>
            <w:vAlign w:val="bottom"/>
          </w:tcPr>
          <w:p>
            <w:pPr>
              <w:jc w:val="right"/>
              <w:ind w:right="230"/>
              <w:spacing w:after="0"/>
              <w:rPr>
                <w:sz w:val="20"/>
                <w:szCs w:val="20"/>
                <w:color w:val="auto"/>
              </w:rPr>
            </w:pPr>
            <w:r>
              <w:rPr>
                <w:rFonts w:ascii="Arial" w:cs="Arial" w:eastAsia="Arial" w:hAnsi="Arial"/>
                <w:sz w:val="14"/>
                <w:szCs w:val="14"/>
                <w:color w:val="auto"/>
              </w:rPr>
              <w:t>1.4% - 2.6%</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w:t>
            </w:r>
          </w:p>
        </w:tc>
      </w:tr>
      <w:tr>
        <w:trPr>
          <w:trHeight w:val="218"/>
        </w:trPr>
        <w:tc>
          <w:tcPr>
            <w:tcW w:w="55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right"/>
              <w:ind w:right="311"/>
              <w:spacing w:after="0"/>
              <w:rPr>
                <w:sz w:val="20"/>
                <w:szCs w:val="20"/>
                <w:color w:val="auto"/>
              </w:rPr>
            </w:pPr>
            <w:r>
              <w:rPr>
                <w:rFonts w:ascii="Arial" w:cs="Arial" w:eastAsia="Arial" w:hAnsi="Arial"/>
                <w:sz w:val="14"/>
                <w:szCs w:val="14"/>
                <w:color w:val="auto"/>
              </w:rPr>
              <w:t>5.75-6.08</w:t>
            </w:r>
          </w:p>
        </w:tc>
        <w:tc>
          <w:tcPr>
            <w:tcW w:w="100" w:type="dxa"/>
            <w:vAlign w:val="bottom"/>
          </w:tcPr>
          <w:p>
            <w:pPr>
              <w:spacing w:after="0"/>
              <w:rPr>
                <w:sz w:val="18"/>
                <w:szCs w:val="18"/>
                <w:color w:val="auto"/>
              </w:rPr>
            </w:pPr>
          </w:p>
        </w:tc>
        <w:tc>
          <w:tcPr>
            <w:tcW w:w="1380" w:type="dxa"/>
            <w:vAlign w:val="bottom"/>
          </w:tcPr>
          <w:p>
            <w:pPr>
              <w:ind w:left="560"/>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5.75-6.08</w:t>
            </w:r>
          </w:p>
        </w:tc>
        <w:tc>
          <w:tcPr>
            <w:tcW w:w="120" w:type="dxa"/>
            <w:vAlign w:val="bottom"/>
          </w:tcPr>
          <w:p>
            <w:pPr>
              <w:spacing w:after="0"/>
              <w:rPr>
                <w:sz w:val="18"/>
                <w:szCs w:val="18"/>
                <w:color w:val="auto"/>
              </w:rPr>
            </w:pPr>
          </w:p>
        </w:tc>
        <w:tc>
          <w:tcPr>
            <w:tcW w:w="1380" w:type="dxa"/>
            <w:vAlign w:val="bottom"/>
          </w:tcPr>
          <w:p>
            <w:pPr>
              <w:ind w:left="560"/>
              <w:spacing w:after="0"/>
              <w:rPr>
                <w:sz w:val="20"/>
                <w:szCs w:val="20"/>
                <w:color w:val="auto"/>
              </w:rPr>
            </w:pPr>
            <w:r>
              <w:rPr>
                <w:rFonts w:ascii="Arial" w:cs="Arial" w:eastAsia="Arial" w:hAnsi="Arial"/>
                <w:sz w:val="14"/>
                <w:szCs w:val="14"/>
                <w:color w:val="auto"/>
              </w:rPr>
              <w:t>6.08</w:t>
            </w:r>
          </w:p>
        </w:tc>
      </w:tr>
    </w:tbl>
    <w:p>
      <w:pPr>
        <w:spacing w:after="0" w:line="362" w:lineRule="exact"/>
        <w:rPr>
          <w:sz w:val="20"/>
          <w:szCs w:val="20"/>
          <w:color w:val="auto"/>
        </w:rPr>
      </w:pPr>
    </w:p>
    <w:p>
      <w:pPr>
        <w:ind w:right="220" w:firstLine="446"/>
        <w:spacing w:after="0" w:line="262" w:lineRule="auto"/>
        <w:rPr>
          <w:sz w:val="20"/>
          <w:szCs w:val="20"/>
          <w:color w:val="auto"/>
        </w:rPr>
      </w:pPr>
      <w:r>
        <w:rPr>
          <w:rFonts w:ascii="Arial" w:cs="Arial" w:eastAsia="Arial" w:hAnsi="Arial"/>
          <w:sz w:val="18"/>
          <w:szCs w:val="18"/>
          <w:color w:val="auto"/>
        </w:rPr>
        <w:t>Total non-cash stock-based compensation expense recorded related to options granted in the condensed statement of operations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3"/>
                <w:szCs w:val="13"/>
                <w:b w:val="1"/>
                <w:bCs w:val="1"/>
                <w:color w:val="auto"/>
              </w:rPr>
              <w:t>Three Months Ended September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3"/>
                <w:szCs w:val="13"/>
                <w:b w:val="1"/>
                <w:bCs w:val="1"/>
                <w:color w:val="auto"/>
              </w:rPr>
              <w:t>Nine Months Ended September 30,</w:t>
            </w:r>
          </w:p>
        </w:tc>
      </w:tr>
      <w:tr>
        <w:trPr>
          <w:trHeight w:val="196"/>
        </w:trPr>
        <w:tc>
          <w:tcPr>
            <w:tcW w:w="46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2018</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20" w:type="dxa"/>
            <w:vAlign w:val="bottom"/>
            <w:shd w:val="clear" w:color="auto" w:fill="CCEEFF"/>
          </w:tcPr>
          <w:p>
            <w:pPr>
              <w:jc w:val="right"/>
              <w:ind w:right="953"/>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1"/>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w:t>
            </w:r>
          </w:p>
        </w:tc>
      </w:tr>
      <w:tr>
        <w:trPr>
          <w:trHeight w:val="210"/>
        </w:trPr>
        <w:tc>
          <w:tcPr>
            <w:tcW w:w="466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1120" w:type="dxa"/>
            <w:vAlign w:val="bottom"/>
          </w:tcPr>
          <w:p>
            <w:pPr>
              <w:spacing w:after="0"/>
              <w:rPr>
                <w:sz w:val="18"/>
                <w:szCs w:val="18"/>
                <w:color w:val="auto"/>
              </w:rPr>
            </w:pPr>
          </w:p>
        </w:tc>
        <w:tc>
          <w:tcPr>
            <w:tcW w:w="50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91"/>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83</w:t>
            </w:r>
          </w:p>
        </w:tc>
      </w:tr>
      <w:tr>
        <w:trPr>
          <w:trHeight w:val="222"/>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w:t>
            </w:r>
          </w:p>
        </w:tc>
      </w:tr>
      <w:tr>
        <w:trPr>
          <w:trHeight w:val="204"/>
        </w:trPr>
        <w:tc>
          <w:tcPr>
            <w:tcW w:w="4660" w:type="dxa"/>
            <w:vAlign w:val="bottom"/>
          </w:tcPr>
          <w:p>
            <w:pPr>
              <w:ind w:left="20"/>
              <w:spacing w:after="0"/>
              <w:rPr>
                <w:sz w:val="20"/>
                <w:szCs w:val="20"/>
                <w:color w:val="auto"/>
              </w:rPr>
            </w:pPr>
            <w:r>
              <w:rPr>
                <w:rFonts w:ascii="Arial" w:cs="Arial" w:eastAsia="Arial" w:hAnsi="Arial"/>
                <w:sz w:val="14"/>
                <w:szCs w:val="14"/>
                <w:color w:val="auto"/>
              </w:rPr>
              <w:t>Total</w:t>
            </w:r>
          </w:p>
        </w:tc>
        <w:tc>
          <w:tcPr>
            <w:tcW w:w="1120" w:type="dxa"/>
            <w:vAlign w:val="bottom"/>
            <w:tcBorders>
              <w:top w:val="single" w:sz="8" w:color="auto"/>
              <w:bottom w:val="single" w:sz="8" w:color="auto"/>
            </w:tcBorders>
          </w:tcPr>
          <w:p>
            <w:pPr>
              <w:jc w:val="right"/>
              <w:ind w:right="953"/>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991"/>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100</w:t>
            </w:r>
          </w:p>
        </w:tc>
      </w:tr>
      <w:tr>
        <w:trPr>
          <w:trHeight w:val="27"/>
        </w:trPr>
        <w:tc>
          <w:tcPr>
            <w:tcW w:w="4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120" w:firstLine="446"/>
        <w:spacing w:after="0" w:line="262" w:lineRule="auto"/>
        <w:rPr>
          <w:sz w:val="20"/>
          <w:szCs w:val="20"/>
          <w:color w:val="auto"/>
        </w:rPr>
      </w:pPr>
      <w:r>
        <w:rPr>
          <w:rFonts w:ascii="Arial" w:cs="Arial" w:eastAsia="Arial" w:hAnsi="Arial"/>
          <w:sz w:val="18"/>
          <w:szCs w:val="18"/>
          <w:color w:val="auto"/>
        </w:rPr>
        <w:t>As of September 30, 2019, total unrecognized compensation cost was $6.4 million, which is expected to be recognized over a remaining weighted-average vesting period of 3.5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2"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In September 2019, the Board of Directors adopted the Employee Stock Purchase Plan (the ESPP). The ESPP became effective on the day the ESPP was adopted by the Company's Board of Directors. The ESPP permits participants to purchase common stock through payroll deductions of up to 20% of their eligible compensation. A total of 120,000 shares of common stock was initially reserved for issuance under the ESPP. In addition, the number of shares of common stock available for issuance under the ESPP will be annually increased on the first day of each fiscal year during the term of the ESPP, beginning with the 2020 fiscal year, by an amount equal to 1% of the total number capital stock outstanding on December 31 of the preceding calendar year or such smaller other amount as the Board of Directors may determine. There has been no stock-based compensation expense incurred related to the ESPP for the three and nine months ended September 30, 2019.</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Parties</w:t>
      </w:r>
    </w:p>
    <w:p>
      <w:pPr>
        <w:spacing w:after="0" w:line="99" w:lineRule="exact"/>
        <w:rPr>
          <w:sz w:val="20"/>
          <w:szCs w:val="20"/>
          <w:color w:val="auto"/>
        </w:rPr>
      </w:pPr>
    </w:p>
    <w:p>
      <w:pPr>
        <w:ind w:right="60" w:firstLine="446"/>
        <w:spacing w:after="0" w:line="256" w:lineRule="auto"/>
        <w:rPr>
          <w:sz w:val="20"/>
          <w:szCs w:val="20"/>
          <w:color w:val="auto"/>
        </w:rPr>
      </w:pPr>
      <w:r>
        <w:rPr>
          <w:rFonts w:ascii="Arial" w:cs="Arial" w:eastAsia="Arial" w:hAnsi="Arial"/>
          <w:sz w:val="18"/>
          <w:szCs w:val="18"/>
          <w:color w:val="auto"/>
        </w:rPr>
        <w:t>The Company entered into a consulting services agreement, as amended, with a member of the Company's Board of Directors under which this board member provides certain scientific consulting services to the Company. Under this agreement, as amended in June 2018, this board member is compensated at a bi-weekly rate of $5,000</w:t>
      </w:r>
    </w:p>
    <w:p>
      <w:pPr>
        <w:sectPr>
          <w:pgSz w:w="11900" w:h="16838" w:orient="portrait"/>
          <w:cols w:equalWidth="0" w:num="1">
            <w:col w:w="11400"/>
          </w:cols>
          <w:pgMar w:left="240" w:top="931" w:right="2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type w:val="continuous"/>
        </w:sectPr>
      </w:pPr>
    </w:p>
    <w:bookmarkStart w:id="22" w:name="page23"/>
    <w:bookmarkEnd w:id="22"/>
    <w:p>
      <w:pPr>
        <w:spacing w:after="0" w:line="251" w:lineRule="auto"/>
        <w:rPr>
          <w:sz w:val="20"/>
          <w:szCs w:val="20"/>
          <w:color w:val="auto"/>
        </w:rPr>
      </w:pPr>
      <w:r>
        <w:rPr>
          <w:rFonts w:ascii="Arial" w:cs="Arial" w:eastAsia="Arial" w:hAnsi="Arial"/>
          <w:sz w:val="18"/>
          <w:szCs w:val="18"/>
          <w:color w:val="auto"/>
        </w:rPr>
        <w:t>(plus reimbursement for certain administrative and travel related expenses) and received options to purchase 544 shares of common stock in November 2017, the commencement date of the agreement. Total amounts paid to this board member under this agreement for the three months ended September 30, 2019 and 2018 and the nine months ended September 30, 2019 and 2018, were $30,000, $30,000, $95,000, and $91,000, respectively, which was recorded in research and development expenses in the accompanying condensed statements of operations. The Company accounted for the grant of options as an award to a non-employee and measures compensation cost for this award based on the value of the award at the date the consulting services are complete. The options granted to this board member were granted at an exercise price of $0.367 (the estimated fair value of share of common stock on the grant date using an OPM model), and vests over a three-year term expected to coincide with the period the board member is expected to provide consulting services to the Company. The estimated fair value of the awards and related compensation cost recognized during the three and nine months ended September 30, 2019 and 2018 was immaterial. All compensation cost related to these awards is recorded in research and development expenses in the accompanying condensed statements of operations. Effective July 12, 2019, this consultant no longer serves on the Company's Board of Directors.</w:t>
      </w:r>
    </w:p>
    <w:p>
      <w:pPr>
        <w:spacing w:after="0" w:line="212" w:lineRule="exact"/>
        <w:rPr>
          <w:sz w:val="20"/>
          <w:szCs w:val="20"/>
          <w:color w:val="auto"/>
        </w:rPr>
      </w:pPr>
    </w:p>
    <w:p>
      <w:pPr>
        <w:ind w:right="20" w:firstLine="446"/>
        <w:spacing w:after="0" w:line="253" w:lineRule="auto"/>
        <w:rPr>
          <w:sz w:val="20"/>
          <w:szCs w:val="20"/>
          <w:color w:val="auto"/>
        </w:rPr>
      </w:pPr>
      <w:r>
        <w:rPr>
          <w:rFonts w:ascii="Arial" w:cs="Arial" w:eastAsia="Arial" w:hAnsi="Arial"/>
          <w:sz w:val="18"/>
          <w:szCs w:val="18"/>
          <w:color w:val="auto"/>
        </w:rPr>
        <w:t>In September 2011, the Company entered into a license agreement with the Company's Chief Scientific Officer, and a related company, De Novo Diagnostics, Inc. The license agreement, covering novel methods for monitoring low-dose methotrexate therapy, relates to technology developed by the Company's Chief Scientific Officer prior to joining the Company. The technology has yet to be used by the Company. Under the agreement, the Company's Chief Scientific Officer will be eligible to receive up to $0.6 million upon the achievement of certain sales milestones and an ongoing royalty of 5% on sales.</w:t>
      </w:r>
    </w:p>
    <w:p>
      <w:pPr>
        <w:spacing w:after="0" w:line="206" w:lineRule="exact"/>
        <w:rPr>
          <w:sz w:val="20"/>
          <w:szCs w:val="20"/>
          <w:color w:val="auto"/>
        </w:rPr>
      </w:pPr>
    </w:p>
    <w:p>
      <w:pPr>
        <w:ind w:right="140" w:firstLine="446"/>
        <w:spacing w:after="0" w:line="262" w:lineRule="auto"/>
        <w:rPr>
          <w:sz w:val="20"/>
          <w:szCs w:val="20"/>
          <w:color w:val="auto"/>
        </w:rPr>
      </w:pPr>
      <w:r>
        <w:rPr>
          <w:rFonts w:ascii="Arial" w:cs="Arial" w:eastAsia="Arial" w:hAnsi="Arial"/>
          <w:sz w:val="18"/>
          <w:szCs w:val="18"/>
          <w:color w:val="auto"/>
        </w:rPr>
        <w:t>The third tranche closing of the Series F financing and the closings of the Series G financing described in Note 8 were issued to existing holders of the Company's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Correction of Immaterial Misstatements in the Financial Statements for the Year Ended December 31, 2018</w:t>
      </w:r>
    </w:p>
    <w:p>
      <w:pPr>
        <w:spacing w:after="0" w:line="112"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During 2019, Company management identified immaterial misstatements in the financial statements for the year ended December 31, 2018 related to the carrying value of redeemable convertible preferred stock warrant liabilities. Based on a quantitative and qualitative analysis of the error as required by authoritative guidance, management concluded that the correction, which decreased the carrying value of the redeemable convertible preferred stock warrant liabilities with a corresponding decrease in net loss, had no material impact on the Company's previously issued financial statements as of and for the year ended December 31, 2018. These amounts have been adjusted in the accompanying balance sheet and statement of operations.</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revision to the Company's previously reported balance sheet are identified in the table below:</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As of December 31, 2018</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40"/>
        </w:trPr>
        <w:tc>
          <w:tcPr>
            <w:tcW w:w="6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400"/>
              <w:spacing w:after="0" w:line="140" w:lineRule="exact"/>
              <w:rPr>
                <w:sz w:val="20"/>
                <w:szCs w:val="20"/>
                <w:color w:val="auto"/>
              </w:rPr>
            </w:pPr>
            <w:r>
              <w:rPr>
                <w:rFonts w:ascii="Arial" w:cs="Arial" w:eastAsia="Arial" w:hAnsi="Arial"/>
                <w:sz w:val="13"/>
                <w:szCs w:val="13"/>
                <w:b w:val="1"/>
                <w:bCs w:val="1"/>
                <w:color w:val="auto"/>
                <w:w w:val="96"/>
              </w:rPr>
              <w:t>As</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35"/>
        </w:trPr>
        <w:tc>
          <w:tcPr>
            <w:tcW w:w="6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4"/>
              </w:rPr>
              <w:t>Previously</w:t>
            </w: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jc w:val="right"/>
              <w:ind w:right="591"/>
              <w:spacing w:after="0" w:line="135" w:lineRule="exact"/>
              <w:rPr>
                <w:sz w:val="20"/>
                <w:szCs w:val="20"/>
                <w:color w:val="auto"/>
              </w:rPr>
            </w:pPr>
            <w:r>
              <w:rPr>
                <w:rFonts w:ascii="Arial" w:cs="Arial" w:eastAsia="Arial" w:hAnsi="Arial"/>
                <w:sz w:val="13"/>
                <w:szCs w:val="13"/>
                <w:b w:val="1"/>
                <w:bCs w:val="1"/>
                <w:color w:val="auto"/>
              </w:rPr>
              <w:t>As</w:t>
            </w:r>
          </w:p>
        </w:tc>
      </w:tr>
      <w:tr>
        <w:trPr>
          <w:trHeight w:val="178"/>
        </w:trPr>
        <w:tc>
          <w:tcPr>
            <w:tcW w:w="6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Reported</w:t>
            </w:r>
          </w:p>
        </w:tc>
        <w:tc>
          <w:tcPr>
            <w:tcW w:w="240" w:type="dxa"/>
            <w:vAlign w:val="bottom"/>
          </w:tcPr>
          <w:p>
            <w:pPr>
              <w:spacing w:after="0"/>
              <w:rPr>
                <w:sz w:val="15"/>
                <w:szCs w:val="15"/>
                <w:color w:val="auto"/>
              </w:rPr>
            </w:pPr>
          </w:p>
        </w:tc>
        <w:tc>
          <w:tcPr>
            <w:tcW w:w="1380" w:type="dxa"/>
            <w:vAlign w:val="bottom"/>
            <w:gridSpan w:val="2"/>
          </w:tcPr>
          <w:p>
            <w:pPr>
              <w:ind w:left="160"/>
              <w:spacing w:after="0"/>
              <w:rPr>
                <w:sz w:val="20"/>
                <w:szCs w:val="20"/>
                <w:color w:val="auto"/>
              </w:rPr>
            </w:pPr>
            <w:r>
              <w:rPr>
                <w:rFonts w:ascii="Arial" w:cs="Arial" w:eastAsia="Arial" w:hAnsi="Arial"/>
                <w:sz w:val="13"/>
                <w:szCs w:val="13"/>
                <w:b w:val="1"/>
                <w:bCs w:val="1"/>
                <w:color w:val="auto"/>
              </w:rPr>
              <w:t>Adjustment</w:t>
            </w:r>
          </w:p>
        </w:tc>
        <w:tc>
          <w:tcPr>
            <w:tcW w:w="300" w:type="dxa"/>
            <w:vAlign w:val="bottom"/>
          </w:tcPr>
          <w:p>
            <w:pPr>
              <w:spacing w:after="0"/>
              <w:rPr>
                <w:sz w:val="15"/>
                <w:szCs w:val="15"/>
                <w:color w:val="auto"/>
              </w:rPr>
            </w:pPr>
          </w:p>
        </w:tc>
        <w:tc>
          <w:tcPr>
            <w:tcW w:w="1200" w:type="dxa"/>
            <w:vAlign w:val="bottom"/>
          </w:tcPr>
          <w:p>
            <w:pPr>
              <w:jc w:val="right"/>
              <w:ind w:right="431"/>
              <w:spacing w:after="0"/>
              <w:rPr>
                <w:sz w:val="20"/>
                <w:szCs w:val="20"/>
                <w:color w:val="auto"/>
              </w:rPr>
            </w:pPr>
            <w:r>
              <w:rPr>
                <w:rFonts w:ascii="Arial" w:cs="Arial" w:eastAsia="Arial" w:hAnsi="Arial"/>
                <w:sz w:val="13"/>
                <w:szCs w:val="13"/>
                <w:b w:val="1"/>
                <w:bCs w:val="1"/>
                <w:color w:val="auto"/>
              </w:rPr>
              <w:t>Revised</w:t>
            </w:r>
          </w:p>
        </w:tc>
      </w:tr>
      <w:tr>
        <w:trPr>
          <w:trHeight w:val="216"/>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 warrant liabilities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2,680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(1,177)</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1,503</w:t>
            </w:r>
          </w:p>
        </w:tc>
      </w:tr>
      <w:tr>
        <w:trPr>
          <w:trHeight w:val="204"/>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36,798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(1,177)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35,621</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153,741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(1,177)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152,564</w:t>
            </w:r>
          </w:p>
        </w:tc>
      </w:tr>
      <w:tr>
        <w:trPr>
          <w:trHeight w:val="204"/>
        </w:trPr>
        <w:tc>
          <w:tcPr>
            <w:tcW w:w="6660" w:type="dxa"/>
            <w:vAlign w:val="bottom"/>
          </w:tcPr>
          <w:p>
            <w:pPr>
              <w:ind w:left="20"/>
              <w:spacing w:after="0"/>
              <w:rPr>
                <w:sz w:val="20"/>
                <w:szCs w:val="20"/>
                <w:color w:val="auto"/>
              </w:rPr>
            </w:pPr>
            <w:r>
              <w:rPr>
                <w:rFonts w:ascii="Arial" w:cs="Arial" w:eastAsia="Arial" w:hAnsi="Arial"/>
                <w:sz w:val="14"/>
                <w:szCs w:val="14"/>
                <w:color w:val="auto"/>
              </w:rPr>
              <w:t>Total stockholders' deficit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113,143</w:t>
            </w:r>
          </w:p>
        </w:tc>
        <w:tc>
          <w:tcPr>
            <w:tcW w:w="12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(1,177)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111,966</w:t>
            </w:r>
          </w:p>
        </w:tc>
      </w:tr>
      <w:tr>
        <w:trPr>
          <w:trHeight w:val="27"/>
        </w:trPr>
        <w:tc>
          <w:tcPr>
            <w:tcW w:w="6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revised rollforward of the Company's warrant liabilities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As</w:t>
            </w: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35"/>
        </w:trPr>
        <w:tc>
          <w:tcPr>
            <w:tcW w:w="6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7"/>
              </w:rPr>
              <w:t>Previously</w:t>
            </w:r>
          </w:p>
        </w:tc>
        <w:tc>
          <w:tcPr>
            <w:tcW w:w="3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tcPr>
          <w:p>
            <w:pPr>
              <w:jc w:val="right"/>
              <w:ind w:right="671"/>
              <w:spacing w:after="0" w:line="135" w:lineRule="exact"/>
              <w:rPr>
                <w:sz w:val="20"/>
                <w:szCs w:val="20"/>
                <w:color w:val="auto"/>
              </w:rPr>
            </w:pPr>
            <w:r>
              <w:rPr>
                <w:rFonts w:ascii="Arial" w:cs="Arial" w:eastAsia="Arial" w:hAnsi="Arial"/>
                <w:sz w:val="13"/>
                <w:szCs w:val="13"/>
                <w:b w:val="1"/>
                <w:bCs w:val="1"/>
                <w:color w:val="auto"/>
              </w:rPr>
              <w:t>As</w:t>
            </w:r>
          </w:p>
        </w:tc>
      </w:tr>
      <w:tr>
        <w:trPr>
          <w:trHeight w:val="178"/>
        </w:trPr>
        <w:tc>
          <w:tcPr>
            <w:tcW w:w="62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31"/>
              <w:spacing w:after="0"/>
              <w:rPr>
                <w:sz w:val="20"/>
                <w:szCs w:val="20"/>
                <w:color w:val="auto"/>
              </w:rPr>
            </w:pPr>
            <w:r>
              <w:rPr>
                <w:rFonts w:ascii="Arial" w:cs="Arial" w:eastAsia="Arial" w:hAnsi="Arial"/>
                <w:sz w:val="13"/>
                <w:szCs w:val="13"/>
                <w:b w:val="1"/>
                <w:bCs w:val="1"/>
                <w:color w:val="auto"/>
                <w:w w:val="98"/>
              </w:rPr>
              <w:t>Reported</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Adjustment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3"/>
                <w:szCs w:val="13"/>
                <w:b w:val="1"/>
                <w:bCs w:val="1"/>
                <w:color w:val="auto"/>
              </w:rPr>
              <w:t>Revised</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896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896</w:t>
            </w:r>
          </w:p>
        </w:tc>
      </w:tr>
      <w:tr>
        <w:trPr>
          <w:trHeight w:val="174"/>
        </w:trPr>
        <w:tc>
          <w:tcPr>
            <w:tcW w:w="6240" w:type="dxa"/>
            <w:vAlign w:val="bottom"/>
          </w:tcPr>
          <w:p>
            <w:pPr>
              <w:ind w:left="20"/>
              <w:spacing w:after="0"/>
              <w:rPr>
                <w:sz w:val="20"/>
                <w:szCs w:val="20"/>
                <w:color w:val="auto"/>
              </w:rPr>
            </w:pPr>
            <w:r>
              <w:rPr>
                <w:rFonts w:ascii="Arial" w:cs="Arial" w:eastAsia="Arial" w:hAnsi="Arial"/>
                <w:sz w:val="14"/>
                <w:szCs w:val="14"/>
                <w:color w:val="auto"/>
              </w:rPr>
              <w:t>Issuance of warrants to purchase shares of Series F redeemable convertible preferred stock in</w:t>
            </w:r>
          </w:p>
        </w:tc>
        <w:tc>
          <w:tcPr>
            <w:tcW w:w="3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178"/>
        </w:trPr>
        <w:tc>
          <w:tcPr>
            <w:tcW w:w="6240" w:type="dxa"/>
            <w:vAlign w:val="bottom"/>
          </w:tcPr>
          <w:p>
            <w:pPr>
              <w:ind w:left="20"/>
              <w:spacing w:after="0"/>
              <w:rPr>
                <w:sz w:val="20"/>
                <w:szCs w:val="20"/>
                <w:color w:val="auto"/>
              </w:rPr>
            </w:pPr>
            <w:r>
              <w:rPr>
                <w:rFonts w:ascii="Arial" w:cs="Arial" w:eastAsia="Arial" w:hAnsi="Arial"/>
                <w:sz w:val="14"/>
                <w:szCs w:val="14"/>
                <w:color w:val="auto"/>
              </w:rPr>
              <w:t>connection with 2017 Term Loan (Note 4)</w:t>
            </w:r>
          </w:p>
        </w:tc>
        <w:tc>
          <w:tcPr>
            <w:tcW w:w="300" w:type="dxa"/>
            <w:vAlign w:val="bottom"/>
          </w:tcPr>
          <w:p>
            <w:pPr>
              <w:spacing w:after="0"/>
              <w:rPr>
                <w:sz w:val="15"/>
                <w:szCs w:val="15"/>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320" w:type="dxa"/>
            <w:vAlign w:val="bottom"/>
          </w:tcPr>
          <w:p>
            <w:pPr>
              <w:jc w:val="right"/>
              <w:ind w:right="71"/>
              <w:spacing w:after="0"/>
              <w:rPr>
                <w:sz w:val="20"/>
                <w:szCs w:val="20"/>
                <w:color w:val="auto"/>
              </w:rPr>
            </w:pPr>
            <w:r>
              <w:rPr>
                <w:rFonts w:ascii="Arial" w:cs="Arial" w:eastAsia="Arial" w:hAnsi="Arial"/>
                <w:sz w:val="14"/>
                <w:szCs w:val="14"/>
                <w:color w:val="auto"/>
              </w:rPr>
              <w:t>289</w:t>
            </w:r>
          </w:p>
        </w:tc>
      </w:tr>
      <w:tr>
        <w:trPr>
          <w:trHeight w:val="222"/>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financial instruments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1,495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318</w:t>
            </w:r>
          </w:p>
        </w:tc>
      </w:tr>
      <w:tr>
        <w:trPr>
          <w:trHeight w:val="204"/>
        </w:trPr>
        <w:tc>
          <w:tcPr>
            <w:tcW w:w="6240" w:type="dxa"/>
            <w:vAlign w:val="bottom"/>
          </w:tcPr>
          <w:p>
            <w:pPr>
              <w:ind w:left="20"/>
              <w:spacing w:after="0"/>
              <w:rPr>
                <w:sz w:val="20"/>
                <w:szCs w:val="20"/>
                <w:color w:val="auto"/>
              </w:rPr>
            </w:pPr>
            <w:r>
              <w:rPr>
                <w:rFonts w:ascii="Arial" w:cs="Arial" w:eastAsia="Arial" w:hAnsi="Arial"/>
                <w:sz w:val="14"/>
                <w:szCs w:val="14"/>
                <w:color w:val="auto"/>
              </w:rPr>
              <w:t>Balance, December 31, 2018</w:t>
            </w:r>
          </w:p>
        </w:tc>
        <w:tc>
          <w:tcPr>
            <w:tcW w:w="300" w:type="dxa"/>
            <w:vAlign w:val="bottom"/>
          </w:tcPr>
          <w:p>
            <w:pPr>
              <w:spacing w:after="0"/>
              <w:rPr>
                <w:sz w:val="17"/>
                <w:szCs w:val="17"/>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color w:val="auto"/>
              </w:rPr>
              <w:t>2,680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(1,177)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71"/>
              <w:spacing w:after="0"/>
              <w:rPr>
                <w:sz w:val="20"/>
                <w:szCs w:val="20"/>
                <w:color w:val="auto"/>
              </w:rPr>
            </w:pPr>
            <w:r>
              <w:rPr>
                <w:rFonts w:ascii="Arial" w:cs="Arial" w:eastAsia="Arial" w:hAnsi="Arial"/>
                <w:sz w:val="14"/>
                <w:szCs w:val="14"/>
                <w:color w:val="auto"/>
              </w:rPr>
              <w:t>1,503</w:t>
            </w:r>
          </w:p>
        </w:tc>
      </w:tr>
      <w:tr>
        <w:trPr>
          <w:trHeight w:val="241"/>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2019 (unaudited) (as revised)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2,680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1,503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ind w:right="60" w:firstLine="446"/>
        <w:spacing w:after="0" w:line="261"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for the year ended December 31, 2018 included in our Prospectus dated September 18, 2019 filed pursuant to Rule 424(b) under the Securities Act with the Securities and Exchange Commission on September 20, 2019, or the Prospectus.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81" w:lineRule="exact"/>
        <w:rPr>
          <w:sz w:val="20"/>
          <w:szCs w:val="20"/>
          <w:color w:val="auto"/>
        </w:rPr>
      </w:pPr>
    </w:p>
    <w:p>
      <w:pPr>
        <w:ind w:firstLine="446"/>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current and future product offerings, reimbursement and coverage, our ability to implement an integrated testing and therapeutics strategy, the expected benefits from our partnerships or promotion arrangements with third 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right="60" w:firstLine="446"/>
        <w:spacing w:after="0" w:line="245"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brand, several of which are based on our proprietary CB-CAPs technology. Our goal is to enable rheumatologists to improve care for patients through the differential diagnosis, prognosis and monitoring of complex autoimmune and autoimmune-related diseases, including SLE and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brand that allow for the differential diagnosis, prognosis and monitoring of</w:t>
      </w:r>
    </w:p>
    <w:p>
      <w:pPr>
        <w:spacing w:after="0" w:line="214" w:lineRule="auto"/>
        <w:rPr>
          <w:sz w:val="20"/>
          <w:szCs w:val="20"/>
          <w:color w:val="auto"/>
        </w:rPr>
      </w:pPr>
      <w:r>
        <w:rPr>
          <w:rFonts w:ascii="Arial" w:cs="Arial" w:eastAsia="Arial" w:hAnsi="Arial"/>
          <w:sz w:val="18"/>
          <w:szCs w:val="18"/>
          <w:color w:val="auto"/>
        </w:rPr>
        <w:t>complex autoimmune and autoimmune-related diseases. Our lead testing product,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enables differential diagnosis for patients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presenting with symptoms indicative of a wide variety of CTDs and other related diseases with overlapping symptoms. We commercially</w:t>
      </w:r>
    </w:p>
    <w:p>
      <w:pPr>
        <w:spacing w:after="0" w:line="223" w:lineRule="auto"/>
        <w:rPr>
          <w:sz w:val="20"/>
          <w:szCs w:val="20"/>
          <w:color w:val="auto"/>
        </w:rPr>
      </w:pPr>
      <w:r>
        <w:rPr>
          <w:rFonts w:ascii="Arial" w:cs="Arial" w:eastAsia="Arial" w:hAnsi="Arial"/>
          <w:sz w:val="18"/>
          <w:szCs w:val="18"/>
          <w:color w:val="auto"/>
        </w:rPr>
        <w:t>launched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in 2012 and revenue from this product comprised 83% and 86% of our revenue for the nine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respectively. There is an unmet need for rheumatologists to add clarity in their CTD clinical evaluation, and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believe there is a significant opportunity for our tests that enable the differential diagnosis of these diseases, particularly for potentially life-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threatening diseases such as SLE. In order to advance our integrated testing and therapeutics strategy, in December 2018 we entered into the</w:t>
      </w:r>
    </w:p>
    <w:p>
      <w:pPr>
        <w:spacing w:after="0" w:line="223" w:lineRule="auto"/>
        <w:rPr>
          <w:sz w:val="20"/>
          <w:szCs w:val="20"/>
          <w:color w:val="auto"/>
        </w:rPr>
      </w:pPr>
      <w:r>
        <w:rPr>
          <w:rFonts w:ascii="Arial" w:cs="Arial" w:eastAsia="Arial" w:hAnsi="Arial"/>
          <w:sz w:val="18"/>
          <w:szCs w:val="18"/>
          <w:color w:val="auto"/>
        </w:rPr>
        <w:t>Janssen agreement to exclusively promote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United States for the treatment of adult patients with moderate to severe RA and</w:t>
      </w:r>
    </w:p>
    <w:p>
      <w:pPr>
        <w:spacing w:after="0" w:line="215" w:lineRule="auto"/>
        <w:rPr>
          <w:sz w:val="20"/>
          <w:szCs w:val="20"/>
          <w:color w:val="auto"/>
        </w:rPr>
      </w:pPr>
      <w:r>
        <w:rPr>
          <w:rFonts w:ascii="Arial" w:cs="Arial" w:eastAsia="Arial" w:hAnsi="Arial"/>
          <w:sz w:val="18"/>
          <w:szCs w:val="18"/>
          <w:color w:val="auto"/>
        </w:rPr>
        <w:t>for other indicated rheumatic diseases. We began direct promotion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January 2019 and expanded our salesforce from 31</w:t>
      </w:r>
    </w:p>
    <w:p>
      <w:pPr>
        <w:spacing w:after="0" w:line="215" w:lineRule="auto"/>
        <w:rPr>
          <w:sz w:val="20"/>
          <w:szCs w:val="20"/>
          <w:color w:val="auto"/>
        </w:rPr>
      </w:pPr>
      <w:r>
        <w:rPr>
          <w:rFonts w:ascii="Arial" w:cs="Arial" w:eastAsia="Arial" w:hAnsi="Arial"/>
          <w:sz w:val="18"/>
          <w:szCs w:val="18"/>
          <w:color w:val="auto"/>
        </w:rPr>
        <w:t>representatives as of December 31, 2018 to 55 representatives as of September 30, 2019. We expect our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promotion efforts to</w:t>
      </w:r>
    </w:p>
    <w:p>
      <w:pPr>
        <w:spacing w:after="0"/>
        <w:rPr>
          <w:sz w:val="20"/>
          <w:szCs w:val="20"/>
          <w:color w:val="auto"/>
        </w:rPr>
      </w:pPr>
      <w:r>
        <w:rPr>
          <w:rFonts w:ascii="Arial" w:cs="Arial" w:eastAsia="Arial" w:hAnsi="Arial"/>
          <w:sz w:val="18"/>
          <w:szCs w:val="18"/>
          <w:color w:val="auto"/>
        </w:rPr>
        <w:t>contribute incremental revenue in 2019 with our quarterly tiered promotion fee based on the incremental increase in total prescribed units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above a predetermined average baseline of approximately 29,000 prescribed units per quarter.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86" w:right="279" w:bottom="1440" w:gutter="0" w:footer="0" w:header="0"/>
        </w:sectPr>
      </w:pPr>
    </w:p>
    <w:bookmarkStart w:id="25" w:name="page26"/>
    <w:bookmarkEnd w:id="25"/>
    <w:p>
      <w:pPr>
        <w:jc w:val="both"/>
        <w:ind w:right="240" w:firstLine="446"/>
        <w:spacing w:after="0" w:line="256" w:lineRule="auto"/>
        <w:rPr>
          <w:sz w:val="20"/>
          <w:szCs w:val="20"/>
          <w:color w:val="auto"/>
        </w:rPr>
      </w:pPr>
      <w:r>
        <w:rPr>
          <w:rFonts w:ascii="Arial" w:cs="Arial" w:eastAsia="Arial" w:hAnsi="Arial"/>
          <w:sz w:val="18"/>
          <w:szCs w:val="18"/>
          <w:color w:val="auto"/>
        </w:rPr>
        <w:t>We also have additional agreements with other leading pharmaceutical companies, including GSK, Horizon Therapeutics and Corrona, that leverage our testing products and the information generated from such tests. We plan to pursue additional strategic partnerships with a focus on the commercialization of therapeutics that are synergistic with our testing products.</w:t>
      </w:r>
    </w:p>
    <w:p>
      <w:pPr>
        <w:spacing w:after="0" w:line="202" w:lineRule="exact"/>
        <w:rPr>
          <w:sz w:val="20"/>
          <w:szCs w:val="20"/>
          <w:color w:val="auto"/>
        </w:rPr>
      </w:pPr>
    </w:p>
    <w:p>
      <w:pPr>
        <w:ind w:right="60" w:firstLine="446"/>
        <w:spacing w:after="0" w:line="231"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tests in our approximately 8,000 square foot clinical laboratory, which is certified by CLIA and accredited by CAP, and located in Vista, California. Our laboratory is certified for performance of high-complexity testing by CMS in accordance with CLIA. We are approved to offer our products in all 50 states. Our clinical laboratory reports all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testing product results within five business days.</w:t>
      </w:r>
    </w:p>
    <w:p>
      <w:pPr>
        <w:spacing w:after="0" w:line="217" w:lineRule="exact"/>
        <w:rPr>
          <w:sz w:val="20"/>
          <w:szCs w:val="20"/>
          <w:color w:val="auto"/>
        </w:rPr>
      </w:pPr>
    </w:p>
    <w:p>
      <w:pPr>
        <w:ind w:right="100" w:firstLine="446"/>
        <w:spacing w:after="0" w:line="244" w:lineRule="auto"/>
        <w:rPr>
          <w:sz w:val="20"/>
          <w:szCs w:val="20"/>
          <w:color w:val="auto"/>
        </w:rPr>
      </w:pPr>
      <w:r>
        <w:rPr>
          <w:rFonts w:ascii="Arial" w:cs="Arial" w:eastAsia="Arial" w:hAnsi="Arial"/>
          <w:sz w:val="18"/>
          <w:szCs w:val="18"/>
          <w:color w:val="auto"/>
        </w:rPr>
        <w:t>We market our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testing products using our specialized salesforce.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215" w:lineRule="exact"/>
        <w:rPr>
          <w:sz w:val="20"/>
          <w:szCs w:val="20"/>
          <w:color w:val="auto"/>
        </w:rPr>
      </w:pPr>
    </w:p>
    <w:p>
      <w:pPr>
        <w:ind w:right="80" w:firstLine="446"/>
        <w:spacing w:after="0" w:line="254"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payers, such as insurance companies and health maintenance organizations, government payers, such as Medicare, and patients. Reimbursement rates vary by product and payer. We continue to focus on expanding coverage among existing contracted rheumatologists and to achieve coverage with commercial payers, laboratory benefit managers and evidence review organizations.</w:t>
      </w:r>
    </w:p>
    <w:p>
      <w:pPr>
        <w:spacing w:after="0" w:line="56" w:lineRule="exact"/>
        <w:rPr>
          <w:sz w:val="20"/>
          <w:szCs w:val="20"/>
          <w:color w:val="auto"/>
        </w:rPr>
      </w:pPr>
    </w:p>
    <w:p>
      <w:pPr>
        <w:ind w:firstLine="446"/>
        <w:spacing w:after="0" w:line="251" w:lineRule="auto"/>
        <w:rPr>
          <w:sz w:val="20"/>
          <w:szCs w:val="20"/>
          <w:color w:val="auto"/>
        </w:rPr>
      </w:pPr>
      <w:r>
        <w:rPr>
          <w:rFonts w:ascii="Arial" w:cs="Arial" w:eastAsia="Arial" w:hAnsi="Arial"/>
          <w:sz w:val="18"/>
          <w:szCs w:val="18"/>
          <w:color w:val="auto"/>
        </w:rPr>
        <w:t>Since inception we have devoted substantially all our efforts developing and marketing products for the diagnosis, prognosis and monitoring of autoimmune diseases. Although our revenue has increased sequentially year over year, we have never been profitable and, as of September 30, 2019 we had an accumulated deficit of $161.2 million. We incurred net losses of $8.6 million and $ 6.7 million for the nine months ended September 30, 2019 and 2018,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Through the date of our initial public offering (IPO) in September 2019, our operations were financed primarily from sales of our common and redeemable convertible preferred stock and borrowings under various debt financings. In September 2019, we completed our IPO of 4,140,000 shares of our common stock at a price to the public of $14.00 per share, including the exercise in full by the underwriters of their option to purchase 540,000 additional shares of our common stock. Including the option exercise, the aggregate net proceeds to us from the offering was approximately $50.5 million, net of underwriting discounts, commissions and other estimated offering expenses, for aggregate expenses of approximately $7.5 million. As of September 30, 2019 we had $77.8 million of cash and cash equivalents.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39" w:lineRule="exact"/>
        <w:rPr>
          <w:sz w:val="20"/>
          <w:szCs w:val="20"/>
          <w:color w:val="auto"/>
        </w:rPr>
      </w:pPr>
    </w:p>
    <w:p>
      <w:pPr>
        <w:ind w:right="60" w:firstLine="446"/>
        <w:spacing w:after="0" w:line="262"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296" w:lineRule="exact"/>
        <w:rPr>
          <w:sz w:val="20"/>
          <w:szCs w:val="20"/>
          <w:color w:val="auto"/>
        </w:rPr>
      </w:pPr>
    </w:p>
    <w:p>
      <w:pPr>
        <w:ind w:left="660" w:right="20" w:hanging="328"/>
        <w:spacing w:after="0" w:line="237"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its launch in 2012, we have grown the number of our AVISE</w:t>
      </w:r>
      <w:r>
        <w:rPr>
          <w:rFonts w:ascii="Arial" w:cs="Arial" w:eastAsia="Arial" w:hAnsi="Arial"/>
          <w:sz w:val="21"/>
          <w:szCs w:val="21"/>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at a compound annual growth rate of 87%, with limited incremental investment in our commercial infrastructure. Approximately 83,000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tests were delivered in 2018, representing 18% growth over 2017, and the number of ordering healthcare providers reached 1,278 in the fourth quarter of 2018, representing 18% growth over the same quarter in 2017. Through the third quarter of 2019, 78,237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tests were delivered, representing approximately 29% growth over the same period in 2018, and the number of ordering healthcare providers through the third quarter of 2019 reached 2,040. More than 360,000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tests have been delivered since launch, and for the third quarter of 2019, we reached 575 adopting healthcare providers (defined as those who had prescribed at least 11 diagnostic tests in the corresponding period) compared to 475 in the same period in 2018. Revenue growth for our testing products will depend on our ability to continue to expand our base of ordering healthcare providers and increase our penetration with existing healthcare providers.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26" w:name="page27"/>
    <w:bookmarkEnd w:id="26"/>
    <w:p>
      <w:pPr>
        <w:ind w:left="328" w:hanging="328"/>
        <w:spacing w:after="0" w:line="252"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payers, including both commercial and government payers such as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amount than participating providers. We have received a substantial portion of our revenue from a limited number of third-party commercial payers, most of which have not contracted with us to be a participating provider. 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5" w:lineRule="exact"/>
        <w:rPr>
          <w:rFonts w:ascii="Arial" w:cs="Arial" w:eastAsia="Arial" w:hAnsi="Arial"/>
          <w:sz w:val="18"/>
          <w:szCs w:val="18"/>
          <w:color w:val="auto"/>
        </w:rPr>
      </w:pPr>
    </w:p>
    <w:p>
      <w:pPr>
        <w:ind w:left="328" w:right="40" w:hanging="328"/>
        <w:spacing w:after="0" w:line="225"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Promotion of SIMPONI</w:t>
      </w:r>
      <w:r>
        <w:rPr>
          <w:rFonts w:ascii="Arial" w:cs="Arial" w:eastAsia="Arial" w:hAnsi="Arial"/>
          <w:sz w:val="21"/>
          <w:szCs w:val="21"/>
          <w:color w:val="auto"/>
          <w:vertAlign w:val="superscript"/>
        </w:rPr>
        <w:t>®</w:t>
      </w:r>
      <w:r>
        <w:rPr>
          <w:rFonts w:ascii="Arial" w:cs="Arial" w:eastAsia="Arial" w:hAnsi="Arial"/>
          <w:sz w:val="18"/>
          <w:szCs w:val="18"/>
          <w:color w:val="auto"/>
        </w:rPr>
        <w:t>. We only recently began promoting SIMPONI</w:t>
      </w:r>
      <w:r>
        <w:rPr>
          <w:rFonts w:ascii="Arial" w:cs="Arial" w:eastAsia="Arial" w:hAnsi="Arial"/>
          <w:sz w:val="21"/>
          <w:szCs w:val="21"/>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under the Janssen agreement. We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encounter difficulties in successfully promoting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generating significant revenue under the agreement. Our ability to effectively promote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will require us to be successful in a range of activities, including training and deploying additional sales representatives and creating demand for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through our own sales activities as well as those of Janssen. Based on our estimate of the total U.S. addressable market for SIMPONI</w:t>
      </w:r>
      <w:r>
        <w:rPr>
          <w:rFonts w:ascii="Arial" w:cs="Arial" w:eastAsia="Arial" w:hAnsi="Arial"/>
          <w:sz w:val="21"/>
          <w:szCs w:val="21"/>
          <w:color w:val="auto"/>
          <w:vertAlign w:val="superscript"/>
        </w:rPr>
        <w:t>®'</w:t>
      </w:r>
      <w:r>
        <w:rPr>
          <w:rFonts w:ascii="Arial" w:cs="Arial" w:eastAsia="Arial" w:hAnsi="Arial"/>
          <w:sz w:val="18"/>
          <w:szCs w:val="18"/>
          <w:color w:val="auto"/>
        </w:rPr>
        <w:t>s approved indications of $28 billion, each incremental 1% market share we are able to capture for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above the predetermined baseline under the Janssen Agreement could result in incremental revenue to us of $84 million. However, it may take longer to generate meaningful revenue than we currently expect and we may not be successful in materially increasing market share, which would cause us to continue to rely on our existing testing products to drive revenue growth.</w:t>
      </w:r>
    </w:p>
    <w:p>
      <w:pPr>
        <w:spacing w:after="0" w:line="4" w:lineRule="exact"/>
        <w:rPr>
          <w:rFonts w:ascii="Arial" w:cs="Arial" w:eastAsia="Arial" w:hAnsi="Arial"/>
          <w:sz w:val="18"/>
          <w:szCs w:val="18"/>
          <w:color w:val="auto"/>
        </w:rPr>
      </w:pPr>
    </w:p>
    <w:p>
      <w:pPr>
        <w:ind w:left="328" w:hanging="328"/>
        <w:spacing w:after="0" w:line="234"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1"/>
          <w:szCs w:val="21"/>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We recently launched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Anti-CarP and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PC4d.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spacing w:after="0" w:line="4" w:lineRule="exact"/>
        <w:rPr>
          <w:rFonts w:ascii="Arial" w:cs="Arial" w:eastAsia="Arial" w:hAnsi="Arial"/>
          <w:sz w:val="18"/>
          <w:szCs w:val="18"/>
          <w:color w:val="auto"/>
        </w:rPr>
      </w:pPr>
    </w:p>
    <w:p>
      <w:pPr>
        <w:ind w:left="328" w:right="20" w:hanging="328"/>
        <w:spacing w:after="0" w:line="250"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Margin Expansion</w:t>
      </w:r>
      <w:r>
        <w:rPr>
          <w:rFonts w:ascii="Arial" w:cs="Arial" w:eastAsia="Arial" w:hAnsi="Arial"/>
          <w:sz w:val="18"/>
          <w:szCs w:val="18"/>
          <w:color w:val="auto"/>
        </w:rPr>
        <w:t>. We believe growth in our promotion of therapeutics will meaningfully improve our margin profile and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our goal of achieving profitability. We also expect an increase to our gross margins in January 2020 onwards upon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 However, these potential margin increases may be partially offset by expected decreases in Medicare reimbursement rates as a result of the Protecting Access to Medicare Act of 2014, or PAMA.</w:t>
      </w:r>
    </w:p>
    <w:p>
      <w:pPr>
        <w:spacing w:after="0" w:line="3" w:lineRule="exact"/>
        <w:rPr>
          <w:rFonts w:ascii="Arial" w:cs="Arial" w:eastAsia="Arial" w:hAnsi="Arial"/>
          <w:sz w:val="18"/>
          <w:szCs w:val="18"/>
          <w:color w:val="auto"/>
        </w:rPr>
      </w:pPr>
    </w:p>
    <w:p>
      <w:pPr>
        <w:ind w:left="328" w:hanging="328"/>
        <w:spacing w:after="0" w:line="245"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3" w:lineRule="exact"/>
        <w:rPr>
          <w:rFonts w:ascii="Arial" w:cs="Arial" w:eastAsia="Arial" w:hAnsi="Arial"/>
          <w:sz w:val="18"/>
          <w:szCs w:val="18"/>
          <w:color w:val="auto"/>
        </w:rPr>
      </w:pPr>
    </w:p>
    <w:p>
      <w:pPr>
        <w:ind w:left="328" w:right="260" w:hanging="328"/>
        <w:spacing w:after="0" w:line="254" w:lineRule="auto"/>
        <w:tabs>
          <w:tab w:leader="none" w:pos="324"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recognize revenue in accordance with the provisions of Accounting Standards Codification,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payer. Changes to such estimates may increase or decrease revenue recognized in future periods.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48"/>
          </w:cols>
          <w:pgMar w:left="572" w:top="886" w:right="279" w:bottom="1440" w:gutter="0" w:footer="0" w:header="0"/>
        </w:sectPr>
      </w:pPr>
    </w:p>
    <w:bookmarkStart w:id="27" w:name="page28"/>
    <w:bookmarkEnd w:id="27"/>
    <w:p>
      <w:pPr>
        <w:ind w:right="140" w:firstLine="446"/>
        <w:spacing w:after="0" w:line="262"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139" w:lineRule="exact"/>
        <w:rPr>
          <w:sz w:val="20"/>
          <w:szCs w:val="20"/>
          <w:color w:val="auto"/>
        </w:rPr>
      </w:pPr>
    </w:p>
    <w:p>
      <w:pPr>
        <w:ind w:right="140" w:firstLine="446"/>
        <w:spacing w:after="0" w:line="239" w:lineRule="auto"/>
        <w:rPr>
          <w:sz w:val="20"/>
          <w:szCs w:val="20"/>
          <w:color w:val="auto"/>
        </w:rPr>
      </w:pPr>
      <w:r>
        <w:rPr>
          <w:rFonts w:ascii="Arial" w:cs="Arial" w:eastAsia="Arial" w:hAnsi="Arial"/>
          <w:sz w:val="18"/>
          <w:szCs w:val="18"/>
          <w:color w:val="auto"/>
        </w:rPr>
        <w:t>In December 2018, we entered into a co-promotion agreement with Janssen, under which we are responsible for the costs associated with our sales force in promoting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United States. Janssen is responsible for all other costs associated with our promotion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under the Janssen agreement. In exchange for our sales and co-promotional services, we are entitled to a quarterly tiered promotion fee ranging from $750 to $1,250 per prescription based on the incremental increase in total prescribed units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for that quarter over a predetermined baseline. The predetermined average baseline for the initial term of 18 months is approximately 29,000 prescribed units per quarter, subject to adjustment under certain circumstances. The term of the agreement expires on June 30, 2020, unless extended by us for an additional 18 months upon 180 days written notice prior to the end of the initial term. Janssen can terminate the agreement at any time for any reason upon 30 days' notice to us, and we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223" w:lineRule="exact"/>
        <w:rPr>
          <w:sz w:val="20"/>
          <w:szCs w:val="20"/>
          <w:color w:val="auto"/>
        </w:rPr>
      </w:pPr>
    </w:p>
    <w:p>
      <w:pPr>
        <w:ind w:right="200" w:firstLine="446"/>
        <w:spacing w:after="0" w:line="237" w:lineRule="auto"/>
        <w:rPr>
          <w:sz w:val="20"/>
          <w:szCs w:val="20"/>
          <w:color w:val="auto"/>
        </w:rPr>
      </w:pPr>
      <w:r>
        <w:rPr>
          <w:rFonts w:ascii="Arial" w:cs="Arial" w:eastAsia="Arial" w:hAnsi="Arial"/>
          <w:sz w:val="18"/>
          <w:szCs w:val="18"/>
          <w:color w:val="auto"/>
        </w:rPr>
        <w:t>We recognized co-promotional revenue of approximately $0.8 million during the nine months ended September 30, 2019 and expect to continue to recognize revenue as we perform co-promotional services based on the number of total prescribed units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over the predetermined baseline.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 of Previously issued Financial Statements for Correction of Immaterial Errors</w:t>
      </w:r>
    </w:p>
    <w:p>
      <w:pPr>
        <w:spacing w:after="0" w:line="139" w:lineRule="exact"/>
        <w:rPr>
          <w:sz w:val="20"/>
          <w:szCs w:val="20"/>
          <w:color w:val="auto"/>
        </w:rPr>
      </w:pPr>
    </w:p>
    <w:p>
      <w:pPr>
        <w:ind w:right="100" w:firstLine="446"/>
        <w:spacing w:after="0" w:line="253" w:lineRule="auto"/>
        <w:rPr>
          <w:sz w:val="20"/>
          <w:szCs w:val="20"/>
          <w:color w:val="auto"/>
        </w:rPr>
      </w:pPr>
      <w:r>
        <w:rPr>
          <w:rFonts w:ascii="Arial" w:cs="Arial" w:eastAsia="Arial" w:hAnsi="Arial"/>
          <w:sz w:val="18"/>
          <w:szCs w:val="18"/>
          <w:color w:val="auto"/>
        </w:rPr>
        <w:t>During 2019, we identified immaterial misstatements in the financial statements for the year ended December 31, 2018 related to the carrying value of redeemable convertible preferred stock warrant liabilities. These amounts have been adjusted in the accompanying financial statements. See Note 12 of our notes to our unaudited condensed financial statements for a summary of the amounts and financial statement line items impacted by the revision. All amounts set forth in the discussion and year ended December 31, 2018 have been adjusted to reflect these revisions.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9" w:lineRule="exact"/>
        <w:rPr>
          <w:sz w:val="20"/>
          <w:szCs w:val="20"/>
          <w:color w:val="auto"/>
        </w:rPr>
      </w:pPr>
    </w:p>
    <w:p>
      <w:pPr>
        <w:ind w:right="20" w:firstLine="446"/>
        <w:spacing w:after="0" w:line="244"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payers, consist of healthcare insurers, government payers (primarily Medicare and Medicaid), client payers (i.e. hospitals, other laboratories, etc.), and patient self-pay. Our service is completed upon the delivery of test results to the prescribing rheumatologists which triggers billing for the service.</w:t>
      </w:r>
    </w:p>
    <w:p>
      <w:pPr>
        <w:spacing w:after="0" w:line="197" w:lineRule="exact"/>
        <w:rPr>
          <w:sz w:val="20"/>
          <w:szCs w:val="20"/>
          <w:color w:val="auto"/>
        </w:rPr>
      </w:pPr>
    </w:p>
    <w:p>
      <w:pPr>
        <w:ind w:firstLine="446"/>
        <w:spacing w:after="0" w:line="266"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payer. These assessments require significant judgment by management.</w:t>
      </w:r>
    </w:p>
    <w:p>
      <w:pPr>
        <w:spacing w:after="0" w:line="194" w:lineRule="exact"/>
        <w:rPr>
          <w:sz w:val="20"/>
          <w:szCs w:val="20"/>
          <w:color w:val="auto"/>
        </w:rPr>
      </w:pPr>
    </w:p>
    <w:p>
      <w:pPr>
        <w:ind w:right="240" w:firstLine="446"/>
        <w:spacing w:after="0" w:line="275"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 as well as our ability to successfully promote SIMPONI</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 (Excluding Amortization of Purchased Technology)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25" w:right="299" w:bottom="1440" w:gutter="0" w:footer="0" w:header="0"/>
        </w:sectPr>
      </w:pPr>
    </w:p>
    <w:bookmarkStart w:id="28" w:name="page29"/>
    <w:bookmarkEnd w:id="28"/>
    <w:p>
      <w:pPr>
        <w:ind w:right="260" w:firstLine="446"/>
        <w:spacing w:after="0" w:line="256"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202" w:lineRule="exact"/>
        <w:rPr>
          <w:sz w:val="20"/>
          <w:szCs w:val="20"/>
          <w:color w:val="auto"/>
        </w:rPr>
      </w:pPr>
    </w:p>
    <w:p>
      <w:pPr>
        <w:jc w:val="both"/>
        <w:ind w:right="200" w:firstLine="446"/>
        <w:spacing w:after="0" w:line="256" w:lineRule="auto"/>
        <w:rPr>
          <w:sz w:val="20"/>
          <w:szCs w:val="20"/>
          <w:color w:val="auto"/>
        </w:rPr>
      </w:pPr>
      <w:r>
        <w:rPr>
          <w:rFonts w:ascii="Arial" w:cs="Arial" w:eastAsia="Arial" w:hAnsi="Arial"/>
          <w:sz w:val="18"/>
          <w:szCs w:val="18"/>
          <w:color w:val="auto"/>
        </w:rPr>
        <w:t>Each payer, commercial third-party, government, or individual, reimburses us at different amounts. These differences can be significant. As a result, our costs of revenue as a percentage of revenue may vary significantly from period to period due to the composition of payers for each month's billings.</w:t>
      </w:r>
    </w:p>
    <w:p>
      <w:pPr>
        <w:spacing w:after="0" w:line="202" w:lineRule="exact"/>
        <w:rPr>
          <w:sz w:val="20"/>
          <w:szCs w:val="20"/>
          <w:color w:val="auto"/>
        </w:rPr>
      </w:pPr>
    </w:p>
    <w:p>
      <w:pPr>
        <w:jc w:val="both"/>
        <w:ind w:right="240" w:firstLine="446"/>
        <w:spacing w:after="0" w:line="256" w:lineRule="auto"/>
        <w:rPr>
          <w:sz w:val="20"/>
          <w:szCs w:val="20"/>
          <w:color w:val="auto"/>
        </w:rPr>
      </w:pPr>
      <w:r>
        <w:rPr>
          <w:rFonts w:ascii="Arial" w:cs="Arial" w:eastAsia="Arial" w:hAnsi="Arial"/>
          <w:sz w:val="18"/>
          <w:szCs w:val="18"/>
          <w:color w:val="auto"/>
        </w:rPr>
        <w:t>We expect that our costs of revenue will increase in absolute dollars as the number of tests we perform increases. However, we expect that the cost per test will decrease over time due to volume discounts on materials and shipping costs and other volume efficiencies we may gain as the number of tests we perform increases.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08" w:lineRule="exact"/>
        <w:rPr>
          <w:sz w:val="20"/>
          <w:szCs w:val="20"/>
          <w:color w:val="auto"/>
        </w:rPr>
      </w:pPr>
    </w:p>
    <w:p>
      <w:pPr>
        <w:ind w:right="160" w:firstLine="446"/>
        <w:spacing w:after="0" w:line="256"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202" w:lineRule="exact"/>
        <w:rPr>
          <w:sz w:val="20"/>
          <w:szCs w:val="20"/>
          <w:color w:val="auto"/>
        </w:rPr>
      </w:pPr>
    </w:p>
    <w:p>
      <w:pPr>
        <w:ind w:right="120" w:firstLine="446"/>
        <w:spacing w:after="0" w:line="243" w:lineRule="auto"/>
        <w:rPr>
          <w:sz w:val="20"/>
          <w:szCs w:val="20"/>
          <w:color w:val="auto"/>
        </w:rPr>
      </w:pPr>
      <w:r>
        <w:rPr>
          <w:rFonts w:ascii="Arial" w:cs="Arial" w:eastAsia="Arial" w:hAnsi="Arial"/>
          <w:sz w:val="18"/>
          <w:szCs w:val="18"/>
          <w:color w:val="auto"/>
        </w:rPr>
        <w:t>We expect that our selling, general and administrative expenses will increase in absolute dollars as we expand our sales and sales support functions, including expansion activities related to our promotion of SIMPONI</w:t>
      </w:r>
      <w:r>
        <w:rPr>
          <w:rFonts w:ascii="Arial" w:cs="Arial" w:eastAsia="Arial" w:hAnsi="Arial"/>
          <w:sz w:val="21"/>
          <w:szCs w:val="21"/>
          <w:color w:val="auto"/>
          <w:vertAlign w:val="superscript"/>
        </w:rPr>
        <w:t>®</w:t>
      </w:r>
      <w:r>
        <w:rPr>
          <w:rFonts w:ascii="Arial" w:cs="Arial" w:eastAsia="Arial" w:hAnsi="Arial"/>
          <w:sz w:val="18"/>
          <w:szCs w:val="18"/>
          <w:color w:val="auto"/>
        </w:rPr>
        <w:t>. We also expect our selling, general and administrative expenses will increase because of operating as a public company, including expenses related to compliance with the rules and regulations of the SEC and Nasdaq, additional insurance, investor relations activities and other administrative and professional services such as accounting, legal, regulatory and tax.</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95" w:lineRule="exact"/>
        <w:rPr>
          <w:sz w:val="20"/>
          <w:szCs w:val="20"/>
          <w:color w:val="auto"/>
        </w:rPr>
      </w:pPr>
    </w:p>
    <w:p>
      <w:pPr>
        <w:ind w:right="160" w:firstLine="446"/>
        <w:spacing w:after="0" w:line="253" w:lineRule="auto"/>
        <w:rPr>
          <w:sz w:val="20"/>
          <w:szCs w:val="20"/>
          <w:color w:val="auto"/>
        </w:rPr>
      </w:pPr>
      <w:r>
        <w:rPr>
          <w:rFonts w:ascii="Arial" w:cs="Arial" w:eastAsia="Arial" w:hAnsi="Arial"/>
          <w:sz w:val="18"/>
          <w:szCs w:val="18"/>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206" w:lineRule="exact"/>
        <w:rPr>
          <w:sz w:val="20"/>
          <w:szCs w:val="20"/>
          <w:color w:val="auto"/>
        </w:rPr>
      </w:pPr>
    </w:p>
    <w:p>
      <w:pPr>
        <w:ind w:right="660" w:firstLine="446"/>
        <w:spacing w:after="0" w:line="262" w:lineRule="auto"/>
        <w:rPr>
          <w:sz w:val="20"/>
          <w:szCs w:val="20"/>
          <w:color w:val="auto"/>
        </w:rPr>
      </w:pPr>
      <w:r>
        <w:rPr>
          <w:rFonts w:ascii="Arial" w:cs="Arial" w:eastAsia="Arial" w:hAnsi="Arial"/>
          <w:sz w:val="18"/>
          <w:szCs w:val="18"/>
          <w:color w:val="auto"/>
        </w:rPr>
        <w:t>We expect that our research and development expenses will increase in absolute dollars as we continue to invest in research and development activities related to our existing testing products and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represents the total amortization expense for our purchased technologies.</w:t>
      </w:r>
    </w:p>
    <w:p>
      <w:pPr>
        <w:spacing w:after="0" w:line="225" w:lineRule="exact"/>
        <w:rPr>
          <w:sz w:val="20"/>
          <w:szCs w:val="20"/>
          <w:color w:val="auto"/>
        </w:rPr>
      </w:pPr>
    </w:p>
    <w:p>
      <w:pPr>
        <w:ind w:right="580" w:firstLine="446"/>
        <w:spacing w:after="0" w:line="262" w:lineRule="auto"/>
        <w:rPr>
          <w:sz w:val="20"/>
          <w:szCs w:val="20"/>
          <w:color w:val="auto"/>
        </w:rPr>
      </w:pPr>
      <w:r>
        <w:rPr>
          <w:rFonts w:ascii="Arial" w:cs="Arial" w:eastAsia="Arial" w:hAnsi="Arial"/>
          <w:sz w:val="18"/>
          <w:szCs w:val="18"/>
          <w:color w:val="auto"/>
        </w:rPr>
        <w:t>The intangible assets recorded as of December 31, 2017 became fully amortized in 2018; accordingly, we do not expect any future amortization expense related to these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2" w:lineRule="exact"/>
        <w:rPr>
          <w:sz w:val="20"/>
          <w:szCs w:val="20"/>
          <w:color w:val="auto"/>
        </w:rPr>
      </w:pPr>
    </w:p>
    <w:p>
      <w:pPr>
        <w:ind w:right="240" w:firstLine="446"/>
        <w:spacing w:after="0" w:line="262"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current loan agreement with Innovatus.</w:t>
      </w:r>
    </w:p>
    <w:p>
      <w:pPr>
        <w:spacing w:after="0" w:line="196" w:lineRule="exact"/>
        <w:rPr>
          <w:sz w:val="20"/>
          <w:szCs w:val="20"/>
          <w:color w:val="auto"/>
        </w:rPr>
      </w:pPr>
    </w:p>
    <w:p>
      <w:pPr>
        <w:ind w:right="60" w:firstLine="446"/>
        <w:spacing w:after="0" w:line="262" w:lineRule="auto"/>
        <w:rPr>
          <w:sz w:val="20"/>
          <w:szCs w:val="20"/>
          <w:color w:val="auto"/>
        </w:rPr>
      </w:pPr>
      <w:r>
        <w:rPr>
          <w:rFonts w:ascii="Arial" w:cs="Arial" w:eastAsia="Arial" w:hAnsi="Arial"/>
          <w:sz w:val="18"/>
          <w:szCs w:val="18"/>
          <w:color w:val="auto"/>
        </w:rPr>
        <w:t>We expect interest expense to increase in 2019 due to the draws we made under our loan agreement and to decrease in years thereafter due to lower interest rates and lower outstanding principal balances.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99"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Prior to the completion of our IPO, we classified our outstanding warrants to purchase shares of our redeemable convertible preferred stock as liabilities on our balance sheets at their estimated fair value since the underlying redeemable convertible preferred stock was classified as temporary equity. At the end of each reporting period, changes in the estimated fair value during the period were recorded as a component of other income (expense).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29" w:name="page30"/>
    <w:bookmarkEnd w:id="29"/>
    <w:p>
      <w:pPr>
        <w:ind w:right="180" w:firstLine="446"/>
        <w:spacing w:after="0" w:line="256" w:lineRule="auto"/>
        <w:rPr>
          <w:sz w:val="20"/>
          <w:szCs w:val="20"/>
          <w:color w:val="auto"/>
        </w:rPr>
      </w:pPr>
      <w:r>
        <w:rPr>
          <w:rFonts w:ascii="Arial" w:cs="Arial" w:eastAsia="Arial" w:hAnsi="Arial"/>
          <w:sz w:val="18"/>
          <w:szCs w:val="18"/>
          <w:color w:val="auto"/>
        </w:rPr>
        <w:t>In connection with the completion of our IPO, all outstanding warrants to purchase shares of our redeemable convertible preferred stock either terminated or were converted into warrants to purchase shares of our common stock and accordingly, will no longer be subject to measurement.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net, consists primarily of interest income earned on our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2019 and 2018:</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9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Change</w:t>
            </w:r>
          </w:p>
        </w:tc>
      </w:tr>
      <w:tr>
        <w:trPr>
          <w:trHeight w:val="210"/>
        </w:trPr>
        <w:tc>
          <w:tcPr>
            <w:tcW w:w="6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60" w:type="dxa"/>
            <w:vAlign w:val="bottom"/>
            <w:gridSpan w:val="5"/>
          </w:tcPr>
          <w:p>
            <w:pPr>
              <w:ind w:left="1120"/>
              <w:spacing w:after="0"/>
              <w:rPr>
                <w:sz w:val="20"/>
                <w:szCs w:val="20"/>
                <w:color w:val="auto"/>
              </w:rPr>
            </w:pPr>
            <w:r>
              <w:rPr>
                <w:rFonts w:ascii="Arial" w:cs="Arial" w:eastAsia="Arial" w:hAnsi="Arial"/>
                <w:sz w:val="14"/>
                <w:szCs w:val="14"/>
                <w:b w:val="1"/>
                <w:bCs w:val="1"/>
                <w:color w:val="auto"/>
              </w:rPr>
              <w:t>(unaudited, in thousands)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6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10,439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8,223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2,216</w:t>
            </w:r>
          </w:p>
        </w:tc>
      </w:tr>
      <w:tr>
        <w:trPr>
          <w:trHeight w:val="250"/>
        </w:trPr>
        <w:tc>
          <w:tcPr>
            <w:tcW w:w="69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 (excluding amortization of purchased technology)</w:t>
            </w: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4,783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3,852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931</w:t>
            </w:r>
          </w:p>
        </w:tc>
      </w:tr>
      <w:tr>
        <w:trPr>
          <w:trHeight w:val="250"/>
        </w:trPr>
        <w:tc>
          <w:tcPr>
            <w:tcW w:w="69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7,306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4,932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2,374</w:t>
            </w:r>
          </w:p>
        </w:tc>
      </w:tr>
      <w:tr>
        <w:trPr>
          <w:trHeight w:val="26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50"/>
        </w:trPr>
        <w:tc>
          <w:tcPr>
            <w:tcW w:w="69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21"/>
                <w:szCs w:val="21"/>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57"/>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12,596</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9,356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3,240</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(1,024)</w:t>
            </w:r>
          </w:p>
        </w:tc>
      </w:tr>
      <w:tr>
        <w:trPr>
          <w:trHeight w:val="26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r>
      <w:tr>
        <w:trPr>
          <w:trHeight w:val="250"/>
        </w:trPr>
        <w:tc>
          <w:tcPr>
            <w:tcW w:w="6920" w:type="dxa"/>
            <w:vAlign w:val="bottom"/>
          </w:tcPr>
          <w:p>
            <w:pPr>
              <w:ind w:left="20"/>
              <w:spacing w:after="0"/>
              <w:rPr>
                <w:sz w:val="20"/>
                <w:szCs w:val="20"/>
                <w:color w:val="auto"/>
              </w:rPr>
            </w:pPr>
            <w:r>
              <w:rPr>
                <w:rFonts w:ascii="Arial" w:cs="Arial" w:eastAsia="Arial" w:hAnsi="Arial"/>
                <w:sz w:val="18"/>
                <w:szCs w:val="18"/>
                <w:color w:val="auto"/>
              </w:rPr>
              <w:t>Change in fair value of financial instruments</w:t>
            </w:r>
          </w:p>
        </w:tc>
        <w:tc>
          <w:tcPr>
            <w:tcW w:w="2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(255)</w:t>
            </w:r>
          </w:p>
        </w:tc>
      </w:tr>
      <w:tr>
        <w:trPr>
          <w:trHeight w:val="26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99</w:t>
            </w:r>
          </w:p>
        </w:tc>
      </w:tr>
      <w:tr>
        <w:trPr>
          <w:trHeight w:val="244"/>
        </w:trPr>
        <w:tc>
          <w:tcPr>
            <w:tcW w:w="6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(3,141)</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(1,385)</w:t>
            </w:r>
          </w:p>
        </w:tc>
      </w:tr>
      <w:tr>
        <w:trPr>
          <w:trHeight w:val="27"/>
        </w:trPr>
        <w:tc>
          <w:tcPr>
            <w:tcW w:w="6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ind w:right="20" w:firstLine="446"/>
        <w:spacing w:after="0" w:line="237" w:lineRule="auto"/>
        <w:rPr>
          <w:sz w:val="20"/>
          <w:szCs w:val="20"/>
          <w:color w:val="auto"/>
        </w:rPr>
      </w:pPr>
      <w:r>
        <w:rPr>
          <w:rFonts w:ascii="Arial" w:cs="Arial" w:eastAsia="Arial" w:hAnsi="Arial"/>
          <w:sz w:val="18"/>
          <w:szCs w:val="18"/>
          <w:color w:val="auto"/>
        </w:rPr>
        <w:t>Revenue increased $2.2 million, or 26.9%, for the three months ended September 30, 2019 compared to the three months ended September 30, 2018, primarily due to an increase in the number of diagnostic tests delivered. The number of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tests, which accounted for 83% and 86% of revenue in the three months ended September 30, 2019 and 2018, respectively, increased to 27,159 tests delivered in the three months ended September 30, 2019 compared to 21,090 tests delivered in the same 2018 period. The increase is primarily due to the increased adoption of the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CTD test by rheumatologists as the number of ordering healthcare providers increased to 1,591 for the three months ended September 30, 2019 as compared to 1,236 healthcare providers in the same 2018 period.</w:t>
      </w:r>
    </w:p>
    <w:p>
      <w:pPr>
        <w:spacing w:after="0" w:line="110" w:lineRule="exact"/>
        <w:rPr>
          <w:sz w:val="20"/>
          <w:szCs w:val="20"/>
          <w:color w:val="auto"/>
        </w:rPr>
      </w:pPr>
    </w:p>
    <w:p>
      <w:pPr>
        <w:ind w:right="560" w:firstLine="446"/>
        <w:spacing w:after="0" w:line="231" w:lineRule="auto"/>
        <w:rPr>
          <w:sz w:val="20"/>
          <w:szCs w:val="20"/>
          <w:color w:val="auto"/>
        </w:rPr>
      </w:pPr>
      <w:r>
        <w:rPr>
          <w:rFonts w:ascii="Arial" w:cs="Arial" w:eastAsia="Arial" w:hAnsi="Arial"/>
          <w:sz w:val="18"/>
          <w:szCs w:val="18"/>
          <w:color w:val="auto"/>
        </w:rPr>
        <w:t>In addition, we began co-promoting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early 2019 and recognized approximately $0.4 million of revenue during the three months ended September 30,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 (excluding amortization of purchased technology)</w:t>
      </w:r>
    </w:p>
    <w:p>
      <w:pPr>
        <w:spacing w:after="0" w:line="139"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auto"/>
        </w:rPr>
        <w:t>Costs of revenue increased $0.9 million, or 24.2%, for the three months ended September 30, 2019 compared to the three months ended September 30, 2018. This increase was primarily due to increased direct costs such as materials and supplies and royalties associated with the increase in test volume in 2019 compared to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9" w:lineRule="exact"/>
        <w:rPr>
          <w:sz w:val="20"/>
          <w:szCs w:val="20"/>
          <w:color w:val="auto"/>
        </w:rPr>
      </w:pPr>
    </w:p>
    <w:p>
      <w:pPr>
        <w:ind w:right="240" w:firstLine="446"/>
        <w:spacing w:after="0" w:line="254" w:lineRule="auto"/>
        <w:rPr>
          <w:sz w:val="20"/>
          <w:szCs w:val="20"/>
          <w:color w:val="auto"/>
        </w:rPr>
      </w:pPr>
      <w:r>
        <w:rPr>
          <w:rFonts w:ascii="Arial" w:cs="Arial" w:eastAsia="Arial" w:hAnsi="Arial"/>
          <w:sz w:val="18"/>
          <w:szCs w:val="18"/>
          <w:color w:val="auto"/>
        </w:rPr>
        <w:t>Selling, general and administrative expenses increased $2.4 million, or 48.1%, for the three months ended September 30, 2019 compared to the three months ended September 30, 2018. This increase was primarily due to increased employee related expenses of $1.8 million as a result of increasing the size of our sales force from 30 as of September 30, 2018 to 55 as of September 30, 2019. The remaining increase relates primarily to increased audit and professional services.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ectPr>
          <w:pgSz w:w="11900" w:h="16838" w:orient="portrait"/>
          <w:cols w:equalWidth="0" w:num="1">
            <w:col w:w="11420"/>
          </w:cols>
          <w:pgMar w:left="240" w:top="1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type w:val="continuous"/>
        </w:sectPr>
      </w:pPr>
    </w:p>
    <w:bookmarkStart w:id="30" w:name="page31"/>
    <w:bookmarkEnd w:id="30"/>
    <w:p>
      <w:pPr>
        <w:ind w:right="260" w:firstLine="446"/>
        <w:spacing w:after="0" w:line="262" w:lineRule="auto"/>
        <w:rPr>
          <w:sz w:val="20"/>
          <w:szCs w:val="20"/>
          <w:color w:val="auto"/>
        </w:rPr>
      </w:pPr>
      <w:r>
        <w:rPr>
          <w:rFonts w:ascii="Arial" w:cs="Arial" w:eastAsia="Arial" w:hAnsi="Arial"/>
          <w:sz w:val="18"/>
          <w:szCs w:val="18"/>
          <w:color w:val="auto"/>
        </w:rPr>
        <w:t>Research and development expenses remained relatively consistent for the three months ended September 30, 2019 compared to the three months ended September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39" w:lineRule="exact"/>
        <w:rPr>
          <w:sz w:val="20"/>
          <w:szCs w:val="20"/>
          <w:color w:val="auto"/>
        </w:rPr>
      </w:pPr>
    </w:p>
    <w:p>
      <w:pPr>
        <w:ind w:right="100" w:firstLine="446"/>
        <w:spacing w:after="0" w:line="262" w:lineRule="auto"/>
        <w:rPr>
          <w:sz w:val="20"/>
          <w:szCs w:val="20"/>
          <w:color w:val="auto"/>
        </w:rPr>
      </w:pPr>
      <w:r>
        <w:rPr>
          <w:rFonts w:ascii="Arial" w:cs="Arial" w:eastAsia="Arial" w:hAnsi="Arial"/>
          <w:sz w:val="18"/>
          <w:szCs w:val="18"/>
          <w:color w:val="auto"/>
        </w:rPr>
        <w:t>Our purchased intangible assets were fully amortized at December 31, 2018, therefore there is no amortization expense recorded for the three months ended September 30,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ind w:right="60" w:firstLine="446"/>
        <w:spacing w:after="0" w:line="256" w:lineRule="auto"/>
        <w:rPr>
          <w:sz w:val="20"/>
          <w:szCs w:val="20"/>
          <w:color w:val="auto"/>
        </w:rPr>
      </w:pPr>
      <w:r>
        <w:rPr>
          <w:rFonts w:ascii="Arial" w:cs="Arial" w:eastAsia="Arial" w:hAnsi="Arial"/>
          <w:sz w:val="18"/>
          <w:szCs w:val="18"/>
          <w:color w:val="auto"/>
        </w:rPr>
        <w:t>Interest expense increased $0.2 million, or 29.1%, for the three months ended September 30, 2019 compared to the three months ended September 30, 2018. This increase was primarily due to higher principal amounts outstanding at September 30, 2019 under our long-term borrowing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139" w:lineRule="exact"/>
        <w:rPr>
          <w:sz w:val="20"/>
          <w:szCs w:val="20"/>
          <w:color w:val="auto"/>
        </w:rPr>
      </w:pPr>
    </w:p>
    <w:p>
      <w:pPr>
        <w:ind w:firstLine="446"/>
        <w:spacing w:after="0" w:line="256" w:lineRule="auto"/>
        <w:rPr>
          <w:sz w:val="20"/>
          <w:szCs w:val="20"/>
          <w:color w:val="auto"/>
        </w:rPr>
      </w:pPr>
      <w:r>
        <w:rPr>
          <w:rFonts w:ascii="Arial" w:cs="Arial" w:eastAsia="Arial" w:hAnsi="Arial"/>
          <w:sz w:val="18"/>
          <w:szCs w:val="18"/>
          <w:color w:val="auto"/>
        </w:rPr>
        <w:t>The change in fair value of financial instruments decreased $0.3 million, or 463.6%, for the three months ended September 30, 2019 compared to the three months ended September 30, 2018. This decrease resulted from changes in the valuation of our redeemable convertible preferred stock warrant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39" w:lineRule="exact"/>
        <w:rPr>
          <w:sz w:val="20"/>
          <w:szCs w:val="20"/>
          <w:color w:val="auto"/>
        </w:rPr>
      </w:pPr>
    </w:p>
    <w:p>
      <w:pPr>
        <w:ind w:right="140" w:firstLine="446"/>
        <w:spacing w:after="0" w:line="262" w:lineRule="auto"/>
        <w:rPr>
          <w:sz w:val="20"/>
          <w:szCs w:val="20"/>
          <w:color w:val="auto"/>
        </w:rPr>
      </w:pPr>
      <w:r>
        <w:rPr>
          <w:rFonts w:ascii="Arial" w:cs="Arial" w:eastAsia="Arial" w:hAnsi="Arial"/>
          <w:sz w:val="18"/>
          <w:szCs w:val="18"/>
          <w:color w:val="auto"/>
        </w:rPr>
        <w:t>Other income, net, remained relatively consistent for the three months ended September 30, 2019 compared to the three months ended September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2018:</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7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Change</w:t>
            </w:r>
          </w:p>
        </w:tc>
      </w:tr>
      <w:tr>
        <w:trPr>
          <w:trHeight w:val="210"/>
        </w:trPr>
        <w:tc>
          <w:tcPr>
            <w:tcW w:w="7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(unaudited, in thousands)</w:t>
            </w:r>
          </w:p>
        </w:tc>
        <w:tc>
          <w:tcPr>
            <w:tcW w:w="1040" w:type="dxa"/>
            <w:vAlign w:val="bottom"/>
          </w:tcPr>
          <w:p>
            <w:pPr>
              <w:spacing w:after="0"/>
              <w:rPr>
                <w:sz w:val="18"/>
                <w:szCs w:val="18"/>
                <w:color w:val="auto"/>
              </w:rPr>
            </w:pPr>
          </w:p>
        </w:tc>
      </w:tr>
      <w:tr>
        <w:trPr>
          <w:trHeight w:val="26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30,173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22,799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7,374</w:t>
            </w:r>
          </w:p>
        </w:tc>
      </w:tr>
      <w:tr>
        <w:trPr>
          <w:trHeight w:val="250"/>
        </w:trPr>
        <w:tc>
          <w:tcPr>
            <w:tcW w:w="73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of revenue (excluding amortization of purchased technology)</w:t>
            </w: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14,217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11,376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2,841</w:t>
            </w:r>
          </w:p>
        </w:tc>
      </w:tr>
      <w:tr>
        <w:trPr>
          <w:trHeight w:val="250"/>
        </w:trPr>
        <w:tc>
          <w:tcPr>
            <w:tcW w:w="730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20,787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14,419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6,368</w:t>
            </w:r>
          </w:p>
        </w:tc>
      </w:tr>
      <w:tr>
        <w:trPr>
          <w:trHeight w:val="263"/>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r>
      <w:tr>
        <w:trPr>
          <w:trHeight w:val="250"/>
        </w:trPr>
        <w:tc>
          <w:tcPr>
            <w:tcW w:w="730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(141)</w:t>
            </w:r>
          </w:p>
        </w:tc>
      </w:tr>
      <w:tr>
        <w:trPr>
          <w:trHeight w:val="257"/>
        </w:trPr>
        <w:tc>
          <w:tcPr>
            <w:tcW w:w="73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36,614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27,528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9,086</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(6,441)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(1,712)</w:t>
            </w:r>
          </w:p>
        </w:tc>
      </w:tr>
      <w:tr>
        <w:trPr>
          <w:trHeight w:val="26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r>
      <w:tr>
        <w:trPr>
          <w:trHeight w:val="250"/>
        </w:trPr>
        <w:tc>
          <w:tcPr>
            <w:tcW w:w="7300" w:type="dxa"/>
            <w:vAlign w:val="bottom"/>
          </w:tcPr>
          <w:p>
            <w:pPr>
              <w:ind w:left="20"/>
              <w:spacing w:after="0"/>
              <w:rPr>
                <w:sz w:val="20"/>
                <w:szCs w:val="20"/>
                <w:color w:val="auto"/>
              </w:rPr>
            </w:pPr>
            <w:r>
              <w:rPr>
                <w:rFonts w:ascii="Arial" w:cs="Arial" w:eastAsia="Arial" w:hAnsi="Arial"/>
                <w:sz w:val="18"/>
                <w:szCs w:val="18"/>
                <w:color w:val="auto"/>
              </w:rPr>
              <w:t>Change in fair value of financial instruments</w:t>
            </w:r>
          </w:p>
        </w:tc>
        <w:tc>
          <w:tcPr>
            <w:tcW w:w="14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212</w:t>
            </w:r>
          </w:p>
        </w:tc>
      </w:tr>
      <w:tr>
        <w:trPr>
          <w:trHeight w:val="26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187</w:t>
            </w:r>
          </w:p>
        </w:tc>
      </w:tr>
      <w:tr>
        <w:trPr>
          <w:trHeight w:val="244"/>
        </w:trPr>
        <w:tc>
          <w:tcPr>
            <w:tcW w:w="7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(8,630)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(1,935)</w:t>
            </w:r>
          </w:p>
        </w:tc>
      </w:tr>
      <w:tr>
        <w:trPr>
          <w:trHeight w:val="27"/>
        </w:trPr>
        <w:tc>
          <w:tcPr>
            <w:tcW w:w="7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ind w:right="160" w:firstLine="446"/>
        <w:spacing w:after="0" w:line="250" w:lineRule="auto"/>
        <w:rPr>
          <w:sz w:val="20"/>
          <w:szCs w:val="20"/>
          <w:color w:val="auto"/>
        </w:rPr>
      </w:pPr>
      <w:r>
        <w:rPr>
          <w:rFonts w:ascii="Arial" w:cs="Arial" w:eastAsia="Arial" w:hAnsi="Arial"/>
          <w:sz w:val="17"/>
          <w:szCs w:val="17"/>
          <w:color w:val="auto"/>
        </w:rPr>
        <w:t>Revenue increased $7.4 million, or 32.3%, for the nine months ended September 30, 2019 compared to the nine months ended September 30, 2018, primarily due to an increase in the number of diagnostic tests delivered and an increase in the average reimbursement per test. The number of AVISE</w:t>
      </w:r>
      <w:r>
        <w:rPr>
          <w:rFonts w:ascii="Arial" w:cs="Arial" w:eastAsia="Arial" w:hAnsi="Arial"/>
          <w:sz w:val="20"/>
          <w:szCs w:val="20"/>
          <w:color w:val="auto"/>
          <w:vertAlign w:val="superscript"/>
        </w:rPr>
        <w:t>®</w:t>
      </w:r>
      <w:r>
        <w:rPr>
          <w:rFonts w:ascii="Arial" w:cs="Arial" w:eastAsia="Arial" w:hAnsi="Arial"/>
          <w:sz w:val="17"/>
          <w:szCs w:val="17"/>
          <w:color w:val="auto"/>
        </w:rPr>
        <w:t xml:space="preserve"> CTD tests, which accounted for 83% and 86% of revenue in the nine months ended September 30, 2019 and 2018, respectively, increased to 78,237 tests delivered in the nine months ended September 30, 2019 compared to 60,605 tests delivered in the same 2018 period. The increase is primarily due to the increased adoption of the AVISE</w:t>
      </w:r>
      <w:r>
        <w:rPr>
          <w:rFonts w:ascii="Arial" w:cs="Arial" w:eastAsia="Arial" w:hAnsi="Arial"/>
          <w:sz w:val="20"/>
          <w:szCs w:val="20"/>
          <w:color w:val="auto"/>
          <w:vertAlign w:val="superscript"/>
        </w:rPr>
        <w:t>®</w:t>
      </w:r>
      <w:r>
        <w:rPr>
          <w:rFonts w:ascii="Arial" w:cs="Arial" w:eastAsia="Arial" w:hAnsi="Arial"/>
          <w:sz w:val="17"/>
          <w:szCs w:val="17"/>
          <w:color w:val="auto"/>
        </w:rPr>
        <w:t xml:space="preserve"> CTD test by rheumatologists as the number of ordering healthcare providers increased to 2,040 as of September 30, 2019 as compared to 1,628 healthcare providers in the same 2018 period. In addition, our average reimbursement per AVISE</w:t>
      </w:r>
      <w:r>
        <w:rPr>
          <w:rFonts w:ascii="Arial" w:cs="Arial" w:eastAsia="Arial" w:hAnsi="Arial"/>
          <w:sz w:val="20"/>
          <w:szCs w:val="20"/>
          <w:color w:val="auto"/>
          <w:vertAlign w:val="superscript"/>
        </w:rPr>
        <w:t>®</w:t>
      </w:r>
      <w:r>
        <w:rPr>
          <w:rFonts w:ascii="Arial" w:cs="Arial" w:eastAsia="Arial" w:hAnsi="Arial"/>
          <w:sz w:val="17"/>
          <w:szCs w:val="17"/>
          <w:color w:val="auto"/>
        </w:rPr>
        <w:t xml:space="preserve"> CTD test increased to approximately $318 per test delivered in the nine months ended September 30, 2019 from approximately $315 per test delivered in the same 2018 period, an increase of approximately 1%.</w:t>
      </w:r>
    </w:p>
    <w:p>
      <w:pPr>
        <w:spacing w:after="0" w:line="100" w:lineRule="exact"/>
        <w:rPr>
          <w:sz w:val="20"/>
          <w:szCs w:val="20"/>
          <w:color w:val="auto"/>
        </w:rPr>
      </w:pPr>
    </w:p>
    <w:p>
      <w:pPr>
        <w:ind w:right="620" w:firstLine="446"/>
        <w:spacing w:after="0" w:line="231" w:lineRule="auto"/>
        <w:rPr>
          <w:sz w:val="20"/>
          <w:szCs w:val="20"/>
          <w:color w:val="auto"/>
        </w:rPr>
      </w:pPr>
      <w:r>
        <w:rPr>
          <w:rFonts w:ascii="Arial" w:cs="Arial" w:eastAsia="Arial" w:hAnsi="Arial"/>
          <w:sz w:val="18"/>
          <w:szCs w:val="18"/>
          <w:color w:val="auto"/>
        </w:rPr>
        <w:t>In addition, we began co-promoting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early 2019 and recognized approximately $0.8 million of revenue during the nine months ended September 30, 2019.</w:t>
      </w:r>
    </w:p>
    <w:p>
      <w:pPr>
        <w:sectPr>
          <w:pgSz w:w="11900" w:h="16838" w:orient="portrait"/>
          <w:cols w:equalWidth="0" w:num="1">
            <w:col w:w="11400"/>
          </w:cols>
          <w:pgMar w:left="240" w:top="101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16" w:right="2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Costs of Revenue (excluding amortization of purchased technology)</w:t>
      </w:r>
    </w:p>
    <w:p>
      <w:pPr>
        <w:spacing w:after="0" w:line="139" w:lineRule="exact"/>
        <w:rPr>
          <w:sz w:val="20"/>
          <w:szCs w:val="20"/>
          <w:color w:val="auto"/>
        </w:rPr>
      </w:pPr>
    </w:p>
    <w:p>
      <w:pPr>
        <w:ind w:right="40" w:firstLine="446"/>
        <w:spacing w:after="0" w:line="256" w:lineRule="auto"/>
        <w:rPr>
          <w:sz w:val="20"/>
          <w:szCs w:val="20"/>
          <w:color w:val="auto"/>
        </w:rPr>
      </w:pPr>
      <w:r>
        <w:rPr>
          <w:rFonts w:ascii="Arial" w:cs="Arial" w:eastAsia="Arial" w:hAnsi="Arial"/>
          <w:sz w:val="18"/>
          <w:szCs w:val="18"/>
          <w:color w:val="auto"/>
        </w:rPr>
        <w:t>Costs of revenue increased $2.8 million, or 25.0%, for the nine months ended September 30, 2019 compared to the nine months ended September 30, 2018. This increase was primarily due to increased direct costs such as materials and supplies, royalties, shipping and handling and labor associated with the increase in test volume in 2019 compared to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9" w:lineRule="exact"/>
        <w:rPr>
          <w:sz w:val="20"/>
          <w:szCs w:val="20"/>
          <w:color w:val="auto"/>
        </w:rPr>
      </w:pPr>
    </w:p>
    <w:p>
      <w:pPr>
        <w:ind w:firstLine="446"/>
        <w:spacing w:after="0" w:line="254" w:lineRule="auto"/>
        <w:rPr>
          <w:sz w:val="20"/>
          <w:szCs w:val="20"/>
          <w:color w:val="auto"/>
        </w:rPr>
      </w:pPr>
      <w:r>
        <w:rPr>
          <w:rFonts w:ascii="Arial" w:cs="Arial" w:eastAsia="Arial" w:hAnsi="Arial"/>
          <w:sz w:val="18"/>
          <w:szCs w:val="18"/>
          <w:color w:val="auto"/>
        </w:rPr>
        <w:t>Selling, general and administrative expenses increased $6.4 million, or 44.2%, for the nine months ended September 30, 2019 compared to the nine months ended September 30, 2018. This increase was primarily due to increased employee related expenses of $5.0 million as a result of increasing the size of our sales force from 29 at March 31, 2018 to 55 at September 30, 2019. The remaining increase relates primarily to increased audit and professional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ind w:right="340" w:firstLine="446"/>
        <w:spacing w:after="0" w:line="262" w:lineRule="auto"/>
        <w:rPr>
          <w:sz w:val="20"/>
          <w:szCs w:val="20"/>
          <w:color w:val="auto"/>
        </w:rPr>
      </w:pPr>
      <w:r>
        <w:rPr>
          <w:rFonts w:ascii="Arial" w:cs="Arial" w:eastAsia="Arial" w:hAnsi="Arial"/>
          <w:sz w:val="18"/>
          <w:szCs w:val="18"/>
          <w:color w:val="auto"/>
        </w:rPr>
        <w:t>Research and development expenses remained relatively consistent for the nine months ended September 30, 2019 compared to the nine months ended September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39" w:lineRule="exact"/>
        <w:rPr>
          <w:sz w:val="20"/>
          <w:szCs w:val="20"/>
          <w:color w:val="auto"/>
        </w:rPr>
      </w:pPr>
    </w:p>
    <w:p>
      <w:pPr>
        <w:ind w:right="120" w:firstLine="446"/>
        <w:spacing w:after="0" w:line="262" w:lineRule="auto"/>
        <w:rPr>
          <w:sz w:val="20"/>
          <w:szCs w:val="20"/>
          <w:color w:val="auto"/>
        </w:rPr>
      </w:pPr>
      <w:r>
        <w:rPr>
          <w:rFonts w:ascii="Arial" w:cs="Arial" w:eastAsia="Arial" w:hAnsi="Arial"/>
          <w:sz w:val="18"/>
          <w:szCs w:val="18"/>
          <w:color w:val="auto"/>
        </w:rPr>
        <w:t>Our purchased intangible assets were fully amortized at December 31, 2018, therefore there is no amortization expense recorded for the nine months ended September 30,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39" w:lineRule="exact"/>
        <w:rPr>
          <w:sz w:val="20"/>
          <w:szCs w:val="20"/>
          <w:color w:val="auto"/>
        </w:rPr>
      </w:pPr>
    </w:p>
    <w:p>
      <w:pPr>
        <w:ind w:right="220" w:firstLine="446"/>
        <w:spacing w:after="0" w:line="256" w:lineRule="auto"/>
        <w:rPr>
          <w:sz w:val="20"/>
          <w:szCs w:val="20"/>
          <w:color w:val="auto"/>
        </w:rPr>
      </w:pPr>
      <w:r>
        <w:rPr>
          <w:rFonts w:ascii="Arial" w:cs="Arial" w:eastAsia="Arial" w:hAnsi="Arial"/>
          <w:sz w:val="18"/>
          <w:szCs w:val="18"/>
          <w:color w:val="auto"/>
        </w:rPr>
        <w:t>Interest expense increased $0.6 million, or 29.6%, for the nine months ended September 30, 2019 compared to the nine months ended September 30, 2018. This increase was primarily due to higher principal amounts outstanding at September 30, 2019 under our long-term borrowing arrangements.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139" w:lineRule="exact"/>
        <w:rPr>
          <w:sz w:val="20"/>
          <w:szCs w:val="20"/>
          <w:color w:val="auto"/>
        </w:rPr>
      </w:pPr>
    </w:p>
    <w:p>
      <w:pPr>
        <w:ind w:right="160" w:firstLine="446"/>
        <w:spacing w:after="0" w:line="256" w:lineRule="auto"/>
        <w:rPr>
          <w:sz w:val="20"/>
          <w:szCs w:val="20"/>
          <w:color w:val="auto"/>
        </w:rPr>
      </w:pPr>
      <w:r>
        <w:rPr>
          <w:rFonts w:ascii="Arial" w:cs="Arial" w:eastAsia="Arial" w:hAnsi="Arial"/>
          <w:sz w:val="18"/>
          <w:szCs w:val="18"/>
          <w:color w:val="auto"/>
        </w:rPr>
        <w:t>The change in fair value of financial instruments increased $0.2 million, or 385.5%, for the nine months ended September 30, 2019 compared to the nine months ended September 30, 2018. This increase resulted from changes in the valuation of our redeemable convertible preferred stock warrant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net, increased $0.2 million, or 242.9% for the nine months ended September 30, 2019 compared to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This increase was due to the higher cash balance in our money market funds account during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compared to the prior year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2" w:lineRule="exact"/>
        <w:rPr>
          <w:sz w:val="20"/>
          <w:szCs w:val="20"/>
          <w:color w:val="auto"/>
        </w:rPr>
      </w:pPr>
    </w:p>
    <w:p>
      <w:pPr>
        <w:ind w:right="220" w:firstLine="446"/>
        <w:spacing w:after="0" w:line="254" w:lineRule="auto"/>
        <w:rPr>
          <w:sz w:val="20"/>
          <w:szCs w:val="20"/>
          <w:color w:val="auto"/>
        </w:rPr>
      </w:pPr>
      <w:r>
        <w:rPr>
          <w:rFonts w:ascii="Arial" w:cs="Arial" w:eastAsia="Arial" w:hAnsi="Arial"/>
          <w:sz w:val="18"/>
          <w:szCs w:val="18"/>
          <w:color w:val="auto"/>
        </w:rPr>
        <w:t>We have incurred net losses since our inception. For the nine months ended September 30, 2019 and 2018, we incurred a net loss of $8.6 million and $6.7 million, respectively, and we expect to incur additional losses and increased operating expenses in future periods. As of September 30, 2019, we had an accumulated deficit of $161.2 million. To date, we have generated only limited revenue, and we may never achieve revenue sufficient to offset our expenses.</w:t>
      </w:r>
    </w:p>
    <w:p>
      <w:pPr>
        <w:spacing w:after="0" w:line="56" w:lineRule="exact"/>
        <w:rPr>
          <w:sz w:val="20"/>
          <w:szCs w:val="20"/>
          <w:color w:val="auto"/>
        </w:rPr>
      </w:pPr>
    </w:p>
    <w:p>
      <w:pPr>
        <w:ind w:right="20" w:firstLine="446"/>
        <w:spacing w:after="0" w:line="252" w:lineRule="auto"/>
        <w:rPr>
          <w:sz w:val="20"/>
          <w:szCs w:val="20"/>
          <w:color w:val="auto"/>
        </w:rPr>
      </w:pPr>
      <w:r>
        <w:rPr>
          <w:rFonts w:ascii="Arial" w:cs="Arial" w:eastAsia="Arial" w:hAnsi="Arial"/>
          <w:sz w:val="18"/>
          <w:szCs w:val="18"/>
          <w:color w:val="auto"/>
        </w:rPr>
        <w:t>Through the date of our IPO in September 2019, our operations were financed primarily from sales of our common and redeemable convertible preferred stock and borrowings under various debt financings. In September 2019, we completed our IPO of 4,140,000 shares of its common stock at a price to the public of $14.00 per share, including the exercise in full by the underwriters of their option to purchase 540,000 additional shares of our common stock. Including the option exercise, the aggregate net proceeds to us from the offering was approximately $50.5 million, net of underwriting discounts, commissions and other estimated offering expenses, for aggregate expenses of approximately $7.5 million. As of September 30, 2019, we had $77.8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3" w:right="239" w:bottom="1440" w:gutter="0" w:footer="0" w:header="0"/>
        </w:sectPr>
      </w:pPr>
    </w:p>
    <w:bookmarkStart w:id="32" w:name="page33"/>
    <w:bookmarkEnd w:id="32"/>
    <w:p>
      <w:pPr>
        <w:ind w:right="40" w:firstLine="446"/>
        <w:spacing w:after="0" w:line="252" w:lineRule="auto"/>
        <w:rPr>
          <w:sz w:val="20"/>
          <w:szCs w:val="20"/>
          <w:color w:val="auto"/>
        </w:rPr>
      </w:pPr>
      <w:r>
        <w:rPr>
          <w:rFonts w:ascii="Arial" w:cs="Arial" w:eastAsia="Arial" w:hAnsi="Arial"/>
          <w:sz w:val="18"/>
          <w:szCs w:val="18"/>
          <w:color w:val="auto"/>
        </w:rPr>
        <w:t>In September 2017, we entered into the loan agreement with Innovatus, under which we immediately drew down $20.0 million. In December 2018, we borrowed an additional $5.0 million under the loan agreement. The loan term is for five years with a final maturity date of September 2022. The loan accrues interest at an annual rate of 11.0%, of which 2.5%, during the first 24 months, will be treated as paid in kind interest. Paid in kind interest is added to the principal balance each period. After the initial 24 months of the loan, the entire 11.0% will be paid in cash at the end of each period. We may, at our option, prepay the term loan borrowings by paying the lender a prepayment premium, which expires in October 2020.</w:t>
      </w:r>
    </w:p>
    <w:p>
      <w:pPr>
        <w:spacing w:after="0" w:line="209" w:lineRule="exact"/>
        <w:rPr>
          <w:sz w:val="20"/>
          <w:szCs w:val="20"/>
          <w:color w:val="auto"/>
        </w:rPr>
      </w:pPr>
    </w:p>
    <w:p>
      <w:pPr>
        <w:ind w:right="100" w:firstLine="446"/>
        <w:spacing w:after="0" w:line="252" w:lineRule="auto"/>
        <w:rPr>
          <w:sz w:val="20"/>
          <w:szCs w:val="20"/>
          <w:color w:val="auto"/>
        </w:rPr>
      </w:pPr>
      <w:r>
        <w:rPr>
          <w:rFonts w:ascii="Arial" w:cs="Arial" w:eastAsia="Arial" w:hAnsi="Arial"/>
          <w:sz w:val="18"/>
          <w:szCs w:val="18"/>
          <w:color w:val="auto"/>
        </w:rPr>
        <w:t>Our obligations under the loan agreement are secured by a security interest in substantially all of our assets, including our intellectual property. The loan agreement contains customary conditions to borrowing, events of default, and covenants, including covenants requiring us to maintain certain levels of minimum liquidity (in specified instances, is either $2.0 million or the trailing four months of cash used to fund operating activities) and achieve certain minimum amounts of revenue and either gross margins or gross profits, and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w:t>
      </w:r>
    </w:p>
    <w:p>
      <w:pPr>
        <w:spacing w:after="0" w:line="60" w:lineRule="exact"/>
        <w:rPr>
          <w:sz w:val="20"/>
          <w:szCs w:val="20"/>
          <w:color w:val="auto"/>
        </w:rPr>
      </w:pPr>
    </w:p>
    <w:p>
      <w:pPr>
        <w:ind w:right="60" w:firstLine="446"/>
        <w:spacing w:after="0" w:line="252" w:lineRule="auto"/>
        <w:rPr>
          <w:sz w:val="20"/>
          <w:szCs w:val="20"/>
          <w:color w:val="auto"/>
        </w:rPr>
      </w:pPr>
      <w:r>
        <w:rPr>
          <w:rFonts w:ascii="Arial" w:cs="Arial" w:eastAsia="Arial" w:hAnsi="Arial"/>
          <w:sz w:val="18"/>
          <w:szCs w:val="18"/>
          <w:color w:val="auto"/>
        </w:rPr>
        <w:t>In connection with the execution of the loan agreement, we issued the lender a seven-year warrant to purchase 15,384,615 shares of our Series F redeemable convertible preferred stock at an exercise price of $0.078 per share, and in December 2018, in connection with the additional $5.0 million borrowed under the loan agreement, we issued to the lender a seven-year warrant to purchase 3,846,154 shares of our Series F redeemable convertible preferred stock at an exercise price of $0.078 per share. In connection with the completion of our IPO in September 2019, the warrants were automatically converted into warrants exercisable for an aggregate of 104,722 shares of common stock at an exercise price of $14.32.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39" w:lineRule="exact"/>
        <w:rPr>
          <w:sz w:val="20"/>
          <w:szCs w:val="20"/>
          <w:color w:val="auto"/>
        </w:rPr>
      </w:pPr>
    </w:p>
    <w:p>
      <w:pPr>
        <w:ind w:firstLine="446"/>
        <w:spacing w:after="0" w:line="241"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 force to drive increased adoption of and reimbursement for our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testing products, promote SIMPONI</w:t>
      </w:r>
      <w:r>
        <w:rPr>
          <w:rFonts w:ascii="Arial" w:cs="Arial" w:eastAsia="Arial" w:hAnsi="Arial"/>
          <w:sz w:val="21"/>
          <w:szCs w:val="21"/>
          <w:color w:val="auto"/>
          <w:vertAlign w:val="superscript"/>
        </w:rPr>
        <w:t>®</w:t>
      </w:r>
      <w:r>
        <w:rPr>
          <w:rFonts w:ascii="Arial" w:cs="Arial" w:eastAsia="Arial" w:hAnsi="Arial"/>
          <w:sz w:val="18"/>
          <w:szCs w:val="18"/>
          <w:color w:val="auto"/>
        </w:rPr>
        <w:t>, prepare to commercialize new testing products, continue our research and development efforts and further develop our product pipeline. We believe we have sufficient laboratory capacity to support increased test volume. Other than the addition of laboratory equipment, we expect that we will not need to make material capital expenditures in the near term related to our laboratory facilities. Cash used to fund operating expenses is impacted by the timing of when we pay expenses, as reflected in the change in our outstanding accounts payable and accrued expenses.</w:t>
      </w:r>
    </w:p>
    <w:p>
      <w:pPr>
        <w:spacing w:after="0" w:line="221" w:lineRule="exact"/>
        <w:rPr>
          <w:sz w:val="20"/>
          <w:szCs w:val="20"/>
          <w:color w:val="auto"/>
        </w:rPr>
      </w:pPr>
    </w:p>
    <w:p>
      <w:pPr>
        <w:ind w:firstLine="446"/>
        <w:spacing w:after="0" w:line="250"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Based on our current business plan, we believe that our existing cash and cash equivalents and our anticipated future revenue, will be sufficient to meet our anticipated cash requirements for at least the next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12 months.</w:t>
      </w:r>
    </w:p>
    <w:p>
      <w:pPr>
        <w:spacing w:after="0" w:line="225" w:lineRule="exact"/>
        <w:rPr>
          <w:sz w:val="20"/>
          <w:szCs w:val="20"/>
          <w:color w:val="auto"/>
        </w:rPr>
      </w:pPr>
    </w:p>
    <w:p>
      <w:pPr>
        <w:ind w:right="260" w:firstLine="446"/>
        <w:spacing w:after="0" w:line="262"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37" w:lineRule="exact"/>
        <w:rPr>
          <w:sz w:val="20"/>
          <w:szCs w:val="20"/>
          <w:color w:val="auto"/>
        </w:rPr>
      </w:pPr>
    </w:p>
    <w:p>
      <w:pPr>
        <w:ind w:left="660" w:right="60" w:hanging="328"/>
        <w:spacing w:after="0" w:line="239"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5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b w:val="1"/>
          <w:bCs w:val="1"/>
          <w:color w:val="auto"/>
        </w:rPr>
      </w:pPr>
    </w:p>
    <w:p>
      <w:pPr>
        <w:ind w:left="660" w:right="280" w:hanging="328"/>
        <w:spacing w:after="0" w:line="220" w:lineRule="auto"/>
        <w:tabs>
          <w:tab w:leader="none" w:pos="656"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including the expansion of our sales capabilities, and the extent and timing of generating revenue from such promotion;</w:t>
      </w:r>
    </w:p>
    <w:p>
      <w:pPr>
        <w:spacing w:after="0" w:line="54"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costs of developing our product pipeline, including the costs associated with conducting our ongoing and future validation studies;</w:t>
      </w:r>
    </w:p>
    <w:p>
      <w:pPr>
        <w:spacing w:after="0" w:line="63" w:lineRule="exact"/>
        <w:rPr>
          <w:rFonts w:ascii="Arial" w:cs="Arial" w:eastAsia="Arial" w:hAnsi="Arial"/>
          <w:sz w:val="18"/>
          <w:szCs w:val="18"/>
          <w:b w:val="1"/>
          <w:bCs w:val="1"/>
          <w:color w:val="auto"/>
        </w:rPr>
      </w:pPr>
    </w:p>
    <w:p>
      <w:pPr>
        <w:ind w:left="660" w:right="540" w:hanging="328"/>
        <w:spacing w:after="0" w:line="262" w:lineRule="auto"/>
        <w:tabs>
          <w:tab w:leader="none" w:pos="656"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achieve sufficient market acceptance, coverage and adequate reimbursement from third-party payers and adequate market share and revenue for our testing products;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3" w:name="page34"/>
    <w:bookmarkEnd w:id="33"/>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additional costs we may incur as a result of operating as a public company; and</w:t>
      </w:r>
    </w:p>
    <w:p>
      <w:pPr>
        <w:spacing w:after="0" w:line="63" w:lineRule="exact"/>
        <w:rPr>
          <w:rFonts w:ascii="Arial" w:cs="Arial" w:eastAsia="Arial" w:hAnsi="Arial"/>
          <w:sz w:val="18"/>
          <w:szCs w:val="18"/>
          <w:b w:val="1"/>
          <w:bCs w:val="1"/>
          <w:color w:val="auto"/>
        </w:rPr>
      </w:pPr>
    </w:p>
    <w:p>
      <w:pPr>
        <w:ind w:left="660" w:hanging="328"/>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extent to which we establish additional partnerships or in-license, acquire or invest in complementary businesses or products.</w:t>
      </w:r>
    </w:p>
    <w:p>
      <w:pPr>
        <w:spacing w:after="0" w:line="225" w:lineRule="exact"/>
        <w:rPr>
          <w:sz w:val="20"/>
          <w:szCs w:val="20"/>
          <w:color w:val="auto"/>
        </w:rPr>
      </w:pPr>
    </w:p>
    <w:p>
      <w:pPr>
        <w:ind w:right="40" w:firstLine="446"/>
        <w:spacing w:after="0" w:line="251"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relationships with parties such as Janssen. If we cannot expand our operations or otherwise capitalize on our business opportunities because we lack sufficient capital, our business, financial condition, and results of operations could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3"/>
                <w:szCs w:val="13"/>
                <w:b w:val="1"/>
                <w:bCs w:val="1"/>
                <w:color w:val="auto"/>
              </w:rPr>
              <w:t>Nine Months Ended September 30,</w:t>
            </w:r>
          </w:p>
        </w:tc>
      </w:tr>
      <w:tr>
        <w:trPr>
          <w:trHeight w:val="196"/>
        </w:trPr>
        <w:tc>
          <w:tcPr>
            <w:tcW w:w="8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2018</w:t>
            </w:r>
          </w:p>
        </w:tc>
      </w:tr>
      <w:tr>
        <w:trPr>
          <w:trHeight w:val="197"/>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1720" w:type="dxa"/>
            <w:vAlign w:val="bottom"/>
            <w:gridSpan w:val="3"/>
          </w:tcPr>
          <w:p>
            <w:pPr>
              <w:jc w:val="right"/>
              <w:ind w:right="68"/>
              <w:spacing w:after="0"/>
              <w:rPr>
                <w:sz w:val="20"/>
                <w:szCs w:val="20"/>
                <w:color w:val="auto"/>
              </w:rPr>
            </w:pPr>
            <w:r>
              <w:rPr>
                <w:rFonts w:ascii="Arial" w:cs="Arial" w:eastAsia="Arial" w:hAnsi="Arial"/>
                <w:sz w:val="13"/>
                <w:szCs w:val="13"/>
                <w:b w:val="1"/>
                <w:bCs w:val="1"/>
                <w:color w:val="auto"/>
              </w:rPr>
              <w:t>(unaudited)</w:t>
            </w:r>
          </w:p>
        </w:tc>
        <w:tc>
          <w:tcPr>
            <w:tcW w:w="1000" w:type="dxa"/>
            <w:vAlign w:val="bottom"/>
          </w:tcPr>
          <w:p>
            <w:pPr>
              <w:spacing w:after="0"/>
              <w:rPr>
                <w:sz w:val="17"/>
                <w:szCs w:val="17"/>
                <w:color w:val="auto"/>
              </w:rPr>
            </w:pPr>
          </w:p>
        </w:tc>
      </w:tr>
      <w:tr>
        <w:trPr>
          <w:trHeight w:val="22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(5,784)</w:t>
            </w:r>
          </w:p>
        </w:tc>
        <w:tc>
          <w:tcPr>
            <w:tcW w:w="100" w:type="dxa"/>
            <w:vAlign w:val="bottom"/>
          </w:tcPr>
          <w:p>
            <w:pPr>
              <w:spacing w:after="0"/>
              <w:rPr>
                <w:sz w:val="18"/>
                <w:szCs w:val="18"/>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270"/>
              <w:spacing w:after="0"/>
              <w:rPr>
                <w:sz w:val="20"/>
                <w:szCs w:val="20"/>
                <w:color w:val="auto"/>
              </w:rPr>
            </w:pPr>
            <w:r>
              <w:rPr>
                <w:rFonts w:ascii="Arial" w:cs="Arial" w:eastAsia="Arial" w:hAnsi="Arial"/>
                <w:sz w:val="14"/>
                <w:szCs w:val="14"/>
                <w:color w:val="auto"/>
              </w:rPr>
              <w:t>(7,432)</w:t>
            </w:r>
          </w:p>
        </w:tc>
      </w:tr>
      <w:tr>
        <w:trPr>
          <w:trHeight w:val="222"/>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270"/>
              <w:spacing w:after="0"/>
              <w:rPr>
                <w:sz w:val="20"/>
                <w:szCs w:val="20"/>
                <w:color w:val="auto"/>
              </w:rPr>
            </w:pPr>
            <w:r>
              <w:rPr>
                <w:rFonts w:ascii="Arial" w:cs="Arial" w:eastAsia="Arial" w:hAnsi="Arial"/>
                <w:sz w:val="14"/>
                <w:szCs w:val="14"/>
                <w:color w:val="auto"/>
              </w:rPr>
              <w:t>(1,128)</w:t>
            </w:r>
          </w:p>
        </w:tc>
      </w:tr>
      <w:tr>
        <w:trPr>
          <w:trHeight w:val="21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70,525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290"/>
              <w:spacing w:after="0"/>
              <w:rPr>
                <w:sz w:val="20"/>
                <w:szCs w:val="20"/>
                <w:color w:val="auto"/>
              </w:rPr>
            </w:pPr>
            <w:r>
              <w:rPr>
                <w:rFonts w:ascii="Arial" w:cs="Arial" w:eastAsia="Arial" w:hAnsi="Arial"/>
                <w:sz w:val="14"/>
                <w:szCs w:val="14"/>
                <w:color w:val="auto"/>
              </w:rPr>
              <w:t>2,699</w:t>
            </w:r>
          </w:p>
        </w:tc>
      </w:tr>
      <w:tr>
        <w:trPr>
          <w:trHeight w:val="235"/>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Increase (decrease) in cash, cash equivalents and restricted cash</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64,664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4"/>
                <w:szCs w:val="14"/>
                <w:color w:val="auto"/>
              </w:rPr>
              <w:t>(5,861)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12" w:lineRule="exact"/>
        <w:rPr>
          <w:sz w:val="20"/>
          <w:szCs w:val="20"/>
          <w:color w:val="auto"/>
        </w:rPr>
      </w:pPr>
    </w:p>
    <w:p>
      <w:pPr>
        <w:ind w:right="120" w:firstLine="446"/>
        <w:spacing w:after="0" w:line="254" w:lineRule="auto"/>
        <w:rPr>
          <w:sz w:val="20"/>
          <w:szCs w:val="20"/>
          <w:color w:val="auto"/>
        </w:rPr>
      </w:pPr>
      <w:r>
        <w:rPr>
          <w:rFonts w:ascii="Arial" w:cs="Arial" w:eastAsia="Arial" w:hAnsi="Arial"/>
          <w:sz w:val="18"/>
          <w:szCs w:val="18"/>
          <w:color w:val="auto"/>
        </w:rPr>
        <w:t>Net cash used in operating activities for the nine months ended September 30, 2019 was $5.8 million and primarily resulted from our net loss of $8.6 million adjusted for non-cash charges of $1.4 million related to depreciation, amortization, stock-based compensation, non-cash interest and the revaluation of our preferred stock liabilities, and changes in our net operating assets of $1.5 million related to net increases in accounts payable and accrued liabilities.</w:t>
      </w:r>
    </w:p>
    <w:p>
      <w:pPr>
        <w:spacing w:after="0" w:line="56"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Net cash used in operating activities for the nine months ended September 30, 2018 was $7.4 million and primarily resulted from our net loss of $6.7 million adjusted for non-cash charges of $1.4 million for depreciation, amortization, stock-based compensation, non-cash interest and the revaluation of our preferred stock liabilities, and changes in our net operating assets of $2.2 million related to net increases in accounts receivable and prepaid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99" w:lineRule="exact"/>
        <w:rPr>
          <w:sz w:val="20"/>
          <w:szCs w:val="20"/>
          <w:color w:val="auto"/>
        </w:rPr>
      </w:pPr>
    </w:p>
    <w:p>
      <w:pPr>
        <w:ind w:right="300" w:firstLine="446"/>
        <w:spacing w:after="0" w:line="262" w:lineRule="auto"/>
        <w:rPr>
          <w:sz w:val="20"/>
          <w:szCs w:val="20"/>
          <w:color w:val="auto"/>
        </w:rPr>
      </w:pPr>
      <w:r>
        <w:rPr>
          <w:rFonts w:ascii="Arial" w:cs="Arial" w:eastAsia="Arial" w:hAnsi="Arial"/>
          <w:sz w:val="18"/>
          <w:szCs w:val="18"/>
          <w:color w:val="auto"/>
        </w:rPr>
        <w:t>Net cash used in investing activities for the nine months ended September 30, 2019 was $0.1 million and was due to net purchases of property and equipment.</w:t>
      </w:r>
    </w:p>
    <w:p>
      <w:pPr>
        <w:spacing w:after="0" w:line="61" w:lineRule="exact"/>
        <w:rPr>
          <w:sz w:val="20"/>
          <w:szCs w:val="20"/>
          <w:color w:val="auto"/>
        </w:rPr>
      </w:pPr>
    </w:p>
    <w:p>
      <w:pPr>
        <w:ind w:right="300" w:firstLine="446"/>
        <w:spacing w:after="0" w:line="262" w:lineRule="auto"/>
        <w:rPr>
          <w:sz w:val="20"/>
          <w:szCs w:val="20"/>
          <w:color w:val="auto"/>
        </w:rPr>
      </w:pPr>
      <w:r>
        <w:rPr>
          <w:rFonts w:ascii="Arial" w:cs="Arial" w:eastAsia="Arial" w:hAnsi="Arial"/>
          <w:sz w:val="18"/>
          <w:szCs w:val="18"/>
          <w:color w:val="auto"/>
        </w:rPr>
        <w:t>Net cash used in investing activities for the nine months ended September 30, 2018 was $1.1 million and was due to net purchases of short-term investments of $1.0 million and purchases of property and equipment of $0.1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99" w:lineRule="exact"/>
        <w:rPr>
          <w:sz w:val="20"/>
          <w:szCs w:val="20"/>
          <w:color w:val="auto"/>
        </w:rPr>
      </w:pPr>
    </w:p>
    <w:p>
      <w:pPr>
        <w:ind w:right="20" w:firstLine="446"/>
        <w:spacing w:after="0" w:line="256" w:lineRule="auto"/>
        <w:rPr>
          <w:sz w:val="20"/>
          <w:szCs w:val="20"/>
          <w:color w:val="auto"/>
        </w:rPr>
      </w:pPr>
      <w:r>
        <w:rPr>
          <w:rFonts w:ascii="Arial" w:cs="Arial" w:eastAsia="Arial" w:hAnsi="Arial"/>
          <w:sz w:val="18"/>
          <w:szCs w:val="18"/>
          <w:color w:val="auto"/>
        </w:rPr>
        <w:t>Net cash provided by financing activities for the nine months ended September 30, 2019 was $70.5 million and primarily resulted from the net proceeds received from our IPO of $52.2 million as well as net proceeds received from the issuance of our redeemable convertible preferred stock of $18.4 million.</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34" w:name="page35"/>
    <w:bookmarkEnd w:id="34"/>
    <w:p>
      <w:pPr>
        <w:ind w:firstLine="446"/>
        <w:spacing w:after="0" w:line="262" w:lineRule="auto"/>
        <w:rPr>
          <w:sz w:val="20"/>
          <w:szCs w:val="20"/>
          <w:color w:val="auto"/>
        </w:rPr>
      </w:pPr>
      <w:r>
        <w:rPr>
          <w:rFonts w:ascii="Arial" w:cs="Arial" w:eastAsia="Arial" w:hAnsi="Arial"/>
          <w:sz w:val="18"/>
          <w:szCs w:val="18"/>
          <w:color w:val="auto"/>
        </w:rPr>
        <w:t>Net cash provided by financing activities for the nine months ended September 30, 2018 was $2.7 million and primarily resulted from $2.7 million of net proceeds received from the issuance of our redeemable convertible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12" w:lineRule="exact"/>
        <w:rPr>
          <w:sz w:val="20"/>
          <w:szCs w:val="20"/>
          <w:color w:val="auto"/>
        </w:rPr>
      </w:pPr>
    </w:p>
    <w:p>
      <w:pPr>
        <w:ind w:right="40" w:firstLine="446"/>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United States generally accepted accounting principles, or U.S. GAAP. The year-end condensed balance sheet data was derived from audited financial statements, but does not include all disclosures required by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64"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For a description of our critical accounting policies, please see the section entitled "Management's Discussion and Analysis of Financial Condition and Results of Operations - Critical Accounting Policies and Significant Management Estimates" contained in the Prospectus. There have been no significant changes in our critical accounting policies and estimates during the three months ended September 30, 2019 as compared to the critical accounting policies and estimates disclosed in Management’s Discussion and Analysis of Financial Condition and Operations included in the Prospectus, other than as set forth in Note 2 to the unaudited condensed financial statements included in this quarterly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9" w:lineRule="exact"/>
        <w:rPr>
          <w:sz w:val="20"/>
          <w:szCs w:val="20"/>
          <w:color w:val="auto"/>
        </w:rPr>
      </w:pPr>
    </w:p>
    <w:p>
      <w:pPr>
        <w:ind w:right="360" w:firstLine="446"/>
        <w:spacing w:after="0" w:line="256" w:lineRule="auto"/>
        <w:rPr>
          <w:sz w:val="20"/>
          <w:szCs w:val="20"/>
          <w:color w:val="auto"/>
        </w:rPr>
      </w:pPr>
      <w:r>
        <w:rPr>
          <w:rFonts w:ascii="Arial" w:cs="Arial" w:eastAsia="Arial" w:hAnsi="Arial"/>
          <w:sz w:val="18"/>
          <w:szCs w:val="18"/>
          <w:color w:val="auto"/>
        </w:rPr>
        <w:t>There have been no new accounting pronouncements or changes to accounting pronouncements during the three and nine months ended September 30, 2019, as compared to the recent accounting pronouncements described in the Prospectus that are of significance or potential significance to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2" w:lineRule="exact"/>
        <w:rPr>
          <w:sz w:val="20"/>
          <w:szCs w:val="20"/>
          <w:color w:val="auto"/>
        </w:rPr>
      </w:pPr>
    </w:p>
    <w:p>
      <w:pPr>
        <w:ind w:right="120" w:firstLine="446"/>
        <w:spacing w:after="0" w:line="262"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the rules and regulations of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99" w:lineRule="exact"/>
        <w:rPr>
          <w:sz w:val="20"/>
          <w:szCs w:val="20"/>
          <w:color w:val="auto"/>
        </w:rPr>
      </w:pPr>
    </w:p>
    <w:p>
      <w:pPr>
        <w:ind w:right="80" w:firstLine="446"/>
        <w:spacing w:after="0" w:line="252" w:lineRule="auto"/>
        <w:rPr>
          <w:sz w:val="20"/>
          <w:szCs w:val="20"/>
          <w:color w:val="auto"/>
        </w:rPr>
      </w:pPr>
      <w:r>
        <w:rPr>
          <w:rFonts w:ascii="Arial" w:cs="Arial" w:eastAsia="Arial" w:hAnsi="Arial"/>
          <w:sz w:val="18"/>
          <w:szCs w:val="18"/>
          <w:color w:val="auto"/>
        </w:rPr>
        <w:t>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209" w:lineRule="exact"/>
        <w:rPr>
          <w:sz w:val="20"/>
          <w:szCs w:val="20"/>
          <w:color w:val="auto"/>
        </w:rPr>
      </w:pPr>
    </w:p>
    <w:p>
      <w:pPr>
        <w:ind w:right="60" w:firstLine="446"/>
        <w:spacing w:after="0" w:line="253"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which such fifth anniversary will occur in 2024.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the end of such five-year period.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9" w:lineRule="exact"/>
        <w:rPr>
          <w:sz w:val="20"/>
          <w:szCs w:val="20"/>
          <w:color w:val="auto"/>
        </w:rPr>
      </w:pPr>
    </w:p>
    <w:p>
      <w:pPr>
        <w:ind w:firstLine="446"/>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77" w:lineRule="exact"/>
        <w:rPr>
          <w:sz w:val="20"/>
          <w:szCs w:val="20"/>
          <w:color w:val="auto"/>
        </w:rPr>
      </w:pPr>
    </w:p>
    <w:p>
      <w:pPr>
        <w:ind w:right="100" w:firstLine="446"/>
        <w:spacing w:after="0" w:line="254"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have concluded that as of September 30, 2019, our disclosure controls and procedures were effective at the reasonable assurance level.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9" w:lineRule="exact"/>
        <w:rPr>
          <w:sz w:val="20"/>
          <w:szCs w:val="20"/>
          <w:color w:val="auto"/>
        </w:rPr>
      </w:pPr>
    </w:p>
    <w:p>
      <w:pPr>
        <w:ind w:right="40" w:firstLine="446"/>
        <w:spacing w:after="0" w:line="262"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I. Legal Proceedings</w:t>
      </w:r>
    </w:p>
    <w:p>
      <w:pPr>
        <w:spacing w:after="0" w:line="99" w:lineRule="exact"/>
        <w:rPr>
          <w:sz w:val="20"/>
          <w:szCs w:val="20"/>
          <w:color w:val="auto"/>
        </w:rPr>
      </w:pPr>
    </w:p>
    <w:p>
      <w:pPr>
        <w:jc w:val="both"/>
        <w:ind w:right="160" w:firstLine="446"/>
        <w:spacing w:after="0" w:line="254"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included in this Quarterly Report on Form 10-Q and in the Prospectus dated September 18, 2019 filed pursuant to Rule 424(b) under the Securities Act with the SEC on September 20, 2019, including our financial statements and related notes and “Management’s Discussion and Analysis of Financial Condition and Results of Operations,” before making an investment decision to purchase or sell shares of our common stock. If any of the following risks are realized, our business, financial condition, results of operations and prospects could be materially and adversely affected. In that event, the trading price of our common stock could decline, and you could lose part or all of your investment. The risks described below are not the only ones that we may face, and additional risks or uncertainties not known to us or that we currently deem immaterial may also impair our business and future prospects.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12"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We have a history of losses, we expect to incur net losses in the future and we may not be able to generate sufficient revenue to achieve and maintain profitability.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We have incurred net losses since our inception. For the nine months ended September 30, 2019 and 2018, we have incurred net losses of</w:t>
      </w:r>
    </w:p>
    <w:p>
      <w:pPr>
        <w:spacing w:after="0" w:line="214" w:lineRule="auto"/>
        <w:rPr>
          <w:sz w:val="20"/>
          <w:szCs w:val="20"/>
          <w:color w:val="auto"/>
        </w:rPr>
      </w:pPr>
      <w:r>
        <w:rPr>
          <w:rFonts w:ascii="Arial" w:cs="Arial" w:eastAsia="Arial" w:hAnsi="Arial"/>
          <w:sz w:val="18"/>
          <w:szCs w:val="18"/>
          <w:color w:val="auto"/>
        </w:rPr>
        <w:t>$8.6 and $6.7 million, respectively, and we expect to incur additional losses this year and in future years. As of September 30, 2019, we had an accumulated deficit of $161.2 million. Over the next several years, we expect to continue to devote substantially all of our resources to increase adoption of, and reimbursement for, our testing products, to promote SIMPONI</w:t>
      </w:r>
      <w:r>
        <w:rPr>
          <w:rFonts w:ascii="Arial" w:cs="Arial" w:eastAsia="Arial" w:hAnsi="Arial"/>
          <w:sz w:val="28"/>
          <w:szCs w:val="28"/>
          <w:color w:val="auto"/>
          <w:vertAlign w:val="superscript"/>
        </w:rPr>
        <w:t>®</w:t>
      </w:r>
      <w:r>
        <w:rPr>
          <w:rFonts w:ascii="Arial" w:cs="Arial" w:eastAsia="Arial" w:hAnsi="Arial"/>
          <w:sz w:val="18"/>
          <w:szCs w:val="18"/>
          <w:color w:val="auto"/>
        </w:rPr>
        <w:t>, to develop future testing products and to continue to execute our integrated testing and therapeutics strategy. We may not be able to generate sufficient revenue to achieve and maintain profitability. Our failure to achieve and maintain profitability in the future could cause the market price of our common stock to decline.</w:t>
      </w:r>
    </w:p>
    <w:p>
      <w:pPr>
        <w:spacing w:after="0" w:line="150"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We only recently began transitioning toward an integrated testing and therapeutics strategy. Consequently, any predictions about our future success, performance or viability may not be as accurate as they could be if we had a longer history of utilizing an integrated testing and therapeutics strategy in addition to the sale of our testing products.</w:t>
      </w:r>
    </w:p>
    <w:p>
      <w:pPr>
        <w:spacing w:after="0" w:line="18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In the near-term, we expect that our financial results will depend primarily on sales of our testing products, and we will need to generate sufficient revenue from these testing products to grow our business.</w:t>
      </w:r>
    </w:p>
    <w:p>
      <w:pPr>
        <w:spacing w:after="0" w:line="12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A significant majority of our historical revenue has been derived from the sale of our AVISE® CTD testing product, which we commercially launched in 2012. In the near term, we expect to continue to derive a majority of our revenue from sales of AVISE® CTD. We are in various stages of research and development with respect to other testing products that we may offer, but there can be no assurance that we will be able to commercialize these testing products.</w:t>
      </w:r>
    </w:p>
    <w:p>
      <w:pPr>
        <w:spacing w:after="0" w:line="14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demand for our testing products may decrease or may not continue to increase at historical rates for a number of reasons. In addition, at any point in time we may decide to no longer commercialize any of our testing products for any number of reasons. While we have experienced revenue growth from the sale of our testing products, we may not be able to sustain this growth or maintain existing revenue levels. Further, we cannot ensure the continued availability of our testing products in commercial quantities at acceptable costs. If we are unable to increase sales of our testing products, expand reimbursement for our testing products, or successfully develop and commercialize additional testing products, our revenue and our ability to achieve and sustain profitability would be impaired, and the market price of our common stock could decline.</w:t>
      </w:r>
    </w:p>
    <w:p>
      <w:pPr>
        <w:spacing w:after="0" w:line="18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Our future growth depends, in part, on our ability to execute on our strategy of integrating the promotion of our existing and future proprietary testing products with the promotion of therapeutics, and we may be unsuccessful in our promotion efforts for SIMPONI®, which could adversely affect our ability to implement this strategy.</w:t>
      </w:r>
    </w:p>
    <w:p>
      <w:pPr>
        <w:spacing w:after="0" w:line="1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in the process of integrating our historical testing products business with the promotion of therapeutics in an integrated testing and therapeutics strategy. Our integrated testing and therapeutics strategy leverages our sales and marketing efforts, targeting rheumatologists for the commercialization of our testing products to promote therapeutics. As a result, our future growth is dependent, in part, on our ability to leverage our unique commercial model of offering testing products combined with therapeutics, including with respect to the Janssen agreement, which we entered into in December 2018 to exclusively promote SIMPONI® in the United States. Pursuant to the Janssen Agreement, we are entitled to receive a tiered promotion fee based on the total number of incremental prescriptions written above an established baseline. Our ability to effectively co-promote SIMPONI® will require us to be successful in a range of activities, including hiring, training and deploying additional sales representatives and creating demand for SIMPONI® through our commercial and sales activities as well as those of Janssen Biotech, Inc., or Janssen. If we encounter difficulties promoting SIMPONI®, our ability to generate significant revenue under the Janssen Agreement will be harmed. Janssen also has the right to terminate the Janssen agreement with or without cause after 30-days’ notice. If Janssen were to exercise this right, we may be unable to recoup substantial investments we have made and intend to make in order to support the promotion of SIMPONI®. We have a limited history partnering with pharmaceutical companies for the promotion of therapeutics. Consequently, any predictions made about our future success or viability with respect to our promotion activities may not be as accurate as they could be if we had a history of successfully co-promoting therapeutics.</w:t>
      </w:r>
    </w:p>
    <w:p>
      <w:pPr>
        <w:spacing w:after="0" w:line="144" w:lineRule="exact"/>
        <w:rPr>
          <w:sz w:val="20"/>
          <w:szCs w:val="20"/>
          <w:color w:val="auto"/>
        </w:rPr>
      </w:pPr>
    </w:p>
    <w:p>
      <w:pPr>
        <w:ind w:right="60"/>
        <w:spacing w:after="0" w:line="192" w:lineRule="auto"/>
        <w:rPr>
          <w:sz w:val="20"/>
          <w:szCs w:val="20"/>
          <w:color w:val="auto"/>
        </w:rPr>
      </w:pPr>
      <w:r>
        <w:rPr>
          <w:rFonts w:ascii="Arial" w:cs="Arial" w:eastAsia="Arial" w:hAnsi="Arial"/>
          <w:sz w:val="18"/>
          <w:szCs w:val="18"/>
          <w:color w:val="auto"/>
        </w:rPr>
        <w:t>If we fail to successfully promote SIMPONI</w:t>
      </w:r>
      <w:r>
        <w:rPr>
          <w:rFonts w:ascii="Arial" w:cs="Arial" w:eastAsia="Arial" w:hAnsi="Arial"/>
          <w:sz w:val="28"/>
          <w:szCs w:val="28"/>
          <w:color w:val="auto"/>
          <w:vertAlign w:val="superscript"/>
        </w:rPr>
        <w:t>®</w:t>
      </w:r>
      <w:r>
        <w:rPr>
          <w:rFonts w:ascii="Arial" w:cs="Arial" w:eastAsia="Arial" w:hAnsi="Arial"/>
          <w:sz w:val="18"/>
          <w:szCs w:val="18"/>
          <w:color w:val="auto"/>
        </w:rPr>
        <w:t>, our ability to implement our integrated testing and therapeutics strategy and generate sufficient revenue to grow and sustain our business, and our business, financial condition and results of operations, will be materially adversely affected.</w:t>
      </w:r>
    </w:p>
    <w:p>
      <w:pPr>
        <w:spacing w:after="0" w:line="181"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We may be unable to manage our ongoing and future growth effectively, which could make it difficult to execute our business strategy.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66" w:right="259" w:bottom="1440" w:gutter="0" w:footer="0" w:header="0"/>
        </w:sectPr>
      </w:pPr>
    </w:p>
    <w:bookmarkStart w:id="37" w:name="page38"/>
    <w:bookmarkEnd w:id="37"/>
    <w:p>
      <w:pPr>
        <w:ind w:right="40"/>
        <w:spacing w:after="0" w:line="236" w:lineRule="auto"/>
        <w:rPr>
          <w:sz w:val="20"/>
          <w:szCs w:val="20"/>
          <w:color w:val="auto"/>
        </w:rPr>
      </w:pPr>
      <w:r>
        <w:rPr>
          <w:rFonts w:ascii="Arial" w:cs="Arial" w:eastAsia="Arial" w:hAnsi="Arial"/>
          <w:sz w:val="18"/>
          <w:szCs w:val="18"/>
          <w:color w:val="auto"/>
        </w:rPr>
        <w:t>In addition to the need to scale our testing capacity, our future growth plans will also impose significant added responsibilities on management, including the need to identify, recruit, train and integrate additional employees and the need to manage additional relationships with various partners, suppliers and other third parties. In particular, we expanded our salesforce from 31 representatives as of December 31, 2018 to 55 representatives as of September 30, 2019 to help increase reach and frequency and support our integrated promotion of testing products and therapeutics. In addition, rapid and significant growth may strain our administrative and operational infrastructure and require us to expand our financial, development, regulatory, manufacturing, marketing and sales capabilities or contract with third parties to provide these capabilities for us. Our ability to manage our business and growth, as well as function as a public company, will require us to 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ongoing and future growth effectively, it may be difficult for us to execute our business strategy and our business could be harmed.</w:t>
      </w:r>
    </w:p>
    <w:p>
      <w:pPr>
        <w:spacing w:after="0" w:line="18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If we lose or are unable to secure partners for our integrated testing and therapeutics strategy, or if our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In addition to the Janssen agreement, we plan to opportunistically evaluate, and may continue to enter into, additional agreements with pharmaceutical companies to integrate the promotion of our testing products with their therapeutics. We have also entered into, and may continue to enter into, other agreements that leverage our testing products and data generated from such tests. For example, we provide GSK our test result data to provide market insight into and help increase awareness of the benefits of an early and accurate diagnosis of SLE; and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MTX test data is used by Horizon Therapeutics to report on levels of MTXPG in patients undergoing methotrexate therapy in combination with its anti-gout product, KRYSTEXXA</w:t>
      </w:r>
      <w:r>
        <w:rPr>
          <w:rFonts w:ascii="Arial" w:cs="Arial" w:eastAsia="Arial" w:hAnsi="Arial"/>
          <w:sz w:val="28"/>
          <w:szCs w:val="28"/>
          <w:color w:val="auto"/>
          <w:vertAlign w:val="superscript"/>
        </w:rPr>
        <w:t>®</w:t>
      </w:r>
      <w:r>
        <w:rPr>
          <w:rFonts w:ascii="Arial" w:cs="Arial" w:eastAsia="Arial" w:hAnsi="Arial"/>
          <w:sz w:val="18"/>
          <w:szCs w:val="18"/>
          <w:color w:val="auto"/>
        </w:rPr>
        <w:t>, in an ongoing Phase 4 clinical trial.</w:t>
      </w:r>
    </w:p>
    <w:p>
      <w:pPr>
        <w:spacing w:after="0" w:line="10" w:lineRule="exact"/>
        <w:rPr>
          <w:sz w:val="20"/>
          <w:szCs w:val="20"/>
          <w:color w:val="auto"/>
        </w:rPr>
      </w:pPr>
    </w:p>
    <w:p>
      <w:pPr>
        <w:ind w:right="80"/>
        <w:spacing w:after="0" w:line="186" w:lineRule="auto"/>
        <w:rPr>
          <w:sz w:val="20"/>
          <w:szCs w:val="20"/>
          <w:color w:val="auto"/>
        </w:rPr>
      </w:pPr>
      <w:r>
        <w:rPr>
          <w:rFonts w:ascii="Arial" w:cs="Arial" w:eastAsia="Arial" w:hAnsi="Arial"/>
          <w:sz w:val="17"/>
          <w:szCs w:val="17"/>
          <w:color w:val="auto"/>
        </w:rPr>
        <w:t>The amount and timing of resources applied by our current or potential future partners are largely outside of our control. For example, we have limited control over, and rely on Janssen for, numerous activities that are critical to our ability to successfully promote SIMPONI</w:t>
      </w:r>
      <w:r>
        <w:rPr>
          <w:rFonts w:ascii="Arial" w:cs="Arial" w:eastAsia="Arial" w:hAnsi="Arial"/>
          <w:sz w:val="27"/>
          <w:szCs w:val="27"/>
          <w:color w:val="auto"/>
          <w:vertAlign w:val="superscript"/>
        </w:rPr>
        <w:t>®</w:t>
      </w:r>
      <w:r>
        <w:rPr>
          <w:rFonts w:ascii="Arial" w:cs="Arial" w:eastAsia="Arial" w:hAnsi="Arial"/>
          <w:sz w:val="17"/>
          <w:szCs w:val="17"/>
          <w:color w:val="auto"/>
        </w:rPr>
        <w:t>, such as pricing decisions, manufacture and supply of SIMPONI</w:t>
      </w:r>
      <w:r>
        <w:rPr>
          <w:rFonts w:ascii="Arial" w:cs="Arial" w:eastAsia="Arial" w:hAnsi="Arial"/>
          <w:sz w:val="27"/>
          <w:szCs w:val="27"/>
          <w:color w:val="auto"/>
          <w:vertAlign w:val="superscript"/>
        </w:rPr>
        <w:t>®</w:t>
      </w:r>
      <w:r>
        <w:rPr>
          <w:rFonts w:ascii="Arial" w:cs="Arial" w:eastAsia="Arial" w:hAnsi="Arial"/>
          <w:sz w:val="17"/>
          <w:szCs w:val="17"/>
          <w:color w:val="auto"/>
        </w:rPr>
        <w:t>, reimbursement support, marketing materials, the prosecution and enforcement of patents and other intellectual property rights related to SIMPONI</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and public communications and presentations regarding SIMPONI</w:t>
      </w:r>
      <w:r>
        <w:rPr>
          <w:rFonts w:ascii="Arial" w:cs="Arial" w:eastAsia="Arial" w:hAnsi="Arial"/>
          <w:sz w:val="27"/>
          <w:szCs w:val="27"/>
          <w:color w:val="auto"/>
          <w:vertAlign w:val="superscript"/>
        </w:rPr>
        <w:t>®</w:t>
      </w:r>
      <w:r>
        <w:rPr>
          <w:rFonts w:ascii="Arial" w:cs="Arial" w:eastAsia="Arial" w:hAnsi="Arial"/>
          <w:sz w:val="17"/>
          <w:szCs w:val="17"/>
          <w:color w:val="auto"/>
        </w:rPr>
        <w:t>. We likewise have limited control of how our other partners use the information provided by our testing products.</w:t>
      </w:r>
    </w:p>
    <w:p>
      <w:pPr>
        <w:spacing w:after="0" w:line="150" w:lineRule="exact"/>
        <w:rPr>
          <w:sz w:val="20"/>
          <w:szCs w:val="20"/>
          <w:color w:val="auto"/>
        </w:rPr>
      </w:pPr>
    </w:p>
    <w:p>
      <w:pPr>
        <w:spacing w:after="0" w:line="210" w:lineRule="auto"/>
        <w:rPr>
          <w:sz w:val="20"/>
          <w:szCs w:val="20"/>
          <w:color w:val="auto"/>
        </w:rPr>
      </w:pPr>
      <w:r>
        <w:rPr>
          <w:rFonts w:ascii="Arial" w:cs="Arial" w:eastAsia="Arial" w:hAnsi="Arial"/>
          <w:sz w:val="18"/>
          <w:szCs w:val="18"/>
          <w:color w:val="auto"/>
        </w:rPr>
        <w:t>If any of our current or future partners breaches or terminates our agreements, or fails to conduct the activities contemplated by our agreements in a timely manner, our success promoting the applicable therapeutics, testing products or information provided thereby could be diminished or blocked completely. It is possible that partners will change their strategic focus, pursue alternative technologies or develop alternative products, either on their own or in collaboration with others. For example, under the Janssen agreement, Janssen is not prohibited from developing or commercializing products that are competitive with SIMPONI</w:t>
      </w:r>
      <w:r>
        <w:rPr>
          <w:rFonts w:ascii="Arial" w:cs="Arial" w:eastAsia="Arial" w:hAnsi="Arial"/>
          <w:sz w:val="28"/>
          <w:szCs w:val="28"/>
          <w:color w:val="auto"/>
          <w:vertAlign w:val="superscript"/>
        </w:rPr>
        <w:t>®</w:t>
      </w:r>
      <w:r>
        <w:rPr>
          <w:rFonts w:ascii="Arial" w:cs="Arial" w:eastAsia="Arial" w:hAnsi="Arial"/>
          <w:sz w:val="18"/>
          <w:szCs w:val="18"/>
          <w:color w:val="auto"/>
        </w:rPr>
        <w:t>. If Janssen commercializes any competing products, it may provide lower levels of support to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or may terminate our agreement entirely. The effectiveness of our partners, if any, in marketing the applicable therapeutics will also affect our revenue and earnings. In addition, if our other partners encounter problems with our testing products or information provided by our testing products that they rely on as part of their efforts, our reputation and that of our testing products could be damaged, and it could impair our ability to enter into future agreements to promote therapeutics.</w:t>
      </w:r>
    </w:p>
    <w:p>
      <w:pPr>
        <w:spacing w:after="0" w:line="149" w:lineRule="exact"/>
        <w:rPr>
          <w:sz w:val="20"/>
          <w:szCs w:val="20"/>
          <w:color w:val="auto"/>
        </w:rPr>
      </w:pPr>
    </w:p>
    <w:p>
      <w:pPr>
        <w:ind w:right="120"/>
        <w:spacing w:after="0" w:line="201" w:lineRule="auto"/>
        <w:rPr>
          <w:sz w:val="20"/>
          <w:szCs w:val="20"/>
          <w:color w:val="auto"/>
        </w:rPr>
      </w:pPr>
      <w:r>
        <w:rPr>
          <w:rFonts w:ascii="Arial" w:cs="Arial" w:eastAsia="Arial" w:hAnsi="Arial"/>
          <w:sz w:val="18"/>
          <w:szCs w:val="18"/>
          <w:color w:val="auto"/>
        </w:rPr>
        <w:t>We rely on Janssen to provide, on a timely basis, an adequate and reliable supply of SIMPONI</w:t>
      </w:r>
      <w:r>
        <w:rPr>
          <w:rFonts w:ascii="Arial" w:cs="Arial" w:eastAsia="Arial" w:hAnsi="Arial"/>
          <w:sz w:val="28"/>
          <w:szCs w:val="28"/>
          <w:color w:val="auto"/>
          <w:vertAlign w:val="superscript"/>
        </w:rPr>
        <w:t>®</w:t>
      </w:r>
      <w:r>
        <w:rPr>
          <w:rFonts w:ascii="Arial" w:cs="Arial" w:eastAsia="Arial" w:hAnsi="Arial"/>
          <w:sz w:val="18"/>
          <w:szCs w:val="18"/>
          <w:color w:val="auto"/>
        </w:rPr>
        <w:t>. Any delay or interruption of supply or Janssen’s failure to comply with regulatory or other requirements could limit its ability to make, or cause it to cease sales, of SIMPONI</w:t>
      </w:r>
      <w:r>
        <w:rPr>
          <w:rFonts w:ascii="Arial" w:cs="Arial" w:eastAsia="Arial" w:hAnsi="Arial"/>
          <w:sz w:val="28"/>
          <w:szCs w:val="28"/>
          <w:color w:val="auto"/>
          <w:vertAlign w:val="superscript"/>
        </w:rPr>
        <w:t>®</w:t>
      </w:r>
      <w:r>
        <w:rPr>
          <w:rFonts w:ascii="Arial" w:cs="Arial" w:eastAsia="Arial" w:hAnsi="Arial"/>
          <w:sz w:val="18"/>
          <w:szCs w:val="18"/>
          <w:color w:val="auto"/>
        </w:rPr>
        <w:t>. Any manufacturing defect or error discovered after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has been produced and distributed could result in even more significant consequences, including costly recall procedures. In addition, the importation of pharmaceutical products into the United States is subject to regulation by the FDA, and the FDA can refuse to allow an imported product into the United States if it appears that the product fails to comply with applicable laws or regulations. Moreover, Janssen and its third-party manufacturers and suppliers may experience difficulties related to their overall business and financial stability. To the extent Janssen faces manufacturing difficulties or is unable to provide an adequate and reliable supply of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on a timely basis, our reputation could be harmed and our business could suffer.</w:t>
      </w:r>
    </w:p>
    <w:p>
      <w:pPr>
        <w:spacing w:after="0" w:line="15"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We do not have the capability and do not intend to discover or develop therapeutics on our own. Therefore, the success of our integrated testing and therapeutics strategy depends in part on our ability to acquire additional rights to promote therapeutics from new or existing partners. Other companies, many of which have substantially greater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38" w:name="page39"/>
    <w:bookmarkEnd w:id="38"/>
    <w:p>
      <w:pPr>
        <w:spacing w:after="0" w:line="224" w:lineRule="auto"/>
        <w:rPr>
          <w:sz w:val="20"/>
          <w:szCs w:val="20"/>
          <w:color w:val="auto"/>
        </w:rPr>
      </w:pPr>
      <w:r>
        <w:rPr>
          <w:rFonts w:ascii="Arial" w:cs="Arial" w:eastAsia="Arial" w:hAnsi="Arial"/>
          <w:sz w:val="18"/>
          <w:szCs w:val="18"/>
          <w:color w:val="auto"/>
        </w:rPr>
        <w:t>financial, marketing and sales resources than we do, also compete with us for the acquisition of rights to therapeutics. In addition, under the Janssen agreement, we are prohibited from selling or promoting certain types of products that are used to treat the same indications that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is used to treat. We may not be able to successfully negotiate any additional agreements to promote therapeutics and, if established, these relationships may not be successful. For example, potential partners, particularly those that are actively marketing their own therapeutics, may be unwilling to license commercialization rights to us or otherwise enter into terms that allow us to meaningfully participate in sales growth for their products, which could limit the potential availability and value to us of additional agreements to promote therapeutics. The inability to enter into agreements for additional therapeutics could limit the overall growth of our business and adversely affect our business, financial condition and results of operations. Disputes could also arise between us and our existing or future partners, as to a variety of matters, including financial and intellectual property matters or other obligations under our agreements. These disputes would be both expensive and time-consuming and may result in delays in the success of therapeutics or could damage our relationship with a partner.</w:t>
      </w:r>
    </w:p>
    <w:p>
      <w:pPr>
        <w:spacing w:after="0" w:line="18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We may experience limits on our revenue if rheumatologists decide not to order our testing products or our promoted therapeutics or if we are otherwise unable to create or maintain demand for our testing products and promoted therapeutics.</w:t>
      </w:r>
    </w:p>
    <w:p>
      <w:pPr>
        <w:spacing w:after="0" w:line="122" w:lineRule="exact"/>
        <w:rPr>
          <w:sz w:val="20"/>
          <w:szCs w:val="20"/>
          <w:color w:val="auto"/>
        </w:rPr>
      </w:pPr>
    </w:p>
    <w:p>
      <w:pPr>
        <w:ind w:right="100"/>
        <w:spacing w:after="0" w:line="221" w:lineRule="auto"/>
        <w:rPr>
          <w:sz w:val="20"/>
          <w:szCs w:val="20"/>
          <w:color w:val="auto"/>
        </w:rPr>
      </w:pPr>
      <w:r>
        <w:rPr>
          <w:rFonts w:ascii="Arial" w:cs="Arial" w:eastAsia="Arial" w:hAnsi="Arial"/>
          <w:sz w:val="18"/>
          <w:szCs w:val="18"/>
          <w:color w:val="auto"/>
        </w:rPr>
        <w:t>If we are unable to create or maintain demand for either our testing products or promoted therapeutics in sufficient volume, we may not generate sufficient revenue to become profitable. To generate increased demand, we will need to continue to educate rheumatologists about the benefits of our testing products through publications in peer-reviewed medical journals, presentations at medical conferences and other similar means. We will also need to generate demand for both our testing products and promoted therapeutics through one-on-one education by our salesforce. We also plan to focus on educating patients about the benefits of these testing products and therapeutics, which we believe will be necessary to generate further demand. In addition, our inability to obtain and maintain coverage and adequate reimbursement from third-party payers may limit adoption by rheumatologists. With respect to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in particular, if we are unable to generate sales above certain thresholds agreed to with Janssen, we will not receive any payments under the Janssen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Rheumatologists may rely on guidelines issued by industry groups regarding the diagnosis, prognosis, treatment and monitoring of autoimmune and autoimmune-related diseases, and the monitoring of the effectiveness of therapeutic drugs used to treat such diseases before utilizing any diagnostic test or monitoring solution.</w:t>
      </w:r>
    </w:p>
    <w:p>
      <w:pPr>
        <w:spacing w:after="0" w:line="181"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i w:val="1"/>
          <w:iCs w:val="1"/>
          <w:color w:val="auto"/>
        </w:rPr>
        <w:t>Our commercial success depends upon attaining and maintaining significant market acceptance of our testing products and promoted therapeutics among rheumatologists, patients, third-party payers and others in the medical community.</w:t>
      </w:r>
    </w:p>
    <w:p>
      <w:pPr>
        <w:spacing w:after="0" w:line="12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success depends on our ability to continue to develop and market testing products and promote therapeutics that are recognized and accepted as safe, effective, reliable and cost effective, and any testing product or promoted therapeutic that we offer may not gain or maintain market acceptance among rheumatologists, third-party payers, patients and the medical community. Market acceptance of our testing products and promoted therapeutics depends on a number of factors, including:</w:t>
      </w:r>
    </w:p>
    <w:p>
      <w:pPr>
        <w:spacing w:after="0" w:line="4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perceived accuracy of our test results by rheumatologists and patients;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and perceived advantages of our testing products and promoted therapeutics over alternative products and therapeutics;</w:t>
      </w:r>
    </w:p>
    <w:p>
      <w:pPr>
        <w:spacing w:after="0" w:line="49"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demonstration in clinical studies of the performance and clinical validity of our testing products, the results of which studies may not replicate the positive results from earlier studies;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demonstration of clinical efficacy and safety of our promoted therapeutics compared to other more-established products;</w:t>
      </w:r>
    </w:p>
    <w:p>
      <w:pPr>
        <w:spacing w:after="0" w:line="49" w:lineRule="exact"/>
        <w:rPr>
          <w:rFonts w:ascii="Arial" w:cs="Arial" w:eastAsia="Arial" w:hAnsi="Arial"/>
          <w:sz w:val="18"/>
          <w:szCs w:val="18"/>
          <w:color w:val="auto"/>
        </w:rPr>
      </w:pPr>
    </w:p>
    <w:p>
      <w:pPr>
        <w:ind w:left="660" w:right="560" w:hanging="328"/>
        <w:spacing w:after="0" w:line="24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of new tests or therapeutics products that compete with our testing products or our promoted therapeutics or the introduction of generic versions of our promoted therapeutics;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product cost in relation to alternative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prevalence and severity of any adverse effects from our promoted therapeutics;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rheumatologists to prescribe these therapies;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restrictions on the use of our promoted therapeutics, if approved, together with other medications;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publicity concerning our testing products and promoted therapeutics or competing products and treatments;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70" w:right="259" w:bottom="1440" w:gutter="0" w:footer="0" w:header="0"/>
        </w:sectPr>
      </w:pPr>
    </w:p>
    <w:bookmarkStart w:id="39" w:name="page40"/>
    <w:bookmarkEnd w:id="39"/>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payers, including government authorities;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relative convenience and ease of administration;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15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if we or our partners had to withdraw a product from the market, it could harm our business and could impact market acceptance of our other testing products or promoted therapeutics. If our testing products and promoted therapeutics do not achieve an adequate level of acceptance by rheumatologists, hospitals, third-party payers or patients, we may not generate sufficient revenue from that testing product or therapeutic and may not become or remain profitable. Our efforts to educate the medical community and third-party payers regarding the benefits of our testing products and promoted therapeutics may require significant resources and may never be successful.</w:t>
      </w:r>
    </w:p>
    <w:p>
      <w:pPr>
        <w:spacing w:after="0" w:line="18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The sizes of the markets for our testing products and promoted therapeutics have not been established with precision, and may be smaller than we estimate.</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estimates of the annual total addressable markets for our current and potential future testing products and promoted therapeutics are based on a number of internal and third-party estimates. These include, without limitation, the number of patients with autoimmune and autoimmune-related diseases and the assumed prices at which we can sell testing products and our partners can sell therapeutics in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and potential future testing products and promoted therapeutics may prove to be incorrect. If the actual number of patients who would benefit from our testing products and promoted therapeutics, the price at which we and our partners can sell future testing products, or the annual total addressable market for our testing products and promoted therapeutics is smaller than we have estimated, it may impair our sales growth and have an adverse impact on our business.</w:t>
      </w:r>
    </w:p>
    <w:p>
      <w:pPr>
        <w:spacing w:after="0" w:line="18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testing product or promoted therapeutic and fail to capitalize on other testing products or promoted therapeutics that may be more profitable or for which there is a greater likelihood of success.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Because we have limited financial and managerial resources, we focus on specific testing products and promoted therapeutics. As a result, we may forego or delay pursuit of opportunities with others that could have had greater commercial potential. Our resource allocation decisions may cause us to fail to capitalize on viable commercial products or profitable market opportunities. In addition, our spending on current and future research and development programs for testing products may not yield any commercially viable testing products. If we do not accurately evaluate the commercial potential or target market for a potential testing product or promoted therapeutic, we may forego other similar arrangements which would have been more advantageous for us to pursue.</w:t>
      </w:r>
    </w:p>
    <w:p>
      <w:pPr>
        <w:spacing w:after="0" w:line="18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w:t>
      </w:r>
    </w:p>
    <w:p>
      <w:pPr>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ind w:left="660" w:hanging="328"/>
        <w:spacing w:after="0" w:line="22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market and sell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and continue to promote SIMPONI</w:t>
      </w:r>
      <w:r>
        <w:rPr>
          <w:rFonts w:ascii="Arial" w:cs="Arial" w:eastAsia="Arial" w:hAnsi="Arial"/>
          <w:sz w:val="28"/>
          <w:szCs w:val="28"/>
          <w:color w:val="auto"/>
          <w:vertAlign w:val="superscript"/>
        </w:rPr>
        <w:t>®</w:t>
      </w:r>
      <w:r>
        <w:rPr>
          <w:rFonts w:ascii="Arial" w:cs="Arial" w:eastAsia="Arial" w:hAnsi="Arial"/>
          <w:sz w:val="18"/>
          <w:szCs w:val="18"/>
          <w:color w:val="auto"/>
        </w:rPr>
        <w:t>;</w:t>
      </w:r>
    </w:p>
    <w:p>
      <w:pPr>
        <w:ind w:left="660" w:right="100" w:hanging="328"/>
        <w:spacing w:after="0" w:line="24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our current testing and future testing products, if any, are eligible for coverage and reimbursement from third-party payers;</w:t>
      </w:r>
    </w:p>
    <w:p>
      <w:pPr>
        <w:spacing w:after="0" w:line="34" w:lineRule="exact"/>
        <w:rPr>
          <w:rFonts w:ascii="Arial" w:cs="Arial" w:eastAsia="Arial" w:hAnsi="Arial"/>
          <w:sz w:val="18"/>
          <w:szCs w:val="18"/>
          <w:color w:val="auto"/>
        </w:rPr>
      </w:pPr>
    </w:p>
    <w:p>
      <w:pPr>
        <w:ind w:left="660" w:right="60" w:hanging="328"/>
        <w:spacing w:after="0" w:line="275"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development, regulatory approval and commercialization activities relating to our testing products, which may change from time to time, and our ability to successfully commercialize new testing products;</w:t>
      </w:r>
    </w:p>
    <w:p>
      <w:pPr>
        <w:spacing w:after="0" w:line="11" w:lineRule="exact"/>
        <w:rPr>
          <w:rFonts w:ascii="Arial" w:cs="Arial" w:eastAsia="Arial" w:hAnsi="Arial"/>
          <w:sz w:val="17"/>
          <w:szCs w:val="17"/>
          <w:color w:val="auto"/>
        </w:rPr>
      </w:pPr>
    </w:p>
    <w:p>
      <w:pPr>
        <w:ind w:left="660" w:right="180" w:hanging="328"/>
        <w:spacing w:after="0" w:line="24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supplies, equipment and materials used for our testing products and laboratory operations, which may vary depending on the quantity of production and the terms of our agreements with third-party suppliers and manufacturers;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testing products and technologies;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demand for our testing products and promoted therapeutics, which may vary significantly;</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962" w:right="319" w:bottom="1440" w:gutter="0" w:footer="0" w:header="0"/>
        </w:sectPr>
      </w:pPr>
    </w:p>
    <w:bookmarkStart w:id="40" w:name="page41"/>
    <w:bookmarkEnd w:id="40"/>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receipt, timing and mix of revenue for our testing products and promoted therapeutics;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49" w:lineRule="exact"/>
        <w:rPr>
          <w:rFonts w:ascii="Arial" w:cs="Arial" w:eastAsia="Arial" w:hAnsi="Arial"/>
          <w:sz w:val="18"/>
          <w:szCs w:val="18"/>
          <w:color w:val="auto"/>
        </w:rPr>
      </w:pPr>
    </w:p>
    <w:p>
      <w:pPr>
        <w:ind w:left="660" w:right="520" w:hanging="328"/>
        <w:spacing w:after="0" w:line="24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and extent to which payers make an overpayment determination and require us to return all or some portion of payments which we received in a prior period; and</w:t>
      </w:r>
    </w:p>
    <w:p>
      <w:pPr>
        <w:spacing w:after="0" w:line="34" w:lineRule="exact"/>
        <w:rPr>
          <w:rFonts w:ascii="Arial" w:cs="Arial" w:eastAsia="Arial" w:hAnsi="Arial"/>
          <w:sz w:val="18"/>
          <w:szCs w:val="18"/>
          <w:color w:val="auto"/>
        </w:rPr>
      </w:pPr>
    </w:p>
    <w:p>
      <w:pPr>
        <w:ind w:left="660" w:right="360" w:hanging="328"/>
        <w:spacing w:after="0" w:line="24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or failure of competing products, or any other change in the competitive landscape of our industry, including consolidation among our competitors or partners.</w:t>
      </w:r>
    </w:p>
    <w:p>
      <w:pPr>
        <w:spacing w:after="0" w:line="143"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4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could have a material adverse effect on our business, financial condition and results or operations.</w:t>
      </w:r>
    </w:p>
    <w:p>
      <w:pPr>
        <w:spacing w:after="0" w:line="18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and other materials used in our testing products, and we may not be able to find replacements or transition to alternative suppliers.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rely on sole suppliers for critical supply of reagents, equipment and other materials that we use to perform the tests that comprise our testing products. We also purchase components used in our testing product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If our suppliers can no longer provide us with the materials we need to perform the tests that comprise our testing products, if the materials do not meet our quality specifications, or if we cannot obtain acceptable substitute materials, an interruption in test processing could occur and, in certain circumstances, we may be required to amend or cancel test results we have issued.</w:t>
      </w:r>
    </w:p>
    <w:p>
      <w:pPr>
        <w:spacing w:after="0" w:line="15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addition, if we should encounter delays or difficulties in securing the quality and quantity of equipment we require for our testing products,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8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If we are unable to support demand for our current testing products or any of our future testing products or solutions, our business could suffer.</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demand for our testing products or any of our future testing products or solutions grows, we will need to continue to scale our testing capacity and processing technology, expand customer service, billing and systems processes and enhance our internal quality assurance program. We may also need additional certified laboratory scientists and other scientific and technical personnel to process higher volumes of our testing products. We cannot assure you that any increases in scale, related improvements and quality assurance will be successfully implemented or that appropriate personnel will be available. We will also need to purchase additional equipment, some of which can take several months or more to procure, setup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We are also currently collaborating with third parties in an effort to implement multiplex technology in our laboratory. We may experience difficulties securing a partner for this technology and integrating such technology into our existing laboratory operations, which could affect our ability to meet demand for our testing products. If we encounter difficulty meeting market demand or quality standards, our reputation could be harmed and our future prospects and our business could suffer.</w:t>
      </w:r>
    </w:p>
    <w:p>
      <w:pPr>
        <w:spacing w:after="0" w:line="180"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i w:val="1"/>
          <w:iCs w:val="1"/>
          <w:color w:val="auto"/>
        </w:rPr>
        <w:t>If third-party payers do not provide coverage and adequate reimbursement for our testing products, or they breach, rescind or modify their contracts or reimbursement policies or delay payments for our testing</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41" w:name="page42"/>
    <w:bookmarkEnd w:id="41"/>
    <w:p>
      <w:pPr>
        <w:ind w:right="320"/>
        <w:spacing w:after="0" w:line="271" w:lineRule="auto"/>
        <w:rPr>
          <w:sz w:val="20"/>
          <w:szCs w:val="20"/>
          <w:color w:val="auto"/>
        </w:rPr>
      </w:pPr>
      <w:r>
        <w:rPr>
          <w:rFonts w:ascii="Arial" w:cs="Arial" w:eastAsia="Arial" w:hAnsi="Arial"/>
          <w:sz w:val="18"/>
          <w:szCs w:val="18"/>
          <w:b w:val="1"/>
          <w:bCs w:val="1"/>
          <w:i w:val="1"/>
          <w:iCs w:val="1"/>
          <w:color w:val="auto"/>
        </w:rPr>
        <w:t>products or promoted therapeutics, or if we or our partners are unable to successfully negotiate payer contracts, our commercial success could be compromised.</w:t>
      </w:r>
    </w:p>
    <w:p>
      <w:pPr>
        <w:spacing w:after="0" w:line="12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Successful commercialization of our testing products depends, in large part, on the availability of coverage and adequate reimbursement from third-party payers, including government payers, such as Medicare and Medicaid and private insurers. For the testing products that we develop and commercialize as well as the therapeutics we promote, each third-party payer decides whether to cover the product, the amount it will reimburse for a covered product and the specific conditions for reimbursement.</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Reimbursement by third-party payers may depend on a number of factors, including the payer’s determination that tests using our technologies are:</w:t>
      </w:r>
    </w:p>
    <w:p>
      <w:pPr>
        <w:spacing w:after="0" w:line="3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medically necessary;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demonstrated lead to improved patient outcomes;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cost-saving or cost-effective;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supported by peer-reviewed medical journals;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in clinical guidelines.</w:t>
      </w:r>
    </w:p>
    <w:p>
      <w:pPr>
        <w:spacing w:after="0" w:line="15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we are unable to provide third-party payers with sufficient evidence of the clinical utility and validity of our test, they may not provide coverage, or may provide limited coverage, which will adversely affect our revenue and our ability to succeed. In addition, clinicians may be less likely to order a test unless third-party payers pay a substantial portion of the test price. Therefore, coverage determinations and reimbursement levels and conditions are critical to commercial success, and if we are not able to secure positive coverage determinations and reimbursement levels, our business will be materially adversely affected.</w:t>
      </w:r>
    </w:p>
    <w:p>
      <w:pPr>
        <w:spacing w:after="0" w:line="14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Third-party payers and other entities also conduct technology assessments of new medical tests and devices and provide and/or sell the results of their assessments to other parties. These assessments may be used by third-party payers and health care providers as grounds to deny coverage for or refuse to use a test or procedure. In addition, third-party payers, have increased their efforts to control the cost, utilization and delivery of healthcare services. These measures have resulted in reduced payment rates and decreased utilization for the diagnostics industry.</w:t>
      </w:r>
    </w:p>
    <w:p>
      <w:pPr>
        <w:spacing w:after="0" w:line="14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Effective April 25, 2012, Palmetto GBA, the Medicare molecular diagnostic services program’s, or MolDx Program’s, contractor, assigned the AVISE® MTX assay a unique identifier and determined that the test meets the applicable Medicare coverage criteria to support dose optimization and therapeutic decision making for patients diagnosed with RA on methotrexate. Our current Medicare contractor, Noridian, has adopted this coverage policy. Other third-party payers make their own decisions as to whether to establish a policy to reimburse our testing products, however, and because approvals must be sought on a payer by payer basis, establishing broad coverage is a time-consuming and costly process. There are many third-party payers who have not yet established a coverage policy applicable to our testing products. In addition, several Blue Cross Blue Shield plans and Aetna issued non-coverage policies with respect to AVISE® Lupus, determining that AVISE® Lupus does not meet the medical criteria for coverage and is considered investigational and/or experimental.</w:t>
      </w:r>
    </w:p>
    <w:p>
      <w:pPr>
        <w:spacing w:after="0" w:line="15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While our testing products are reimbursed by a number of third-party payers, we do not currently have contracts with significant private payers. We have in the past, and will likely in the future, experience delays and temporary interruptions in the receipt of payments from third-party payers due to changes in their internal processes, documentation requirements and other issues, which could cause our revenue to fluctuate from period to period.</w:t>
      </w:r>
    </w:p>
    <w:p>
      <w:pPr>
        <w:spacing w:after="0" w:line="14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If we are not successful in reversing existing non-coverage policies, or if other third-party payers issue negative coverage policies, these policies could have a material adverse effect on our business and operations. Even if many third-party payers currently reimburse for our testing products, such payers may withdraw coverage at any time, review and adjust the rate of reimbursement, require co-payments from patients or stop paying for our testing products altogether, any of which would reduce our revenue.</w:t>
      </w:r>
    </w:p>
    <w:p>
      <w:pPr>
        <w:spacing w:after="0" w:line="180"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Billing for our testing products is complex, and we must dedicate substantial time and resources to the billing process to be paid for our testing products.</w:t>
      </w:r>
    </w:p>
    <w:p>
      <w:pPr>
        <w:spacing w:after="0" w:line="12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Billing for our testing products is complex, time consuming and expensive. Depending on the billing arrangement and applicable law, we bill various third-party payers, including Medicare and private insurance companies, as well as patients, all of which have different billing requirements. We generally bill third-party payers for our testing products and pursue reimbursement on a case-by-case basis where pricing contracts are not in place. We may also</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03" w:right="279" w:bottom="1440" w:gutter="0" w:footer="0" w:header="0"/>
        </w:sectPr>
      </w:pPr>
    </w:p>
    <w:bookmarkStart w:id="42" w:name="page43"/>
    <w:bookmarkEnd w:id="42"/>
    <w:p>
      <w:pPr>
        <w:ind w:right="320"/>
        <w:spacing w:after="0" w:line="246" w:lineRule="auto"/>
        <w:rPr>
          <w:sz w:val="20"/>
          <w:szCs w:val="20"/>
          <w:color w:val="auto"/>
        </w:rPr>
      </w:pPr>
      <w:r>
        <w:rPr>
          <w:rFonts w:ascii="Arial" w:cs="Arial" w:eastAsia="Arial" w:hAnsi="Arial"/>
          <w:sz w:val="18"/>
          <w:szCs w:val="18"/>
          <w:color w:val="auto"/>
        </w:rPr>
        <w:t>face increased risk in our collection efforts, including long collection cycles and potential delays in claims processing, which could adversely affect our business, results of operations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Several factors contribute to the complexity of the billing process, including:</w:t>
      </w:r>
    </w:p>
    <w:p>
      <w:pPr>
        <w:spacing w:after="0" w:line="5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differences between the list price for our testing products and the reimbursement rates of third-party payers;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among third-party payers as to which party is responsible for payment;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differences in coverage among third-party payers;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patient deductibles, co-payments or co-insurance;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third-party payers;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billing codes used for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of government audits related to billing;</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15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use standard industry billing codes, known as CPT codes, to bill for our testing products. If these codes were to change, there is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received.</w:t>
      </w:r>
    </w:p>
    <w:p>
      <w:pPr>
        <w:spacing w:after="0" w:line="14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As we introduce new testing products,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4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billing activities require us to implement compliance procedures and oversight, train and monitor our employees, and undertake internal audits to evaluate compliance with applicable laws and regulations as well as internal compliance policies and procedures. When payers deny our claims, in order to obtain reimbursement for services that we provide, we may challenge coverage and payment denials. Payers also conduct external audits to evaluate payments, which add further complexity to the billing process. If the payer makes an overpayment determination, there is a risk that we may be required to return all or some portion of prior payments we have received. Additionally, the Patient Protection and Affordable Care Act of 2010, as amended by the Health Care and Education Reconciliation Act of 2010, collectively the Affordable Care Act, or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w:t>
      </w:r>
    </w:p>
    <w:p>
      <w:pPr>
        <w:spacing w:after="0" w:line="15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Additionally, from time to time, third-party payers change processes that may affect timely payment. These changes may result in uneven cash flow or impact the timing of revenue recognized with these payers. With respect to payments received from governmental programs, factors such as a prolonged government shutdown could cause significant regulatory delays or could result in attempts to reduce payments made to us by federal government healthcare programs. In addition, third-party payers may refuse to ultimately make payment if their processes and requirements have not been met on a timely basis. These billing complexities, and the related uncertainty in obtaining payment for our testing products could negatively affect our revenue and cash flow, our ability to achieve profitability, and the consistency and comparability of our results of operations.</w:t>
      </w:r>
    </w:p>
    <w:p>
      <w:pPr>
        <w:spacing w:after="0" w:line="14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2018, Noridian posted the final Medicare Physician Fee Schedule, or MPFS, and Clinical Laboratory Fee Schedule, or CLFS, which establishes the reimbursement rates to be paid by Medicare for our coverage area for tests performed after January 1, 2019. We have estimated that the implementation of these reimbursement rates will result in an approximate 10.1% reduction in anticipated reimbursements from Medicare from our AVISE® CTD testing product from levels experienced in 2018. Revenue from Medicare comprised 26% and 31% of our revenue in the nine months ended September 30, 2019 and 2018, respectively. Revenue from the sale of our AVISE® CTD testing products comprised 83% and 86% of our revenue in the nine months ended September 30, 2019 and 2018, respectively.</w:t>
      </w:r>
    </w:p>
    <w:p>
      <w:pPr>
        <w:spacing w:after="0" w:line="151"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We also rely on a third-party provider to provide revenue cycle management software systems for certain processing and collection functions. In the past, we have experienced delays in claims processing as a result of our third-party provider making changes to its invoicing system, as well as not submitting claims to payers within the timeframe required. If claims for our testing products are not submitted to payers on a timely basis, or if we are required to switch to a different systems provider, it could have an adverse effect on our revenue and our business.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43" w:name="page44"/>
    <w:bookmarkEnd w:id="43"/>
    <w:p>
      <w:pPr>
        <w:ind w:right="320"/>
        <w:spacing w:after="0" w:line="27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times, we share our proprietary technology and confidential information, including trade secrets, with third parties that conduct studies and other services on our behalf.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8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Significant safety or efficacy issues could arise for our promoted therapeutics, which could have an adverse effect on our revenue and financial condition.</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If new safety or efficacy issues are reported or if new scientific information becomes available (including results of post-marketing Phase 4 trials), or if governments change standards regarding safety, efficacy or labeling, our partners may be required to amend the conditions of use for a therapeutic. For example, a partner may voluntarily provide or be required to provide updated information on a therapeutic’s label or narrow its approved indication, either of which could reduce the therapeutic’s market acceptance. If safety or efficacy issues with a partner’s therapeutic arise, sales of the therapeutic could be halted by the partner or by regulatory authorities. Safety or efficacy issues affecting suppliers’ or competitors’ products also may reduce the market acceptance of one of our partner’s therapeutics.</w:t>
      </w:r>
    </w:p>
    <w:p>
      <w:pPr>
        <w:spacing w:after="0" w:line="15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New data about a partner’s therapeutics, or products similar to a partner’s therapeutics, could negatively impact demand for such therapeutics due to real or perceived safety issues or uncertainty regarding efficacy and, in some cases, could result in product withdrawal. Furthermore, new data and information, including information about therapeutic misuse, may lead government agencies, professional societies, practice management groups or organizations involved with various diseases to publish guidelines or recommendations related to the use of such therapeutics or the use of related therapies or place restrictions on sales. Such guidelines or recommendations may lead to lower sales of the applicable therapeutics and reduce our revenue or otherwise adversely affect our business, prospects, results of operations or financial condition.</w:t>
      </w:r>
    </w:p>
    <w:p>
      <w:pPr>
        <w:spacing w:after="0" w:line="18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If we are unable to maintain or expand our sales and marketing force to adequately address our customers’ and current or future partners’ needs, our business may be adversely affected.</w:t>
      </w:r>
    </w:p>
    <w:p>
      <w:pPr>
        <w:spacing w:after="0" w:line="122"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auto"/>
        </w:rPr>
        <w:t>We sell our testing products through our own specialized salesforce and have recently increased our salesforce in order to achieve the optimal reach and frequency and support our strategy of integrating the promotion of testing products and therapeutics. Our testing products compete in a concentrated specialty market, that of autoimmune and autoimmune-related diseases, and utilizing a specialized salesforce is integral to our integrated testing and therapeutics strategy. As such, we believe it is necessary to maintain a salesforce that includes sales representatives with specific technical backgrounds and industry expertise. For example, to support the co-promotion of SIMPONI</w:t>
      </w:r>
      <w:r>
        <w:rPr>
          <w:rFonts w:ascii="Arial" w:cs="Arial" w:eastAsia="Arial" w:hAnsi="Arial"/>
          <w:sz w:val="28"/>
          <w:szCs w:val="28"/>
          <w:color w:val="auto"/>
          <w:vertAlign w:val="superscript"/>
        </w:rPr>
        <w:t>®</w:t>
      </w:r>
      <w:r>
        <w:rPr>
          <w:rFonts w:ascii="Arial" w:cs="Arial" w:eastAsia="Arial" w:hAnsi="Arial"/>
          <w:sz w:val="18"/>
          <w:szCs w:val="18"/>
          <w:color w:val="auto"/>
        </w:rPr>
        <w:t>, we expanded our salesforce from 31 representatives as of December 31, 2018 to 55 representatives as of September 30, 2019. Additional agreements for the promotion of therapeutics may require us to further expand our specialized salesforce. Training of additional sales representatives can be costly and time consuming, particularly given the level of experience and sophistication we seek in our salesforce. In addition, until recently, not all of our sales representatives have promoted therapeutics, including SIMPONI</w:t>
      </w:r>
      <w:r>
        <w:rPr>
          <w:rFonts w:ascii="Arial" w:cs="Arial" w:eastAsia="Arial" w:hAnsi="Arial"/>
          <w:sz w:val="28"/>
          <w:szCs w:val="28"/>
          <w:color w:val="auto"/>
          <w:vertAlign w:val="superscript"/>
        </w:rPr>
        <w:t>®</w:t>
      </w:r>
      <w:r>
        <w:rPr>
          <w:rFonts w:ascii="Arial" w:cs="Arial" w:eastAsia="Arial" w:hAnsi="Arial"/>
          <w:sz w:val="18"/>
          <w:szCs w:val="18"/>
          <w:color w:val="auto"/>
        </w:rPr>
        <w:t>, as part of our organization, and they will need to complete additional training in order to effectively promote SIMPONI</w:t>
      </w:r>
      <w:r>
        <w:rPr>
          <w:rFonts w:ascii="Arial" w:cs="Arial" w:eastAsia="Arial" w:hAnsi="Arial"/>
          <w:sz w:val="28"/>
          <w:szCs w:val="28"/>
          <w:color w:val="auto"/>
          <w:vertAlign w:val="superscript"/>
        </w:rPr>
        <w:t>®</w:t>
      </w:r>
      <w:r>
        <w:rPr>
          <w:rFonts w:ascii="Arial" w:cs="Arial" w:eastAsia="Arial" w:hAnsi="Arial"/>
          <w:sz w:val="18"/>
          <w:szCs w:val="18"/>
          <w:color w:val="auto"/>
        </w:rPr>
        <w:t xml:space="preserve"> and any other therapeutics that we promote through additional agreements. If we are unable to effectively retain, train and integrate additional sales representatives, it may adversely affect our ability to effectively market and sell our testing products. In addition, competition for highly specialized sales personnel is intense, and we may not be able to attract and retain personnel or be able to maintain an efficient and effective sales and marketing force.</w:t>
      </w:r>
    </w:p>
    <w:p>
      <w:pPr>
        <w:spacing w:after="0" w:line="152"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Our future sales will depend in large part on our ability to maintain an effective salesforce. If we are unsuccessful in this regard, it could negatively impact our revenue growth and potential profitability.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18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principal competition for our testing products is traditional methods used by healthcare providers to test patients with CTD-like symptoms. Such traditional methods include testing for a broad range of diagnostic, immunology and chemistry biomarkers, such as anti-nuclear antibodies, or ANA, and anti-double-stranded DNA, or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Other potential competitors include companies that might develop diagnostic or disease or drug monitoring products, such as Myriad Genetics, Inc., Progentec Diagnostics Inc., Kypha, LLC, Genalyte Inc., Protagen AG, DxTerity Diagnostics Inc., HealthTell, Inc. and Immunovia AB. In the future, we may also face competition from companies developing new products or technologies.</w:t>
      </w:r>
    </w:p>
    <w:p>
      <w:pPr>
        <w:spacing w:after="0" w:line="15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Direct competition for the promotion of SIMPONI® includes all other companies with anti-TNF biologics and the marketing companies supporting their distribution and promotion. These products include HUMIRA® from Abbvie Inc., ENBREL® from Amgen Inc., CIMZIA® from UCB, INFLECTRA® from Pfizer, (biosimilar REMICADE®) and RENFLEXIS® from Merck &amp; Co. (biosimilar REMICADE®). Additional competitors include companies with other biologic drugs indicated for RA that have significant sales or sales potential. Specifically, these include ORENCIA® from Bristol-Myers Squibb Company, ACTEMRA® from Roche, RITUXAN® from Roche, XELJANZ® from Pfizer, KEVZARA® from Sanofi S.A., RINVOQ™ from Abbvie Inc. and OLUMIANT® from Eli Lilly and Company. There are also several late-stage RA drug and biosimilar development programs and several additional RA products that have minimal sales to date or that are indicated for other rheumatic indications competitive to SIMPONI® such as psoriatic arthritis and ankylosing spondylitis.</w:t>
      </w:r>
    </w:p>
    <w:p>
      <w:pPr>
        <w:spacing w:after="0" w:line="154"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safety and efficacy with respect to promoted therapeutics; sales and marketing capabilities; the extent of reimbursement; inclusion in clinical guidelines; cost-effectiveness; and ease of use.</w:t>
      </w:r>
    </w:p>
    <w:p>
      <w:pPr>
        <w:spacing w:after="0" w:line="14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payers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49"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To compete successfully we must be able to demonstrate, among other things, that our testing products are accurate and cost effective and that we are effective in promoting therapeutics.</w:t>
      </w:r>
    </w:p>
    <w:p>
      <w:pPr>
        <w:spacing w:after="0" w:line="175"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12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will continue to devote considerable resources to the research and development of our planned future testing products and enhancements to our current testing products. 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4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successful validation studies;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scale our laboratory processes to accommodate different tests;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and maintain required regulatory certifications;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scale our infrastructure to be able to analyze increasingly large amounts of data;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testing products.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3" w:right="239" w:bottom="1440" w:gutter="0" w:footer="0" w:header="0"/>
        </w:sectPr>
      </w:pPr>
    </w:p>
    <w:bookmarkStart w:id="45" w:name="page46"/>
    <w:bookmarkEnd w:id="45"/>
    <w:p>
      <w:pPr>
        <w:ind w:right="200"/>
        <w:spacing w:after="0" w:line="246"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3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identify additional biomarkers to incorporate into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or sub-optimal performance of the testing product at the research or development stage;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 accessing archival patient blood specimens, especially specimens with known clinical results; or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15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 In addition, as we develop testing products, we will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15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81"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If we cannot enter into new clinical study collaborations, our product development and subsequent commercialization could be delayed.</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testing products such as our testing products, and our inability to control when and if results are published may delay or limit our ability to derive sufficient revenue from any solution.</w:t>
      </w:r>
    </w:p>
    <w:p>
      <w:pPr>
        <w:spacing w:after="0" w:line="18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part of our business strategy, we may pursue acquisitions of complementary businesses or assets, as well as technology licensing arrangements and other strategic transactions or collaborations with third parties. We also may pursue strategic alliances that leverage our core technology and industry experience to expand our offerings or distribution, make investments in other companies or acquire ownership rights to therapeutics that are synergistic with our testing products. To date, other than our acquisition of the medical diagnostics division of Cypress Bioscience, Inc. in 2010, we have not acquired other companies or therapeutics and, except with respect to certain collaboration agreements executed in connection with our integrated testing and therapeutics strategy, we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business or assets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5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To finance any acquisitions or investments, we may choose to issue shares of our stock as consideration, which would dilute the ownership of our stockholders. If the price of our common stock is low or volatile, we may not be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71"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able to acquire other companies for stock.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14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In addition, our loan agreement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The diagnostics and therapeutics industries are subject to rapidly changing technology, which could make our testing products, promoted therapeutics and other testing products we develop obsolete.</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testing products could become obsolete unless we continually innovate and expand our testing product offerings to include new clinical applications. If we are unable to develop new testing products or to demonstrate the applicability of our testing products for other diseases, our sales could decline and our competitive position could be harmed. In addition, if our promoted therapeutics become obsolete and we are unable to expand such agreements or find new partners, our sales could decline and our competitive position could be harmed. For example, with respect to SIMPONI® and the treatment of RA, active psoriatic arthritis, or active ankylosing spondylitis, there are many novel therapeutic approaches in development and we expect that the competition in this market will increase dramatically. If new therapeutics make SIMPONI® obsolete or diminish the degree to which rheumatologists prescribe it, our ability to generate revenue under the Janssen agreement will be harmed.</w:t>
      </w:r>
    </w:p>
    <w:p>
      <w:pPr>
        <w:spacing w:after="0" w:line="185"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b w:val="1"/>
          <w:bCs w:val="1"/>
          <w:i w:val="1"/>
          <w:iCs w:val="1"/>
          <w:color w:val="auto"/>
        </w:rPr>
        <w:t>Our failure to maintain relationships or build new relationships with key opinion leaders could materially adversely impact our business and prospects.</w:t>
      </w:r>
    </w:p>
    <w:p>
      <w:pPr>
        <w:spacing w:after="0" w:line="12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Key opinion leaders are able to influence clinical practice by publishing research and determining whether new tests should be integrated into clinical guidelines. We rely on key opinion leaders early in the development process to help ensure our clinical studies are designed and executed in a way that clearly demonstrates the benefits of our testing products to physicians and payers. Our failure to maintain or build new relationships with such key opinion leaders could affect rheumatologist and patient perception of our testing products and result in a loss of existing and future customers and therefore materially adversely impact our business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errors and omissions or professional liability, we could face substantial liabilities that exceed our resources.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marketing, sale and use of our testing products could lead to liability claims if someone were to allege that any such testing product failed to perform as it was designed. We may also be subject to liability for errors in the results we provide to rheumatologists or for a misunderstanding of, or inappropriate reliance upon, the information we provide. We may also be subject to similar types of claims related to testing products we may develop in the future. An errors and omissions or professional liability claim could result in substantial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increase our insurance rates or prevent us from securing insurance coverage in the future. Additionally, any product liability lawsuit could cause injury to our reputation or cause us to suspend sales of our testing products. Similarly, any product liability lawsuit affecting our partners could also cause injury to our reputation or cause the applicable partner to suspend sales of its therapeutics. We may also initiate a correction or removal for one of our testing products, issue a safety alert or undertake a field action or recall to reduce a risk to health posed by potential failure of our products to perform as designed, which could lead increase costs and lead to increased scrutiny by regulatory authorities and our customers regarding the quality and safety of our testing products and to negative publicity, including safety alerts, press releases or administrative or judicial actions. The occurrence of any of these events could have an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71" w:right="259" w:bottom="1440" w:gutter="0" w:footer="0" w:header="0"/>
        </w:sectPr>
      </w:pPr>
    </w:p>
    <w:bookmarkStart w:id="47" w:name="page48"/>
    <w:bookmarkEnd w:id="47"/>
    <w:p>
      <w:pPr>
        <w:ind w:right="260"/>
        <w:spacing w:after="0" w:line="271" w:lineRule="auto"/>
        <w:rPr>
          <w:sz w:val="20"/>
          <w:szCs w:val="20"/>
          <w:color w:val="auto"/>
        </w:rPr>
      </w:pPr>
      <w:r>
        <w:rPr>
          <w:rFonts w:ascii="Arial" w:cs="Arial" w:eastAsia="Arial" w:hAnsi="Arial"/>
          <w:sz w:val="18"/>
          <w:szCs w:val="18"/>
          <w:b w:val="1"/>
          <w:bCs w:val="1"/>
          <w:i w:val="1"/>
          <w:iCs w:val="1"/>
          <w:color w:val="auto"/>
        </w:rPr>
        <w:t>The loss of members of our senior management team or our inability to attract and retain highly skilled scientists, technicians and salespeople could adversely affect our business.</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including Fortunato Ron Rocca, our President and Chief Executive Officer, and others in key management positions. The efforts of each of these persons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4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Southern California.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and highly-specialized salespeople. We may have difficulties locating, recruiting or retaining qualified salespeople, which could cause a delay or decline in the rate of adoption of our testing products and the sale of promoted therapeutics.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84"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If our sole laboratory facility becomes damaged or inoperable, we are required to vacate our existing facility or we are unable to expand our existing facility as needed, we will be unable to perform our testing services and our business will be harmed.</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currently derive all of our revenue from tests conducted at a single laboratory facility located in Vista, California. Vista is situated on or near earthquake fault lines. Our facility and equipment could be harmed or rendered inoperable by natural or man-made disasters, including earthquake, fire, flood, power loss, communications failure or terrorism. In particular, we store all of our flow cytometers, the instrument we use to detect CB-CAPs on cells, at our Vista facility. If all of our flow cytometers were rendered inoperable simultaneously pursuant to a natural or man-made disaster, we would be unable to perform these key tests as we do in the ordinary course of our business. The inability to perform the tests contained in our testing products or to reduce the backlog of analyses that could develop if our facility is inoperable, for even a short period of time,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testing products, at our Vista facility. If these specimens were destroyed pursuant to a natural or man-made disaster or otherwise become unavailable, our ability to develop new testing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third-party, particularly in light of the licensure and accreditation requirements for a commercial laboratory like ours. Even in the unlikely event we are able to find a third party with such qualifications to enable us to conduct the tests contained in our testing products, we may be unable to negotiate commercially reasonable terms.</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order to rely on a third party to perform the tests contained in our testing products, we would need to engage another facility with established state licensure and Clinical Laboratory Improvement Amendments of 1988, or CLIA, accreditation under the scope of which tests could be performed following validation and other required procedures. We cannot assure you that we would be able to find another CLIA-certified facility willing to comply with the required procedures, that any such facility would be willing to perform the tests contained in our testing products for us on commercially reasonable terms, or that it would be able to meet our quality standards.</w:t>
      </w:r>
    </w:p>
    <w:p>
      <w:pPr>
        <w:spacing w:after="0" w:line="14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order to establish an additional clinical reference laboratory facility, we would have to spend considerable time and money securing adequate space, constructing the facility, recruiting and training employees, and establishing the additional operational and administrative infrastructure necessary to support a second facility. We may not be able, or it may take considerable time, to replicate our testing processes or results in a new facility. Additionally, any new clinical reference laboratory facility opened by us would be subject to certification under CLIA and licensing by several states, including California and New York, which could take a significant amount of time and result in delays in our ability to begin operations.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3" w:right="239" w:bottom="1440" w:gutter="0" w:footer="0" w:header="0"/>
        </w:sectPr>
      </w:pPr>
    </w:p>
    <w:bookmarkStart w:id="48" w:name="page49"/>
    <w:bookmarkEnd w:id="48"/>
    <w:p>
      <w:pPr>
        <w:ind w:right="280"/>
        <w:spacing w:after="0" w:line="238" w:lineRule="auto"/>
        <w:rPr>
          <w:sz w:val="20"/>
          <w:szCs w:val="20"/>
          <w:color w:val="auto"/>
        </w:rPr>
      </w:pPr>
      <w:r>
        <w:rPr>
          <w:rFonts w:ascii="Arial" w:cs="Arial" w:eastAsia="Arial" w:hAnsi="Arial"/>
          <w:sz w:val="18"/>
          <w:szCs w:val="18"/>
          <w:color w:val="auto"/>
        </w:rPr>
        <w:t>We believe we have the capacity to meet our projected needs for at least the next 12 months, although we may grow at a rate that is faster than we expect. Beyond this time frame, we may need to further expand our laboratory space. Any future expansion could disrupt laboratory operations, resulting in an inability to meet customer turnaround time expectations, and could be delayed, resulting in slower realization of laboratory efficiencies anticipated from the use of the expanded facilities. Adverse consequences resulting from a delay in the laboratory expansion could harm our relationships with our customers and our reputation, and could affect our ability to generate revenue.</w:t>
      </w:r>
    </w:p>
    <w:p>
      <w:pPr>
        <w:spacing w:after="0" w:line="14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carry insurance for damage to our property and the disruption of our business, but this insurance may not cover all of the risks associated with damage or disruption to our business, provide coverage in amounts sufficient to cover our potential losses or continue to be available to us on acceptable terms, if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 party manufacturers to produce our testing products. Our ability to obtain clinical supplies of our testing products could be disrupted if the operations of these suppliers were affected by a man-made or natural disaster or other business interruption. In addition, our corporate headquarters is located in Vista,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Our testing process involves the use of sophisticated state-of-the-art equipment that requires precise calibration, and issues affecting such equipment may delay delivery or impact the quality of the test results to rheumatologists or otherwise adversely affect our operations.</w:t>
      </w:r>
    </w:p>
    <w:p>
      <w:pPr>
        <w:spacing w:after="0" w:line="1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part of our process of determining CB-CAPs, which is part of our AVISE® Lupus product, we utilize a number of flow cytometers that require calibration and performance validation according to the requirements of the College of American Pathologists, or CAP, at specified time intervals. While we believe we have implemented appropriate controls and metrics in our laboratory to meet such requirements, we cannot provide any assurance that our instruments will not fall out of specification, in which case we would be required to re-calibrate them. Failure to timely re-calibrate our instruments could negatively impact the test results, which could result in liability and harm our reputation. Patient specimens degrade and become unusable generally within 48 hours of collection. Therefore, if we do not have other sufficient properly functioning flow cytometers due to failure to meet specifications or they otherwise become inoperable, our ability to process patient specimens in the required timeframe would be compromised and our business could be harmed.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18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Failure in our information technology, telephone or other systems could significantly disrupt our operations and adversely affect our business and financial condition.</w:t>
      </w:r>
    </w:p>
    <w:p>
      <w:pPr>
        <w:spacing w:after="0" w:line="12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4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specimens must be received, tracked and processed on a timely basis;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test results must be reported on a timely basis;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49" w:name="page50"/>
    <w:bookmarkEnd w:id="49"/>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billings and collections for all customers must be managed efficiently and accurately;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third party ancillary billing services require proper tracking and reporting;</w:t>
      </w:r>
    </w:p>
    <w:p>
      <w:pPr>
        <w:spacing w:after="0" w:line="49" w:lineRule="exact"/>
        <w:rPr>
          <w:rFonts w:ascii="Arial" w:cs="Arial" w:eastAsia="Arial" w:hAnsi="Arial"/>
          <w:sz w:val="18"/>
          <w:szCs w:val="18"/>
          <w:color w:val="auto"/>
        </w:rPr>
      </w:pPr>
    </w:p>
    <w:p>
      <w:pPr>
        <w:ind w:left="660" w:right="360" w:hanging="328"/>
        <w:spacing w:after="0" w:line="24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and other information related to our services is needed by our salesforce and other personnel in a timely manner to conduct business;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patient-identifiable health information must be securely held and kept confidential;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compliance requires proper tracking and reporting;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proper recordkeeping is required for operating our business, managing employee compensation and other personnel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business, results of operations and financial condition may be adversely affected if, among other things:</w:t>
      </w:r>
    </w:p>
    <w:p>
      <w:pPr>
        <w:spacing w:after="0" w:line="5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fail or are interrupted for any extended length of time;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services relating to our information technology, telephone or other systems are not kept current;</w:t>
      </w:r>
    </w:p>
    <w:p>
      <w:pPr>
        <w:spacing w:after="0" w:line="49" w:lineRule="exact"/>
        <w:rPr>
          <w:rFonts w:ascii="Arial" w:cs="Arial" w:eastAsia="Arial" w:hAnsi="Arial"/>
          <w:sz w:val="18"/>
          <w:szCs w:val="18"/>
          <w:color w:val="auto"/>
        </w:rPr>
      </w:pPr>
    </w:p>
    <w:p>
      <w:pPr>
        <w:ind w:left="660" w:right="120" w:hanging="328"/>
        <w:spacing w:after="0" w:line="24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information technology, telephone or other systems do not have the capacity to support expanded operations and increased levels of business;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data is lost or unable to be restored or processed; or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data is corrupted due to a breach of security.</w:t>
      </w:r>
    </w:p>
    <w:p>
      <w:pPr>
        <w:spacing w:after="0" w:line="15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our third-party service providers or our partners could compromise sensitive information related to our business or prevent us from accessing critical information and expose us to liability, which could adversely affect our business and our reputation.</w:t>
      </w:r>
    </w:p>
    <w:p>
      <w:pPr>
        <w:spacing w:after="0" w:line="13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In the ordinary course of our business, we and our partners, and our respective third-party service providers collect and store sensitive data, such as legally protected health information, including de-identified test reports, personally identifiable information about our patients, credit card information,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 In addition, we have limited control over the storage of sensitive data by our third-party therapeutics partners as well as risks related to the transfer and sale of de-identified data files to such partners.</w:t>
      </w:r>
    </w:p>
    <w:p>
      <w:pPr>
        <w:spacing w:after="0" w:line="14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and that of our third-party billing and collections provider, may be vulnerable to attacks by hackers or viruses or otherwise breached due to employee error, malfeasance or other activities. While we have not experienced any such attack or breach, if such an event were to occur,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or HIPAA, as amended by the Health Information Technology for Economic and Clinical Health Act, or the HITECH Act, and their implementing regulations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products and other patient and rheumatologist education and outreach efforts through our website and manage the administrative aspects of our business and could damage our reputation, any of which could adversely affect our business.</w:t>
      </w: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0" w:name="page51"/>
    <w:bookmarkEnd w:id="50"/>
    <w:p>
      <w:pPr>
        <w:ind w:right="20"/>
        <w:spacing w:after="0" w:line="246" w:lineRule="auto"/>
        <w:rPr>
          <w:sz w:val="20"/>
          <w:szCs w:val="20"/>
          <w:color w:val="auto"/>
        </w:rPr>
      </w:pPr>
      <w:r>
        <w:rPr>
          <w:rFonts w:ascii="Arial" w:cs="Arial" w:eastAsia="Arial" w:hAnsi="Arial"/>
          <w:sz w:val="18"/>
          <w:szCs w:val="18"/>
          <w:color w:val="auto"/>
        </w:rPr>
        <w:t>various laws could cause us to incur substantial costs or require us to change our business practices, systems and compliance procedures in a manner adverse to our business.</w:t>
      </w:r>
    </w:p>
    <w:p>
      <w:pPr>
        <w:spacing w:after="0" w:line="17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Expedited, reliable shipping is essential to our operations. While we have recently begun working with United Parcel Service, we still rely extensively on a single carrier, Federal Express Corporation for reliable and secure point-to-point transport of patient specimens to our laboratory and enhanced tracking of these patient specimens. Should Federal Express,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could adversely affect our ability to receive and process patient specimens on a timely basis.</w:t>
      </w:r>
    </w:p>
    <w:p>
      <w:pPr>
        <w:spacing w:after="0" w:line="14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If we or Federal Express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If any new provider does not provide, or if Federal Express does not continue to provide, the required quality and reliability of transport services at the same or similar costs, it could adversely affect our business, reputation, results of operations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Under Sections 382 and 383 of the Internal Revenue Code of 1986, as amended, or the Code, if a corporation undergoes an “ownership change” (generally defined as a greater than 50 percentage-point change (by value) in its equity ownership by “5-percent shareholders,” as defined in the Code, over a three-year period), the corporation’s ability to use its pre-change net operating loss, or NOL, carryforwards and other pre-change tax attributes to offset its post-change federal taxable income and taxes, as applicable, may be limited. Under recently enacted U.S. tax legislation, federal NOL carryforwards generated in periods after December 31, 2017, may be carried forward indefinitely but may only be used to offset 80% of our taxable income annually. Our ability to use a portion of our NOL carryforwards is subject to limitation under Section 382 of the Code as a result of a prior ownership change. If we undergo an ownership change as a result of subsequent shifts in our stock ownership, our ability to utilize our NOL carryforwards and other pre-change tax attributes could be further limited by Sections 382 and 383 of the Code. Similar provisions of state tax law may also apply. As a result, if we earn net taxable income, our ability to use such pre-change NOL carryforwards and other pre-change tax attributes to offset taxable income and taxes, as applicable, may be limited.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180" w:lineRule="exact"/>
        <w:rPr>
          <w:sz w:val="20"/>
          <w:szCs w:val="20"/>
          <w:color w:val="auto"/>
        </w:rPr>
      </w:pPr>
    </w:p>
    <w:p>
      <w:pPr>
        <w:jc w:val="both"/>
        <w:ind w:right="80"/>
        <w:spacing w:after="0" w:line="248" w:lineRule="auto"/>
        <w:rPr>
          <w:sz w:val="20"/>
          <w:szCs w:val="20"/>
          <w:color w:val="auto"/>
        </w:rPr>
      </w:pPr>
      <w:r>
        <w:rPr>
          <w:rFonts w:ascii="Arial" w:cs="Arial" w:eastAsia="Arial" w:hAnsi="Arial"/>
          <w:sz w:val="17"/>
          <w:szCs w:val="17"/>
          <w:color w:val="auto"/>
        </w:rPr>
        <w:t>Recently enacted U.S. tax legislation, known as the Tax Cuts and Jobs Act of 2017, has significantly changed the U.S. federal income taxation of U.S. corporations, including by reducing the U.S. corporate income tax rate and revising the rules governing NOLs.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implementing regulations by the U.S.</w:t>
      </w:r>
    </w:p>
    <w:p>
      <w:pPr>
        <w:spacing w:after="0" w:line="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Treasury and U.S. Internal Revenue Service,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 Based on our current evaluation of this legislation, the reduction of the U.S. corporate income tax rate required a provisional write-down of our deferred income tax assets (including the value of our NOL carryforwards and our tax credit carryforwards).</w:t>
      </w:r>
    </w:p>
    <w:p>
      <w:pPr>
        <w:spacing w:after="0" w:line="14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There may be other material adverse effects resulting from the legislation that we have not yet identified. While some of the changes made by the tax legislation may adversely affect us in one or more reporting periods and prospectively, other changes may be beneficial on a going forward basis. We continue to work with our tax advisors to determine the full impact that the recent tax legislation as a whole will have on us. We urge our investors to</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71"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consult with their legal and tax advisors with respect to such legislation and the potential tax consequences of investing in our common stock.</w:t>
      </w:r>
    </w:p>
    <w:p>
      <w:pPr>
        <w:spacing w:after="0" w:line="1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13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September 2017, we entered into a loan and security agreement, or the loan agreement, with Innovatus Life Sciences Lending Fund I, LP, or Innovatus. The loan agreement is collateralized by substantially all of our personal property, including our intellectual property. The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and achieve certain minimum amounts of annual revenue,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On December 7, 2018, we borrowed an additional $5.0 million under the loan agreement, as a result of meeting the requisite trailing twelve-month revenue and gross margin milestones. As of September 30, 2019, there was $25.0 million in principal outstanding under the term loan and an additional $1.2 million outstanding representing interest at 2.5% per annum payable in-kind by adding the amount to the outstanding principal balance of the term loans. Under the loan agreement, we are required to repay any outstanding principal and capitalized interest in monthly installments over a two-year period commencing on October 1, 2020. We cannot be certain that we will be able to generate sufficient cash flow or revenue to meet the financial covenants or pay the principal and accrued interest on our debt.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upon the occurrence of an event of default, Innovatus, among other things, can declare all indebtedness due and payable</w:t>
      </w:r>
    </w:p>
    <w:p>
      <w:pPr>
        <w:spacing w:after="0" w:line="234" w:lineRule="auto"/>
        <w:rPr>
          <w:sz w:val="20"/>
          <w:szCs w:val="20"/>
          <w:color w:val="auto"/>
        </w:rPr>
      </w:pPr>
      <w:r>
        <w:rPr>
          <w:rFonts w:ascii="Arial" w:cs="Arial" w:eastAsia="Arial" w:hAnsi="Arial"/>
          <w:sz w:val="18"/>
          <w:szCs w:val="18"/>
          <w:color w:val="auto"/>
        </w:rPr>
        <w:t>immediately, which would adversely impact our liquidity and reduce the availability of our cash flows to fund working capital needs, capital</w:t>
      </w:r>
    </w:p>
    <w:p>
      <w:pPr>
        <w:spacing w:after="0" w:line="235" w:lineRule="auto"/>
        <w:rPr>
          <w:sz w:val="20"/>
          <w:szCs w:val="20"/>
          <w:color w:val="auto"/>
        </w:rPr>
      </w:pPr>
      <w:r>
        <w:rPr>
          <w:rFonts w:ascii="Arial" w:cs="Arial" w:eastAsia="Arial" w:hAnsi="Arial"/>
          <w:sz w:val="18"/>
          <w:szCs w:val="18"/>
          <w:color w:val="auto"/>
        </w:rPr>
        <w:t>expenditures and other general corporate purposes. An event of default includes, but is not limited to, our failure to pay any amount due and</w:t>
      </w:r>
    </w:p>
    <w:p>
      <w:pPr>
        <w:spacing w:after="0" w:line="235" w:lineRule="auto"/>
        <w:rPr>
          <w:sz w:val="20"/>
          <w:szCs w:val="20"/>
          <w:color w:val="auto"/>
        </w:rPr>
      </w:pPr>
      <w:r>
        <w:rPr>
          <w:rFonts w:ascii="Arial" w:cs="Arial" w:eastAsia="Arial" w:hAnsi="Arial"/>
          <w:sz w:val="18"/>
          <w:szCs w:val="18"/>
          <w:color w:val="auto"/>
        </w:rPr>
        <w:t>payable under the loan agreement, the occurrence of a material adverse change in our business as defined in the loan agreement, our breach</w:t>
      </w:r>
    </w:p>
    <w:p>
      <w:pPr>
        <w:spacing w:after="0" w:line="235" w:lineRule="auto"/>
        <w:rPr>
          <w:sz w:val="20"/>
          <w:szCs w:val="20"/>
          <w:color w:val="auto"/>
        </w:rPr>
      </w:pPr>
      <w:r>
        <w:rPr>
          <w:rFonts w:ascii="Arial" w:cs="Arial" w:eastAsia="Arial" w:hAnsi="Arial"/>
          <w:sz w:val="18"/>
          <w:szCs w:val="18"/>
          <w:color w:val="auto"/>
        </w:rPr>
        <w:t>of any representation or warranty in the loan agreement, our breach of any covenant in the loan agreement (subject to a cure period in some</w:t>
      </w:r>
    </w:p>
    <w:p>
      <w:pPr>
        <w:spacing w:after="0" w:line="235" w:lineRule="auto"/>
        <w:rPr>
          <w:sz w:val="20"/>
          <w:szCs w:val="20"/>
          <w:color w:val="auto"/>
        </w:rPr>
      </w:pPr>
      <w:r>
        <w:rPr>
          <w:rFonts w:ascii="Arial" w:cs="Arial" w:eastAsia="Arial" w:hAnsi="Arial"/>
          <w:sz w:val="18"/>
          <w:szCs w:val="18"/>
          <w:color w:val="auto"/>
        </w:rPr>
        <w:t>cases), a change in control as defined in the loan agreement, our default on any debt payments to a third party in an amount exceeding</w:t>
      </w:r>
    </w:p>
    <w:p>
      <w:pPr>
        <w:spacing w:after="0" w:line="235" w:lineRule="auto"/>
        <w:rPr>
          <w:sz w:val="20"/>
          <w:szCs w:val="20"/>
          <w:color w:val="auto"/>
        </w:rPr>
      </w:pPr>
      <w:r>
        <w:rPr>
          <w:rFonts w:ascii="Arial" w:cs="Arial" w:eastAsia="Arial" w:hAnsi="Arial"/>
          <w:sz w:val="18"/>
          <w:szCs w:val="18"/>
          <w:color w:val="auto"/>
        </w:rPr>
        <w:t>$500,000 or any voluntary or involuntary insolvency proceeding. If an event of default occurs and we are unable to repay amounts due under</w:t>
      </w:r>
    </w:p>
    <w:p>
      <w:pPr>
        <w:spacing w:after="0" w:line="235" w:lineRule="auto"/>
        <w:rPr>
          <w:sz w:val="20"/>
          <w:szCs w:val="20"/>
          <w:color w:val="auto"/>
        </w:rPr>
      </w:pPr>
      <w:r>
        <w:rPr>
          <w:rFonts w:ascii="Arial" w:cs="Arial" w:eastAsia="Arial" w:hAnsi="Arial"/>
          <w:sz w:val="18"/>
          <w:szCs w:val="18"/>
          <w:color w:val="auto"/>
        </w:rPr>
        <w:t>the loan agreement, Innovatus could foreclose on substantially all of our personal property, including our intellectual property. We cannot be</w:t>
      </w:r>
    </w:p>
    <w:p>
      <w:pPr>
        <w:spacing w:after="0" w:line="235" w:lineRule="auto"/>
        <w:rPr>
          <w:sz w:val="20"/>
          <w:szCs w:val="20"/>
          <w:color w:val="auto"/>
        </w:rPr>
      </w:pPr>
      <w:r>
        <w:rPr>
          <w:rFonts w:ascii="Arial" w:cs="Arial" w:eastAsia="Arial" w:hAnsi="Arial"/>
          <w:sz w:val="18"/>
          <w:szCs w:val="18"/>
          <w:color w:val="auto"/>
        </w:rPr>
        <w:t>certain that future working capital, borrowings or equity financings will be available to repay or refinance our debt to Innovatus or any other debt</w:t>
      </w:r>
    </w:p>
    <w:p>
      <w:pPr>
        <w:spacing w:after="0"/>
        <w:rPr>
          <w:sz w:val="20"/>
          <w:szCs w:val="20"/>
          <w:color w:val="auto"/>
        </w:rPr>
      </w:pPr>
      <w:r>
        <w:rPr>
          <w:rFonts w:ascii="Arial" w:cs="Arial" w:eastAsia="Arial" w:hAnsi="Arial"/>
          <w:sz w:val="18"/>
          <w:szCs w:val="18"/>
          <w:color w:val="auto"/>
        </w:rPr>
        <w:t>we may incur in the future.</w:t>
      </w:r>
    </w:p>
    <w:p>
      <w:pPr>
        <w:spacing w:after="0" w:line="190"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b w:val="1"/>
          <w:bCs w:val="1"/>
          <w:i w:val="1"/>
          <w:iCs w:val="1"/>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13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expand our infrastructure, commercial operations and research and development activities. We believe, based on our current plan, that our current cash and cash equivalents and anticipated future revenue, will be sufficient to meet our anticipated cash requirements for at least the next 12 months.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sources, such as strategic collaborations. If our available cash balances and anticipated future revenue are insufficient to satisfy our liquidity requirements, including because of lower demand for our testing products or promoted therapeutics or lower-than-expected rates of reimbursement from commercial third-party payers and government payers, or other risks described in this “Risk Factors” section, we may seek to raise additional capital through equity offerings, debt financings, collaborations or licensing arrangements. In the case of the incurrence of further indebtedness, the loan agreement, subject to certain customary exceptions, restricts our ability to incur additional indebtedness or encumber any of our property without the prior consent of Innovatus. Under the loan agreement, we are required to make monthly interest payments at a rate equal to 11.0% (provided that 2.5% of the 11.0% is payable in-kind by adding the amount to the outstanding principal balance of the term loans). We may also consider raising additional capital in the future to expand our business, pursue strategic investments, take advantage of financing opportunities, or for other reasons. In addition, we may seek additional capital due to</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70" w:right="259" w:bottom="1440" w:gutter="0" w:footer="0" w:header="0"/>
        </w:sectPr>
      </w:pPr>
    </w:p>
    <w:bookmarkStart w:id="52" w:name="page53"/>
    <w:bookmarkEnd w:id="52"/>
    <w:p>
      <w:pPr>
        <w:ind w:right="20"/>
        <w:spacing w:after="0" w:line="237" w:lineRule="auto"/>
        <w:rPr>
          <w:sz w:val="20"/>
          <w:szCs w:val="20"/>
          <w:color w:val="auto"/>
        </w:rPr>
      </w:pPr>
      <w:r>
        <w:rPr>
          <w:rFonts w:ascii="Arial" w:cs="Arial" w:eastAsia="Arial" w:hAnsi="Arial"/>
          <w:sz w:val="18"/>
          <w:szCs w:val="18"/>
          <w:color w:val="auto"/>
        </w:rPr>
        <w:t>favorable market conditions or strategic considerations, even if we believe we have sufficient funds for our current or future operating plans. The timing and amounts of our future capital requirements are difficult to forecast and will depend on numerous factors, including: our ability to maintain and grow sales of our testing products, as well as the costs associated with conducting clinical studies to demonstrate the utility of our testing products and support reimbursement efforts; our ability to successfully promote therapeutics; fluctuations in working capital; the costs to expand our sales and marketing capabilities; the costs of developing our product pipeline, including the costs associated with conducting our ongoing and future validation studies; the additional costs we may incur as a result of operating as a public company and the extent to which we in-license, acquire or invest in complementary businesses or products.</w:t>
      </w:r>
    </w:p>
    <w:p>
      <w:pPr>
        <w:spacing w:after="0" w:line="14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Additional funding may not be available to us on acceptable terms, or at all. If we raise funds by issuing equity securities, dilution to our stockholders could result, and the market price of our common 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our current loan agreement restricts our ability to incur additional indebtedness or encumber any of our property without the prior consent of Innovatus, subject to certain exceptions.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testing products, promoted therapeutics or market development programs, which could lower the economic value of those programs to our company.</w:t>
      </w:r>
    </w:p>
    <w:p>
      <w:pPr>
        <w:spacing w:after="0" w:line="18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i w:val="1"/>
          <w:iCs w:val="1"/>
          <w:color w:val="auto"/>
        </w:rPr>
        <w:t>The FDA may modify its enforcement discretion policy with respect to LDTs in a risk-based manner, and 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1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the FDA ends its policy of enforcement discretion with respect to LDTs, and our testing products become subject to the FDA’s requirements for premarket review of medical devices, we may be required to cease commercial sales of our testing products and conduct additional clinical testing prior to making submissions to the FDA to obtain premarket clearance or approval. If we are required to conduct such clinical trials, delays in the commencement or completion of clinical testing could significantly increase our test development costs and delay commercialization of any currently-marketed tests that we may be required to cease selling or the commercialization of any future tests that we may develop.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5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w:t>
      </w:r>
    </w:p>
    <w:p>
      <w:pPr>
        <w:spacing w:after="0" w:line="14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and our third-party contractors are required to comply with good clinical practices, or GCPs, which are regulations and guidelines enforced by the FDA, the Competent Authorities of the Member States of the European Economic Area, or EEA, and comparable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Competent Authorities of the Member States of the EEA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71" w:right="259" w:bottom="1440" w:gutter="0" w:footer="0" w:header="0"/>
        </w:sectPr>
      </w:pPr>
    </w:p>
    <w:bookmarkStart w:id="53" w:name="page54"/>
    <w:bookmarkEnd w:id="53"/>
    <w:p>
      <w:pPr>
        <w:spacing w:after="0" w:line="237" w:lineRule="auto"/>
        <w:rPr>
          <w:sz w:val="20"/>
          <w:szCs w:val="20"/>
          <w:color w:val="auto"/>
        </w:rPr>
      </w:pPr>
      <w:r>
        <w:rPr>
          <w:rFonts w:ascii="Arial" w:cs="Arial" w:eastAsia="Arial" w:hAnsi="Arial"/>
          <w:sz w:val="18"/>
          <w:szCs w:val="18"/>
          <w:color w:val="auto"/>
        </w:rPr>
        <w:t>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testing products. In addition, we may not be able to establish or maintain relationships with these parties on favorable terms, if at all. Each of these outcomes would harm our ability to market our testing products, or to achieve sustained profitability.</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FDA requires medical device manufacturers to comply with, among other things, current good manufacturing practices for medical devices, known as the Quality System Regulation, which requires manufacturers to follow elaborate design, testing, control, documentation and other quality assurance procedures during the manufacturing process;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and the reports of corrections and removals regulation, which requires manufacturers to report to the FDA if a device correction or removal was initiated to reduce a risk to health posed by the device or to remedy a violation of the FDCA caused by the device which may present a risk to health.</w:t>
      </w:r>
    </w:p>
    <w:p>
      <w:pPr>
        <w:spacing w:after="0" w:line="15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Even if we were able to obtain FDA clearance or approval for one or more of our testing products, if required, a testing product may be subject to limitations on the indications for which it may be marketed or to other regulatory conditions. In addition, such clearance or approval may contain requirements for costly post-market testing and surveillance to monitor the safety or efficacy of the product.</w:t>
      </w:r>
    </w:p>
    <w:p>
      <w:pPr>
        <w:spacing w:after="0" w:line="14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FDA has broad post-market enforcement powers, and if unanticipated problems with our testing products arise, or if we or our suppliers fail to comply with regulatory requirements following FDA clearance or approval, we may become subject to enforcement actions such as:</w:t>
      </w:r>
    </w:p>
    <w:p>
      <w:pPr>
        <w:spacing w:after="0" w:line="3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publicity, warning letters, untitled letters, fines, injunctions, consent decrees and civil penalties;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repair, replacement, refunds, recalls, termination of distribution, administrative detention or seizures of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49" w:lineRule="exact"/>
        <w:rPr>
          <w:rFonts w:ascii="Arial" w:cs="Arial" w:eastAsia="Arial" w:hAnsi="Arial"/>
          <w:sz w:val="18"/>
          <w:szCs w:val="18"/>
          <w:color w:val="auto"/>
        </w:rPr>
      </w:pPr>
    </w:p>
    <w:p>
      <w:pPr>
        <w:ind w:left="660" w:right="380" w:hanging="328"/>
        <w:spacing w:after="0" w:line="24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refusing our requests for 510(k) clearance or PMA approvals or foreign regulatory approvals of new testing products, new intended uses or modifications to existing testing products;</w:t>
      </w:r>
    </w:p>
    <w:p>
      <w:pPr>
        <w:spacing w:after="0" w:line="34" w:lineRule="exact"/>
        <w:rPr>
          <w:rFonts w:ascii="Arial" w:cs="Arial" w:eastAsia="Arial" w:hAnsi="Arial"/>
          <w:sz w:val="18"/>
          <w:szCs w:val="18"/>
          <w:color w:val="auto"/>
        </w:rPr>
      </w:pPr>
    </w:p>
    <w:p>
      <w:pPr>
        <w:ind w:left="660" w:right="560" w:hanging="328"/>
        <w:spacing w:after="0" w:line="24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withdrawals of current 510(k) clearances or PMAs or foreign regulatory approvals, resulting in prohibitions on sales of our testing products;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testing products for sale in other countries;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5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Any of these sanctions could also result in higher than anticipated costs or lower than anticipated sales and have a material adverse effect on our reputation, business, results of operations and financial condition.</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the FDA’s and other regulatory authorities’ policies may change and additional government regulations may be enacted that could prevent, limit or delay regulatory approvals. If we are slow or unable to adapt to changes in existing requirements or the adoption of new requirements or policies, or if we are not able to maintain regulatory compliance, we may lose any marketing authorization that we may have obtained and we may not achieve or sustain profitability, which would adversely affect our business, prospects,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policy and payment changes may have a material adverse effect on our financial condition and results of operations.</w:t>
      </w:r>
    </w:p>
    <w:p>
      <w:pPr>
        <w:spacing w:after="0" w:line="18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Reimbursement to healthcare providers, such as specialized diagnostic service providers like us, is subject to continuing change in policies by third-party payers including governmental payers, such as Medicare and Medicaid, private insurers and other private payers, such as hospitals and private medical groups. Statutory and regulatory changes, retroactive rate adjustments and administrative rulings, and other policy changes may be implemented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54" w:name="page55"/>
    <w:bookmarkEnd w:id="54"/>
    <w:p>
      <w:pPr>
        <w:ind w:right="440"/>
        <w:spacing w:after="0" w:line="246" w:lineRule="auto"/>
        <w:rPr>
          <w:sz w:val="20"/>
          <w:szCs w:val="20"/>
          <w:color w:val="auto"/>
        </w:rPr>
      </w:pPr>
      <w:r>
        <w:rPr>
          <w:rFonts w:ascii="Arial" w:cs="Arial" w:eastAsia="Arial" w:hAnsi="Arial"/>
          <w:sz w:val="18"/>
          <w:szCs w:val="18"/>
          <w:color w:val="auto"/>
        </w:rPr>
        <w:t>with little or no prior notice, all of which could materially decrease the range of services for which we are reimbursed or the reimbursement rates paid for our testing products.</w:t>
      </w:r>
    </w:p>
    <w:p>
      <w:pPr>
        <w:spacing w:after="0" w:line="14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April 1, 2014, the Protecting Access to Medicare Act of 2014, or PAMA, was signed into law, which, among other things, implemented a new payment system for clinical laboratory tests reimbursed under the CLFS. Under the law, clinical laboratories must report laboratory test payment data for each Medicare-covered clinical diagnostic lab test that it furnishes. The reported data must include the payment rate and the volume of each test that was paid by each private third-party payer. Laboratories that fail to report the required payment information may be subject to substantial civil monetary penalties. We bill Medicare for our testing products, and therefore we are subject to reporting requirements under PAMA.</w:t>
      </w:r>
    </w:p>
    <w:p>
      <w:pPr>
        <w:spacing w:after="0" w:line="15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final PAMA ruling was issued June 17, 2016. Data for reporting for the new PAMA process began in 2017, and in 2018, the Medicare payment rate for each clinical diagnostic lab test, with some exceptions, equaled the weighted median of the reported private third-party payer payment for the test, as calculated using data collected by applicable laboratories during the data collection period and reported to the Centers for Medicare and Medicaid Services, or CMS, during a specified data reporting period. These revisions to the CLFS have altered payment rates for clinical diagnostic lab tests under the CLFS, with estimated reductions in Medicare reimbursement rates for AVISE® CTD of 10.1% and 3.2% in 2019 and 2018, respectively. We cannot be sure how revisions to the CLFS will affect reimbursement rates in the future.</w:t>
      </w:r>
    </w:p>
    <w:p>
      <w:pPr>
        <w:spacing w:after="0" w:line="15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Other laws make changes impacting clinical laboratories, many of which have already gone into effect. The ACA, enacted in March 2010, requires each medical device manufacturer to pay an excise tax in an amount equal to 2.3% of the price for which such manufacturer sells its medical devices that are listed with the FDA. This excise tax has been temporarily suspended until December 31, 2019, unless additional congressional action is taken.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While the Texas District Court Judge, as well as the current presidential administration and CMS, have stated that this ruling will have no immediate effect, it is unclear how this decision, subsequent appeals, and other efforts to repeal and replace the ACA will impact the ACA and our business.</w:t>
      </w:r>
    </w:p>
    <w:p>
      <w:pPr>
        <w:spacing w:after="0" w:line="15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There have been judicial and Congressional challenges to certain aspects of the ACA, as well as efforts by the current presidential administration to repeal and replace the ACA, and we expect that there will be additional challenges and amendments to the ACA in the future. We are monitoring the impact of the ACA in order to enable us to determine the trends and changes that may be necessitated by the legislation and that, in turn, may potentially impact our business over time.</w:t>
      </w:r>
    </w:p>
    <w:p>
      <w:pPr>
        <w:spacing w:after="0" w:line="15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Additionally, the Budget Control Act of 2011, among other things, resulted in aggregate reductions to Medicare payments to providers of 2% per fiscal year, beginning April 1, 2013, and due to additional legislative amendments to the statute, these reductions will remain in effect through 2027 unless additional congressional action is taken. On January 2, 2013, the American Taxpayer Relief Act of 2012 was signed into law, which, among other things, increased the statute of limitations period for the government to recover overpayments to providers from three to five years.</w:t>
      </w:r>
    </w:p>
    <w:p>
      <w:pPr>
        <w:spacing w:after="0" w:line="14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Some of our flow cytometry tests are reimbursed by the Medicare program under the MPFS. On April 16, 2015, President Obama signed the Medicare Access and CHIP Reauthorization Act of 2015, or MACRA, which, among other actions, repealed the previous statutory formula by which CMS established annual updates to MPFS rates.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testing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Medicare payments are significant to our business, not only because approximately 26% and 29% of the total payments we received from payers in the nine months ended September 30, 2019 and 2018, respectively, were derived from the Medicare program, but also because other payers often use the MPFS and CLFS amounts as a</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55" w:name="page56"/>
    <w:bookmarkEnd w:id="55"/>
    <w:p>
      <w:pPr>
        <w:ind w:right="280"/>
        <w:spacing w:after="0" w:line="246" w:lineRule="auto"/>
        <w:rPr>
          <w:sz w:val="20"/>
          <w:szCs w:val="20"/>
          <w:color w:val="auto"/>
        </w:rPr>
      </w:pPr>
      <w:r>
        <w:rPr>
          <w:rFonts w:ascii="Arial" w:cs="Arial" w:eastAsia="Arial" w:hAnsi="Arial"/>
          <w:sz w:val="18"/>
          <w:szCs w:val="18"/>
          <w:color w:val="auto"/>
        </w:rPr>
        <w:t>benchmark to develop their payment rates. We cannot predict whether Medicare and other third-party payer reimbursement rates that mirror Medicare’s will be sufficient to make our testing products commercially attractive.</w:t>
      </w:r>
    </w:p>
    <w:p>
      <w:pPr>
        <w:spacing w:after="0" w:line="14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addition, some third-party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ours, of active laboratory benefit management by third parties is unclear, and we expect that it could have a negative impact on our revenue in the short term. It is possible that third-party payers will resist reimbursement for testing products that we offer in favor of less expensive tests, may require pre-approval for our testing products or may impose additional pricing pressure on and substantial administrative burden for reimbursement for our testing products.</w:t>
      </w:r>
    </w:p>
    <w:p>
      <w:pPr>
        <w:spacing w:after="0" w:line="14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Product pricing by companies is currently, and is expected to continue to be, under close scrutiny. Such scrutiny has resulted in several recent congressional inquiries and proposed and enacted federal and state legislation designed to, among other things, bring more transparency to product pricing, review the relationship between pricing and patient programs, and reform government program reimbursement methodologies for products. At the state level, legislatures have increasingly passed legislation and implemented regulations designed to control product pricing, including price or patient reimbursement constraints, discounts, restrictions on certain product access and marketing cost disclosure and transparency measures.</w:t>
      </w:r>
    </w:p>
    <w:p>
      <w:pPr>
        <w:spacing w:after="0" w:line="15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also cannot predict whether future healthcare initiatives will be implemented at the federal or state level or in countries outside of the United States in which we may do business in the future, or the effect any future legislation or regulation will have on us. Although we cannot predict the full effect of the recent legislative changes discussed above, including taxes imposed by the ACA, cost reduction measures, the expansion in government’s role in the U.S. healthcare industry and PAMA’s changes to the reimbursement methodology under the CLFS, such changes individually or in the aggregate may result in decreased profits to us and/or lower reimbursement by third-party payers for our testing products, which may adversely affect our business, financial condition and results of operations.</w:t>
      </w:r>
    </w:p>
    <w:p>
      <w:pPr>
        <w:spacing w:after="0" w:line="183"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Complying with numerous regulations pertaining to our business is an expensive and time-consuming process, and any failure to comply could result in substantial penalties.</w:t>
      </w:r>
    </w:p>
    <w:p>
      <w:pPr>
        <w:spacing w:after="0" w:line="122"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to perform testing through our accreditation by CAP. To renew this certificate, we are subject to survey and inspection every two years. Moreover, CLIA inspectors may make random inspections of our clinical reference laboratory.</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15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151"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We are also required to maintain a license to conduct testing in California. California laws establish standards for day-to-day operation of our clinical reference laboratory, including the training and skills required of personnel and quality control. In addition, our clinical reference laboratory is licensed on a product-specific basis by New York as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56" w:name="page57"/>
    <w:bookmarkEnd w:id="56"/>
    <w:p>
      <w:pPr>
        <w:ind w:right="120"/>
        <w:spacing w:after="0" w:line="236" w:lineRule="auto"/>
        <w:rPr>
          <w:sz w:val="20"/>
          <w:szCs w:val="20"/>
          <w:color w:val="auto"/>
        </w:rPr>
      </w:pPr>
      <w:r>
        <w:rPr>
          <w:rFonts w:ascii="Arial" w:cs="Arial" w:eastAsia="Arial" w:hAnsi="Arial"/>
          <w:sz w:val="18"/>
          <w:szCs w:val="18"/>
          <w:color w:val="auto"/>
        </w:rPr>
        <w:t>an out of state laboratory and our testing products, as LDTs, must be approved by the New York Department of Health, or NYDOH, on a product-by-product basis before they are offered in New York. We are also be subject to periodic inspection by the NYDOH and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testing products. New York law also mandates proficiency testing for laboratories licensed under New York state law, regardless of whether or not such laboratories are located in New York. Moreover, several other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5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If we were to lose our CLIA accreditation or California license, whether as a result of a revocation, suspension or limitation, we would no longer be able to sell our testing products, which would limit our revenue and harm our business. If we were to lose our license or fail to obtain or maintain NYDOH approval for our laboratory developed tests in New York or if we were to lose our license in other states where we are required to hold licenses, we would not be able to test specimens from those states which would limit our revenue.</w:t>
      </w:r>
    </w:p>
    <w:p>
      <w:pPr>
        <w:spacing w:after="0" w:line="180"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If we fail to comply with healthcare laws and regulations, we could face substantial penalties and our business, operations and financial condition could be adversely affected.</w:t>
      </w:r>
    </w:p>
    <w:p>
      <w:pPr>
        <w:spacing w:after="0" w:line="12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and our partners, including those with whom we may enter into co-promotion or co-marketing arrangements, are also subject to healthcare fraud and abuse regulation by both the federal government and the states in which we or our partners conduct our business. These laws include, without limitation, state and federal anti-kickback, self-referral, fraud and abuse, false claims, and physician sunshine laws and regulations.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the purchase, lease or order of any good, facility, item or service, including laboratory services, reimbursable, in whole or in part, under Medicare, Medicaid or other federally financed healthcare programs. The term “remuneration” has been broadly interpreted to include anything of value. The Federal Anti-Kickback Statute has been interpreted to apply to arrangements between manufacturers on one hand and prescribers, purchasers and formulary managers on the other. Although there are a number of statutory exceptions and regulatory safe harbors protecting certain common activities from prosecution, the exceptions and safe harbors are drawn narrowly. Our practices may not in all cases meet all of the criteria for safe harbor protection from anti-kickback liability. Failure to meet all of the requirements of a particular applicable statutory exception or regulatory safe harbor, however, does not make the conduct per se illegal under the Federal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Federal Anti-Kickback Statute has been violated. Further,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laws.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June 25, 2014, the Office of Inspector General of the Department of Health and Human Services, or the OIG, released a Special Fraud Alert, expressing concern regarding laboratory payments made to referring physicians and physician group practices for blood specimen collection, processing, and packaging. Specifically, the OIG expressed concern that such arrangements may implicate the Federal Anti-Kickback Statute when laboratories make payments to physicians for services that are already covered and reimbursed by Medicare, or are not commercially reasonable or exceed fair market value, all in order to induce physicians to order tests from such laboratory. Because the choice of laboratory and the decision to order laboratory tests is made or strongly influenced by the physician, with little or no input from patients, such payment may induce physicians to order more laboratory tests than are medically necessary, particularly when the payments are tied to, or take into account, the volume or value of business generated by the physician. We had entered into certain arrangements with physicians for services related to specimen collection, transporting and handling. Effective August 2015, we terminated all such agreements. To date, no regulatory authorities have contacted us regarding these arrangements. To the extent our prior arrangements are found to be inconsistent with applicable laws, we may be subject to significant penalties, including criminal penalties, and exclusion from participation in U.S. federal or state health care programs.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57" w:name="page58"/>
    <w:bookmarkEnd w:id="57"/>
    <w:p>
      <w:pPr>
        <w:ind w:right="20"/>
        <w:spacing w:after="0" w:line="236" w:lineRule="auto"/>
        <w:rPr>
          <w:sz w:val="20"/>
          <w:szCs w:val="20"/>
          <w:color w:val="auto"/>
        </w:rPr>
      </w:pPr>
      <w:r>
        <w:rPr>
          <w:rFonts w:ascii="Arial" w:cs="Arial" w:eastAsia="Arial" w:hAnsi="Arial"/>
          <w:sz w:val="18"/>
          <w:szCs w:val="18"/>
          <w:color w:val="auto"/>
        </w:rPr>
        <w:t>The Federal civil and criminal false claims law, including the False Claims Act, prohibit, among other things, any person from knowingly presenting or causing to be presented a false claim for payment to the federal government, or knowingly making or causing to be made a false statement to get a false or fraudulent claim paid by the federal government. A claim includes “any request or demand” for money or property presented to the U.S. government. In addition, private individuals have the ability to bring actions under these false claims laws in the name of the government alleging false and fraudulent claims presented to or paid by the government (or other violations of the statutes) and to share in any amounts paid by the entity to the government in fines or settlement. Such suits, known as qui tam actions, have increased significantly in the healthcare industry in recent years.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The majority of states also have statutes or regulations similar to the federal anti-kickback and false claims laws, which apply to items and services reimbursed under Medicaid and other state programs, or, in several states, apply regardless of the payer.</w:t>
      </w:r>
    </w:p>
    <w:p>
      <w:pPr>
        <w:spacing w:after="0" w:line="15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also subject to the federal physician self-referral prohibitions, commonly known as the Stark Law, which prohibits, among other things, physicians who have a financial relationship, including an investment, ownership or compensation relationship with an entity, from referring Medicare patients for designated health services, which include clinical laboratory services, unless an exception applies. Similarly, entities may not bill Medicare or any other party for services furnished pursuant to a prohibited referral. Many states have their own self-referral laws as well, which in some cases apply to all third-party payers, not just Medicare and Medicaid.</w:t>
      </w:r>
    </w:p>
    <w:p>
      <w:pPr>
        <w:spacing w:after="0" w:line="14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addition, under the federal civil monetary penalties statute, a person is prohibited from offering or transferring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Moreover, in certain cases, providers who routinely waive copayments and deductibles for Medicare and Medicaid beneficiaries can also be held liable under the Federal Anti-Kickback Statute and civil False Claims Act. One of the statutory exceptions to the prohibition is non-routine,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 To the extent our patient assistance programs are found to be inconsistent with applicable laws, we may be required to restructure or discontinue such programs, or be subject to other significant penalties.</w:t>
      </w:r>
    </w:p>
    <w:p>
      <w:pPr>
        <w:spacing w:after="0" w:line="15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ACA, among other things, also imposed new reporting requirements on manufacturers of certain devices, drugs and biologics for certain payments and transfers of value by them and in some cases their distributors to physicians and teaching hospitals, as well as ownership and investment interests held by physicians and their immediate family members. Manufacturers must submit reports by the 90th day of each calendar year. Because we manufacture our own LDTs solely for use by or within our own laboratory, we believe that we are exempt from these reporting requirements. We cannot assure you, however, that our regulators, principally the federal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14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It is possible that some of our business activities could be subject to challenge under one or more of such laws, including our promotion of SIMPONI®, which is subject to restriction of off-label use discussions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 care programs, such as Medicare and Medicaid in the U.S. and similar programs outside the U.S., a corporate integrity agreement or other agreement to resolve allegations of non-compliance with these laws, and the curtailment or restructuring of our operations, any of which could materially adversely affect our ability</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58" w:name="page59"/>
    <w:bookmarkEnd w:id="58"/>
    <w:p>
      <w:pPr>
        <w:spacing w:after="0" w:line="239" w:lineRule="auto"/>
        <w:rPr>
          <w:sz w:val="20"/>
          <w:szCs w:val="20"/>
          <w:color w:val="auto"/>
        </w:rPr>
      </w:pPr>
      <w:r>
        <w:rPr>
          <w:rFonts w:ascii="Arial" w:cs="Arial" w:eastAsia="Arial" w:hAnsi="Arial"/>
          <w:sz w:val="18"/>
          <w:szCs w:val="18"/>
          <w:color w:val="auto"/>
        </w:rPr>
        <w:t>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8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Failure to comply with HIPAA, the HITECH Act, their implementing regulations, and similar comparable state laws and regulations affecting the transmission, security and privacy of health information could result in significant penalties.</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Numerous federal and state laws and regulations, including HIPAA and the HITECH Act, govern the collection, dissemination, security, use and confidentiality of individually identifiable health information. HIPAA and the HITECH Act require us to comply with standards for the use and disclosure of individually identifiable health information within our company and with third parties. The Standards for Privacy of Individually Identifiable Health Information, or Privacy Standards, and the Security Standards for the Protection of Electronic Protected Health Information, or Security Standards, under HIPAA establish a set of basic national privacy and security standards for the protection of individually identifiable health information by health plans, healthcare clearinghouses and certain healthcare providers, referred to as covered entities, and the business associates with whom such covered entities contract for services. Notably, whereas HIPAA previously directly regulated only these covered entities, the HITECH Act, which was signed into law as part of the stimulus package in February 2009, made certain of the Security Standards directly applicable to business associates. Further, the HITECH Act and the Final HIPAA Omnibus Rule that was promulgated in 2013, made additional parts of HIPAA directly applicable to business associates. As a result, both covered entities and business associates are now subject to significant civil and criminal penalties for failure to comply with the Privacy Standards and/or the Security Standards.</w:t>
      </w:r>
    </w:p>
    <w:p>
      <w:pPr>
        <w:spacing w:after="0" w:line="15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HIPAA and the HITECH Act also include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 care providers, are required to conform to such transaction set standards, known as the Standards for Electronic Transactions, pursuant to HIPAA.</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HIPAA requires covered entities to develop and maintain policies and procedures with respect to individually identifiable health information that is used or disclosed, including the adoption of administrative, physical and technical safeguards to protect such information. The HITECH Act expands the notification requirement for breaches of individually identifiable health information, restricts certain disclosures and sales of individually identifiable health information and provides a tiered system for civil monetary penalties for HIPAA violations. The Final HIPAA Omnibus Rule modifies the breach reporting standard in a manner that will likely make more data security incidents qualify as reportable breaches. The HITECH Act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 fees and costs associated with pursuing federal civil actions. Additionally, certain states have adopted comparable privacy and security laws and regulations, some of which may be more stringent than HIPAA.</w:t>
      </w:r>
    </w:p>
    <w:p>
      <w:pPr>
        <w:spacing w:after="0" w:line="15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we do not comply with the requirements of HIPAA, the HITECH Act or applicable state privacy and security laws, we could be subject to criminal or civil sanctions that could adversely affect our financial condition. The costs of complying with privacy and security related legal and regulatory requirements are burdensome and could have a material adverse effect on our business. These laws are subject to interpretation by various courts and other governmental authorities, thus creating potentially complex compliance issues for us, as well as our physician clients. In addition, we are unable to predict what changes to the HIPAA Privacy Standards and Security Standards might be made in the future or how those changes could affect our business. Any new legislation or regulation in the area of privacy and security of personal information, including individually identifiable health information, could also adversely affect our business operations.</w:t>
      </w:r>
    </w:p>
    <w:p>
      <w:pPr>
        <w:spacing w:after="0" w:line="18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37"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71" w:right="259" w:bottom="1440" w:gutter="0" w:footer="0" w:header="0"/>
        </w:sectPr>
      </w:pPr>
    </w:p>
    <w:bookmarkStart w:id="59" w:name="page60"/>
    <w:bookmarkEnd w:id="59"/>
    <w:p>
      <w:pPr>
        <w:spacing w:after="0" w:line="236" w:lineRule="auto"/>
        <w:rPr>
          <w:sz w:val="20"/>
          <w:szCs w:val="20"/>
          <w:color w:val="auto"/>
        </w:rPr>
      </w:pPr>
      <w:r>
        <w:rPr>
          <w:rFonts w:ascii="Arial" w:cs="Arial" w:eastAsia="Arial" w:hAnsi="Arial"/>
          <w:sz w:val="18"/>
          <w:szCs w:val="18"/>
          <w:color w:val="auto"/>
        </w:rPr>
        <w:t>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testing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5"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future growth may depend, in part, on our ability to develop and commercialize our testing products and promote therapeutics in foreign markets. We are not permitted to market or promote any of our testing products or promote therapeutics before we or our partners receive regulatory approval from applicable regulatory authorities in foreign markets, and we or they may never receive such regulatory approvals for any of our testing products or promoted therapeutics. To obtain separate regulatory approval in many other countries, parties must comply with numerous and varying regulatory requirements regarding safety and efficacy and governing, among other things, clinical trials, commercial sales, pricing and distribution of our testing products. If we or our partners obtain regulatory approval of our testing products and promoted therapeutics, and ultimately commercialize our testing products or promoted therapeutics in foreign markets, we would be subject to additional risks and uncertainties, including:</w:t>
      </w:r>
    </w:p>
    <w:p>
      <w:pPr>
        <w:spacing w:after="0" w:line="4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49" w:lineRule="exact"/>
        <w:rPr>
          <w:rFonts w:ascii="Arial" w:cs="Arial" w:eastAsia="Arial" w:hAnsi="Arial"/>
          <w:sz w:val="18"/>
          <w:szCs w:val="18"/>
          <w:color w:val="auto"/>
        </w:rPr>
      </w:pPr>
    </w:p>
    <w:p>
      <w:pPr>
        <w:ind w:left="660" w:right="140" w:hanging="328"/>
        <w:spacing w:after="0" w:line="24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49" w:lineRule="exact"/>
        <w:rPr>
          <w:rFonts w:ascii="Arial" w:cs="Arial" w:eastAsia="Arial" w:hAnsi="Arial"/>
          <w:sz w:val="18"/>
          <w:szCs w:val="18"/>
          <w:color w:val="auto"/>
        </w:rPr>
      </w:pPr>
    </w:p>
    <w:p>
      <w:pPr>
        <w:ind w:left="660" w:right="540" w:hanging="328"/>
        <w:spacing w:after="0" w:line="24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intellectual property protection our competitive position could be harmed.</w:t>
      </w:r>
    </w:p>
    <w:p>
      <w:pPr>
        <w:spacing w:after="0" w:line="180"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color w:val="auto"/>
        </w:rPr>
        <w:t>Our ability to protect our technologies such as CB-CAPs and methotrexate polyglutamates, or MTXPGs, affects our ability to compete and to achieve sustained profitability. We rely on a combination of U.S. and foreign patents and patent applications, copyrights, trademarks and trademark applications, and contractual restrictions to protect our intellectual property rights. We cannot be certain that the claims in our granted patents and pending patent applications covering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will be considered patentable or enforceable by the United States Patent and Trademark Office, or the USPTO, courts in the United States, or by patent offices and courts in foreign countries. If we fail to protect our intellectual property, third parties may be able to compete more effectively against us and we may incur substantial litigation costs in our attempts to recover or restrict use of our intellectual property.</w:t>
      </w:r>
    </w:p>
    <w:p>
      <w:pPr>
        <w:spacing w:after="0" w:line="153" w:lineRule="exact"/>
        <w:rPr>
          <w:sz w:val="20"/>
          <w:szCs w:val="20"/>
          <w:color w:val="auto"/>
        </w:rPr>
      </w:pPr>
    </w:p>
    <w:p>
      <w:pPr>
        <w:jc w:val="both"/>
        <w:ind w:right="20"/>
        <w:spacing w:after="0" w:line="214" w:lineRule="auto"/>
        <w:rPr>
          <w:sz w:val="20"/>
          <w:szCs w:val="20"/>
          <w:color w:val="auto"/>
        </w:rPr>
      </w:pPr>
      <w:r>
        <w:rPr>
          <w:rFonts w:ascii="Arial" w:cs="Arial" w:eastAsia="Arial" w:hAnsi="Arial"/>
          <w:sz w:val="18"/>
          <w:szCs w:val="18"/>
          <w:color w:val="auto"/>
        </w:rPr>
        <w:t>We apply for patents covering our testing products and technologies and uses thereof, as we deem appropriate, however we may fail to apply for patents on important testing products and technologies in a timely fashion or at all, or we may fail to apply for patents in potentially relevant jurisdictions, or we may cease our prosecution and maintenance of patents in potentially relevant jurisdictions. Currently, we have an exclusive license to 13 issued U.S. patents, and certain corresponding foreign counterpart patents, relevant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We also own one issued U.S. patent, two pending U.S. patent applications, and certain corresponding foreign</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71" w:right="259" w:bottom="1440" w:gutter="0" w:footer="0" w:header="0"/>
        </w:sectPr>
      </w:pPr>
    </w:p>
    <w:bookmarkStart w:id="60" w:name="page61"/>
    <w:bookmarkEnd w:id="60"/>
    <w:p>
      <w:pPr>
        <w:ind w:right="40"/>
        <w:spacing w:after="0" w:line="207" w:lineRule="auto"/>
        <w:rPr>
          <w:sz w:val="20"/>
          <w:szCs w:val="20"/>
          <w:color w:val="auto"/>
        </w:rPr>
      </w:pPr>
      <w:r>
        <w:rPr>
          <w:rFonts w:ascii="Arial" w:cs="Arial" w:eastAsia="Arial" w:hAnsi="Arial"/>
          <w:sz w:val="18"/>
          <w:szCs w:val="18"/>
          <w:color w:val="auto"/>
        </w:rPr>
        <w:t>counterpart patents and patent applications relevant to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Furthermore, even if they are unchallenged, our patents may not adequately protect our intellectual property, provide exclusivity for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or prevent others from designing around our claims.</w:t>
      </w:r>
    </w:p>
    <w:p>
      <w:pPr>
        <w:spacing w:after="0" w:line="1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49"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and development processes that involve proprietary know-how, information or technology that is not covered by patents. However, trade secrets can be difficult to protect. While we use commercially reasonable efforts to protect our trade secrets, our licensors, employees, consultants, contractors and other advisors may unintentionally or willfully disclose such trade secret information to third parties and competitors. We attempt to protect our proprietary technology in large part by entering into confidentiality and non-disclosure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 develop substantially equivalent proprietary information or be issued patents that may prevent the sale of our testing products, technologies, services or know-how or require licensing and the payment of significant fees or royalties by us in order to produce our testing products, technologies or services. Further, we cannot be certain that the steps we have taken will prevent the misappropriation of our trade secrets and other confidential information.</w:t>
      </w:r>
    </w:p>
    <w:p>
      <w:pPr>
        <w:spacing w:after="0" w:line="15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testing products utilize unpatented technology that is publicly available and can be used by our competitors.</w:t>
      </w:r>
    </w:p>
    <w:p>
      <w:pPr>
        <w:spacing w:after="0" w:line="175" w:lineRule="exact"/>
        <w:rPr>
          <w:sz w:val="20"/>
          <w:szCs w:val="20"/>
          <w:color w:val="auto"/>
        </w:rPr>
      </w:pPr>
    </w:p>
    <w:p>
      <w:pPr>
        <w:ind w:right="180"/>
        <w:spacing w:after="0" w:line="195" w:lineRule="auto"/>
        <w:rPr>
          <w:sz w:val="20"/>
          <w:szCs w:val="20"/>
          <w:color w:val="auto"/>
        </w:rPr>
      </w:pPr>
      <w:r>
        <w:rPr>
          <w:rFonts w:ascii="Arial" w:cs="Arial" w:eastAsia="Arial" w:hAnsi="Arial"/>
          <w:sz w:val="18"/>
          <w:szCs w:val="18"/>
          <w:color w:val="auto"/>
        </w:rPr>
        <w:t>Certain of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such as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CTD, utilize both patented technology and publicly available technology that is not protected by patents or other intellectual property rights. We believe that using certain publicly available technology allows us to offer a better and more comprehensive testing product. However, the publicly available technology which we rely upon is also used in, and may continue to be used in, products which compete with our AVISE</w:t>
      </w:r>
      <w:r>
        <w:rPr>
          <w:rFonts w:ascii="Arial" w:cs="Arial" w:eastAsia="Arial" w:hAnsi="Arial"/>
          <w:sz w:val="28"/>
          <w:szCs w:val="28"/>
          <w:color w:val="auto"/>
          <w:vertAlign w:val="superscript"/>
        </w:rPr>
        <w:t>®</w:t>
      </w:r>
      <w:r>
        <w:rPr>
          <w:rFonts w:ascii="Arial" w:cs="Arial" w:eastAsia="Arial" w:hAnsi="Arial"/>
          <w:sz w:val="18"/>
          <w:szCs w:val="18"/>
          <w:color w:val="auto"/>
        </w:rPr>
        <w:t xml:space="preserve"> testing products. Our competitors may independently develop competing diagnostic products and services that do not infringe our intellectual property.</w:t>
      </w:r>
    </w:p>
    <w:p>
      <w:pPr>
        <w:spacing w:after="0" w:line="18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AVISE® testing products.</w:t>
      </w:r>
    </w:p>
    <w:p>
      <w:pPr>
        <w:spacing w:after="0" w:line="12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success is heavily dependent on intellectual property, particularly on obtaining and enforcing patents. Obtaining and enforcing patents in the diagnostics industry involves both technological and legal complexity, and is therefore costly, time-consuming and inherently uncertain. The United States has enacted and is currently implementing wide-ranging patent reform legislation. Recent U.S. Supreme Court rulings have narrowed the scope of patent protection available in certain circumstances and weakened the rights of patent owners in certain situations. In addition to</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66" w:right="239" w:bottom="1440" w:gutter="0" w:footer="0" w:header="0"/>
        </w:sectPr>
      </w:pPr>
    </w:p>
    <w:bookmarkStart w:id="61" w:name="page62"/>
    <w:bookmarkEnd w:id="61"/>
    <w:p>
      <w:pPr>
        <w:spacing w:after="0" w:line="238" w:lineRule="auto"/>
        <w:rPr>
          <w:sz w:val="20"/>
          <w:szCs w:val="20"/>
          <w:color w:val="auto"/>
        </w:rPr>
      </w:pPr>
      <w:r>
        <w:rPr>
          <w:rFonts w:ascii="Arial" w:cs="Arial" w:eastAsia="Arial" w:hAnsi="Arial"/>
          <w:sz w:val="18"/>
          <w:szCs w:val="18"/>
          <w:color w:val="auto"/>
        </w:rPr>
        <w:t>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For example, some of the research and development work related to our CB-CAPs technology was funded by government research grants. As a result, the U.S. government may have certain rights to intellectual property embodied in our testing products pursuant to the Bayh-Dole Act of 1980, or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8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Filing, prosecuting and defending patents on our AVISE® testing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which is used in our AVISE® testing products.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 testing products and our patents or other intellectual property rights may not be effective or sufficient to prevent them from competing.</w:t>
      </w:r>
    </w:p>
    <w:p>
      <w:pPr>
        <w:spacing w:after="0" w:line="15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62" w:name="page63"/>
    <w:bookmarkEnd w:id="62"/>
    <w:p>
      <w:pPr>
        <w:ind w:right="260"/>
        <w:spacing w:after="0"/>
        <w:rPr>
          <w:sz w:val="20"/>
          <w:szCs w:val="20"/>
          <w:color w:val="auto"/>
        </w:rPr>
      </w:pPr>
      <w:r>
        <w:rPr>
          <w:rFonts w:ascii="Arial" w:cs="Arial" w:eastAsia="Arial" w:hAnsi="Arial"/>
          <w:sz w:val="18"/>
          <w:szCs w:val="18"/>
          <w:color w:val="auto"/>
        </w:rPr>
        <w:t>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testing products may be dependent on third parties.</w:t>
      </w:r>
    </w:p>
    <w:p>
      <w:pPr>
        <w:spacing w:after="0" w:line="18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5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may permit other parties to compete with us If any of our licensors or any of our future licensors or future collaborators fail to appropriately prosecute and maintain patent protection for patents covering any of our testing products, our ability to develop and commercialize those testing products may be adversely affected and we may not be able to prevent competitors from making, using and selling competing products.</w:t>
      </w:r>
    </w:p>
    <w:p>
      <w:pPr>
        <w:spacing w:after="0" w:line="15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testing products, which could adversely affect our business. Our business strategy depends on the successful development of licensed and acquired technologies into commercial products. Therefore, any limitations on our ability to utilize these technologies may impair our ability to develop, out-license or market and sell our testing products.</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37"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We are a party to a number of license agreements under which we are granted intellectual property rights that are important to our business. For example, certain patent rights related to AVISE® Lupus are licensed from the University of Pittsburgh, certain patent rights related to AVISE® MTX are licensed from Prometheus. Our existing</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71" w:right="259" w:bottom="1440" w:gutter="0" w:footer="0" w:header="0"/>
        </w:sectPr>
      </w:pPr>
    </w:p>
    <w:bookmarkStart w:id="63" w:name="page64"/>
    <w:bookmarkEnd w:id="63"/>
    <w:p>
      <w:pPr>
        <w:ind w:right="40"/>
        <w:spacing w:after="0" w:line="237" w:lineRule="auto"/>
        <w:rPr>
          <w:sz w:val="20"/>
          <w:szCs w:val="20"/>
          <w:color w:val="auto"/>
        </w:rPr>
      </w:pPr>
      <w:r>
        <w:rPr>
          <w:rFonts w:ascii="Arial" w:cs="Arial" w:eastAsia="Arial" w:hAnsi="Arial"/>
          <w:sz w:val="18"/>
          <w:szCs w:val="18"/>
          <w:color w:val="auto"/>
        </w:rPr>
        <w:t>license agreements as related to our AVISE® testing products impose various regulatory and/or commercial diligence obligations, payment of milestones and/or royalties and other obligations. If we fail to comply with our obligations under a license agreement, the license agreement may be terminated, in which event we would not be able to further develop or market certain AVISE® testing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15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81" w:lineRule="exact"/>
        <w:rPr>
          <w:sz w:val="20"/>
          <w:szCs w:val="20"/>
          <w:color w:val="auto"/>
        </w:rPr>
      </w:pPr>
    </w:p>
    <w:p>
      <w:pPr>
        <w:ind w:right="7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Our outside counsel has systems in place to monitor deadlines to pay these fees and to remind us of these fees, and our outside counsel employs an outside firm to pay these fees due to the USPTO and to foreign patent agencies based on our instructions. In the aggregate, these fees can be cost prohibitive for an early-stage company. Accordingly, we made a financially-driven decision to prioritize our payment of these fees and to allow certain of our applications to lapse, particularly with respect to our ex-U.S. rights licensed from the University of Pittsburgh related to our CB-CAPs technology. The permanent lapse of certain of these ex-U.S. rights may result in our patent position being stronger in the United States than abroad, such as in countries that are part of the European Patent Convention, and third parties may be able to compete more effectively against us in countries outside the United States, including in those countries that belong to the European Patent Convention. Additionally,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18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2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Presently we have intellectual property rights, through licenses from third parties and under patents that we own, related to our AVISE® testing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 testing products, and our partner may be unable to acquire any necessary rights for our promoted therapeutics.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4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 testing products or our partners consider necessary or attractive in order to promote their therapeutic. More established companies may have a competitive advantage over us due to their size, cash resources and greater clinical development and commercialization capabilities.</w:t>
      </w:r>
    </w:p>
    <w:p>
      <w:pPr>
        <w:spacing w:after="0" w:line="14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64" w:name="page65"/>
    <w:bookmarkEnd w:id="64"/>
    <w:p>
      <w:pPr>
        <w:ind w:right="20"/>
        <w:spacing w:after="0"/>
        <w:rPr>
          <w:sz w:val="20"/>
          <w:szCs w:val="20"/>
          <w:color w:val="auto"/>
        </w:rPr>
      </w:pPr>
      <w:r>
        <w:rPr>
          <w:rFonts w:ascii="Arial" w:cs="Arial" w:eastAsia="Arial" w:hAnsi="Arial"/>
          <w:sz w:val="18"/>
          <w:szCs w:val="18"/>
          <w:color w:val="auto"/>
        </w:rPr>
        <w:t>terms that would allow us to make an appropriate return on our investment, or at all. If we or our partner are unable to successfully obtain rights to required third-party intellectual property rights on commercially reasonable terms, our ability to further develop our AVISE® testing products and promote therapeutics, and our business, financial condition and prospects for growth could suffer.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development efforts.</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 the possibility of third 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AVISE® testing products. As the diagnostics industry expands and more patents are issued, the risk increases that our activities related to our AVISE® testing products may give rise to claims of infringement of the patent rights of others.</w:t>
      </w:r>
    </w:p>
    <w:p>
      <w:pPr>
        <w:spacing w:after="0" w:line="15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cannot assure you that any of our current or future AVISE® testing products will not infringe existing or future patents. Although we are not aware of any issued patents that will prevent us from marketing our AVISE® testing products, there may be third-party patents of which we are currently unaware with claims to materials or methods of manufacture related to the use or manufacture of our AVISE® testing products. If a third party that owns such a patent asserts it successfully against one of our current or future AVISE® testing products, we may be unable to market our product, which could materially harm our business and because patent applications can take many years to issue and may be confidential for 18 months or more after filing, there may be currently pending third-party patent applications which may later result in issued patents that our AVISE® testing products or our technologies may infringe, or which such third parties claim are infringed by the use of our technologies.</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Parties making claims against us for infringement or misappropriation of their intellectual property rights may seek and obtain injunctive or other equitable relief, which could effectively block our ability to further develop one or more of our AVISE® testing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AVISE® testing products. We may fail to obtain any of these licenses at a reasonable cost or on reasonable terms, if at all. In that event, we would be unable to further develop our AVISE® testing products, which could harm our business significantly. Even if we were able to obtain a license, the rights may be nonexclusive, which may give our competitors access to the same intellectual property.</w:t>
      </w:r>
    </w:p>
    <w:p>
      <w:pPr>
        <w:spacing w:after="0" w:line="15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to infringement claims against us, if third-parties have prepared and filed patent applications in the United States that also claim technology to which we have rights, we may have to participate in interference proceedings in the USPTO to determine the priority of invention. Third parties may also attempt to initiate reexamination, post grant review or inter partes review of our patents in the USPTO. We may also become involved in similar proceedings in the patent offices in other jurisdictions regarding our intellectual property rights with respect to our AVISE® testing products and technology.</w:t>
      </w:r>
    </w:p>
    <w:p>
      <w:pPr>
        <w:spacing w:after="0" w:line="181"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b w:val="1"/>
          <w:bCs w:val="1"/>
          <w:i w:val="1"/>
          <w:iCs w:val="1"/>
          <w:color w:val="auto"/>
        </w:rPr>
        <w:t>We may be involved in proceedings to protect or enforce our patents or the patents of our licensors, which could be expensive, time-consuming and unsuccessful.</w:t>
      </w:r>
    </w:p>
    <w:p>
      <w:pPr>
        <w:spacing w:after="0" w:line="122"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Third parties may infringe, misappropriate or otherwise violate our existing patents, patents that may issue to us in the future, or the patents of our licensors that are licensed to us. To counter infringement or unauthorized use, we may be required to file infringement claims, which can be expensive and time-consuming. We may not be able to prevent, alone or with our licensors, misappropriation of our intellectual property rights, particularly in countries where the laws may not protect those rights as fully as in the United States.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65" w:name="page66"/>
    <w:bookmarkEnd w:id="65"/>
    <w:p>
      <w:pPr>
        <w:ind w:right="20"/>
        <w:spacing w:after="0" w:line="236" w:lineRule="auto"/>
        <w:rPr>
          <w:sz w:val="20"/>
          <w:szCs w:val="20"/>
          <w:color w:val="auto"/>
        </w:rPr>
      </w:pPr>
      <w:r>
        <w:rPr>
          <w:rFonts w:ascii="Arial" w:cs="Arial" w:eastAsia="Arial" w:hAnsi="Arial"/>
          <w:sz w:val="18"/>
          <w:szCs w:val="18"/>
          <w:color w:val="auto"/>
        </w:rPr>
        <w:t>In addition, if we or one of our licensors initiated legal proceedings against a third party to enforce a patent covering one of our AVISE® testing products, the defendant could counterclaim that the patent covering such AVISE® testing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AVISE® testing products. Such a loss of patent protection could have a material adverse impact on our business.</w:t>
      </w:r>
    </w:p>
    <w:p>
      <w:pPr>
        <w:spacing w:after="0" w:line="15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122"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Because of the expense and uncertainty of litigation, we may conclude that even if a third-party is infringing our patents or other intellectual property rights, the risk-adjusted cost of bringing and enforcing such a claim or action may be too high or not in the best interest of our company or our stockholders. We are not aware of any third party infringement of our intellectual property rights that would have a materially adverse impact on our business. In addition, there can be no assurance that our licensors will be willing to bring and enforce claims to prevent third 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pacing w:after="0" w:line="181"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AVISE® testing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public trading price for our common stock is affected by a number of factors, including:</w:t>
      </w:r>
    </w:p>
    <w:p>
      <w:pPr>
        <w:spacing w:after="0" w:line="5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financial condition and results of operations;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strategic partnerships or capital commitments;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reimbursement by current or potential third-party payers;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66" w:name="page67"/>
    <w:bookmarkEnd w:id="66"/>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sales of our common stock by our executive officers, directors and other stockholders;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5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As a result of this volatility, you may not realize any return on your investment in us and may lose some or all of your investment.</w:t>
      </w:r>
    </w:p>
    <w:p>
      <w:pPr>
        <w:spacing w:after="0" w:line="14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80"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Our failure to meet the continued listing requirements of the Nasdaq Global Market, or Nasdaq, could result in a delisting of our common stock.</w:t>
      </w:r>
    </w:p>
    <w:p>
      <w:pPr>
        <w:spacing w:after="0" w:line="12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83"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22"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Currently, we have limited analyst coverage and we do not have any control over such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80"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If the stockholders who held shares of our common stock prior to our IPO sell, or indicate an intention to sell, substantial amounts of our common stock in the public market after the lock-up and other legal restrictions on resale discussed in the prospectus for the IPO lapse, the trading price of our common stock could decline.</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our IPO, each of our directors and officers and substantially all of our other stockholders entered into a lock-up agreement with the underwriters, which restricts their ability to sell or transfer their shares. The lock-up agreements pertaining to our IPO will expire 180 days from the date of the prospectus for the IPO. The underwriters, however, may, in their sole discretion, waive the contractual lock-up prior to the expiration of the lock-up agreements. After the lock-up agreements expire, these shares of common stock will become eligible for sale in the public market to the extent permitted by the provisions of various option agreements, the lock-up agreements and Rules 144 and 701 under the Securities Act. In addition, our directors and executive officers may establish programmed selling plans under Rule 10b5-1 of the Exchange Act for the purpose of effecting sales of our common stock. Any sales of securities by these stockholders, or the perception that those sales may occur, including the entry into such programmed selling plans, could have a material adverse effect on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67" w:name="page68"/>
    <w:bookmarkEnd w:id="67"/>
    <w:p>
      <w:pPr>
        <w:ind w:right="200"/>
        <w:spacing w:after="0" w:line="238" w:lineRule="auto"/>
        <w:rPr>
          <w:sz w:val="20"/>
          <w:szCs w:val="20"/>
          <w:color w:val="auto"/>
        </w:rPr>
      </w:pPr>
      <w:r>
        <w:rPr>
          <w:rFonts w:ascii="Arial" w:cs="Arial" w:eastAsia="Arial" w:hAnsi="Arial"/>
          <w:sz w:val="18"/>
          <w:szCs w:val="18"/>
          <w:color w:val="auto"/>
        </w:rPr>
        <w:t>In addition, the holders of 8,407,515 shares of common stock and holders of warrants to purchase 461,273 shares of common stock are entitled to rights with respect to registration of such shares under the Securities Act pursuant to an investors’ rights agreement between such holders and us. If such holders, by exercising their registration rights, sell a large number of shares, they could adversely affect the market price for our common stock. If we file a registration statement for the purpose of selling additional shares to raise capital and are required to include shares held by these holders pursuant to the exercise of their registration rights, our ability to raise capital may be impaired.</w:t>
      </w:r>
    </w:p>
    <w:p>
      <w:pPr>
        <w:spacing w:after="0" w:line="181"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2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our annual gross revenue exceeds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43" w:lineRule="exact"/>
        <w:rPr>
          <w:sz w:val="20"/>
          <w:szCs w:val="20"/>
          <w:color w:val="auto"/>
        </w:rPr>
      </w:pPr>
    </w:p>
    <w:p>
      <w:pPr>
        <w:ind w:left="660" w:right="440" w:hanging="328"/>
        <w:spacing w:after="0"/>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condensed financial statements, with correspondingly reduced “Management’s discussion and analysis of financial condition and results of operations” disclosure;</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49" w:lineRule="exact"/>
        <w:rPr>
          <w:rFonts w:ascii="Arial" w:cs="Arial" w:eastAsia="Arial" w:hAnsi="Arial"/>
          <w:sz w:val="18"/>
          <w:szCs w:val="18"/>
          <w:color w:val="auto"/>
        </w:rPr>
      </w:pPr>
    </w:p>
    <w:p>
      <w:pPr>
        <w:ind w:left="660" w:right="40" w:hanging="328"/>
        <w:spacing w:after="0"/>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49" w:lineRule="exact"/>
        <w:rPr>
          <w:rFonts w:ascii="Arial" w:cs="Arial" w:eastAsia="Arial" w:hAnsi="Arial"/>
          <w:sz w:val="18"/>
          <w:szCs w:val="18"/>
          <w:color w:val="auto"/>
        </w:rPr>
      </w:pPr>
    </w:p>
    <w:p>
      <w:pPr>
        <w:ind w:left="660" w:right="140" w:hanging="328"/>
        <w:spacing w:after="0" w:line="24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4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4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3"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 and our management will be required to devote substantial time to compliance initiatives.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public company, we incur significant legal, accounting and other expenses. We are subject to the reporting requirements of the Exchange Act, which will continue to require, among other things, that we file with the SEC annual, quarterly and current reports with respect to our business and financial condition. In addition, Sarbanes-Oxley, as well as rules subsequently adopted by the Securities and Exchange Commission, or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71" w:right="27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4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testing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2020.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5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2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41" w:lineRule="exact"/>
        <w:rPr>
          <w:sz w:val="20"/>
          <w:szCs w:val="20"/>
          <w:color w:val="auto"/>
        </w:rPr>
      </w:pPr>
    </w:p>
    <w:p>
      <w:pPr>
        <w:ind w:left="660" w:right="140" w:hanging="328"/>
        <w:spacing w:after="0" w:line="24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49" w:lineRule="exact"/>
        <w:rPr>
          <w:rFonts w:ascii="Arial" w:cs="Arial" w:eastAsia="Arial" w:hAnsi="Arial"/>
          <w:sz w:val="18"/>
          <w:szCs w:val="18"/>
          <w:color w:val="auto"/>
        </w:rPr>
      </w:pPr>
    </w:p>
    <w:p>
      <w:pPr>
        <w:ind w:left="660" w:right="140" w:hanging="328"/>
        <w:spacing w:after="0"/>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40"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71" w:right="259" w:bottom="1440" w:gutter="0" w:footer="0" w:header="0"/>
        </w:sectPr>
      </w:pPr>
    </w:p>
    <w:bookmarkStart w:id="69" w:name="page70"/>
    <w:bookmarkEnd w:id="69"/>
    <w:p>
      <w:pPr>
        <w:ind w:left="660" w:right="100" w:hanging="328"/>
        <w:spacing w:after="0"/>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49" w:lineRule="exact"/>
        <w:rPr>
          <w:rFonts w:ascii="Arial" w:cs="Arial" w:eastAsia="Arial" w:hAnsi="Arial"/>
          <w:sz w:val="18"/>
          <w:szCs w:val="18"/>
          <w:color w:val="auto"/>
        </w:rPr>
      </w:pPr>
    </w:p>
    <w:p>
      <w:pPr>
        <w:ind w:left="660" w:right="12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34" w:lineRule="exact"/>
        <w:rPr>
          <w:rFonts w:ascii="Arial" w:cs="Arial" w:eastAsia="Arial" w:hAnsi="Arial"/>
          <w:sz w:val="18"/>
          <w:szCs w:val="18"/>
          <w:color w:val="auto"/>
        </w:rPr>
      </w:pPr>
    </w:p>
    <w:p>
      <w:pPr>
        <w:ind w:left="660" w:right="24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34" w:lineRule="exact"/>
        <w:rPr>
          <w:rFonts w:ascii="Arial" w:cs="Arial" w:eastAsia="Arial" w:hAnsi="Arial"/>
          <w:sz w:val="18"/>
          <w:szCs w:val="18"/>
          <w:color w:val="auto"/>
        </w:rPr>
      </w:pPr>
    </w:p>
    <w:p>
      <w:pPr>
        <w:ind w:left="660" w:right="58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34" w:lineRule="exact"/>
        <w:rPr>
          <w:rFonts w:ascii="Arial" w:cs="Arial" w:eastAsia="Arial" w:hAnsi="Arial"/>
          <w:sz w:val="18"/>
          <w:szCs w:val="18"/>
          <w:color w:val="auto"/>
        </w:rPr>
      </w:pPr>
    </w:p>
    <w:p>
      <w:pPr>
        <w:ind w:left="660" w:right="160" w:hanging="328"/>
        <w:spacing w:after="0" w:line="24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34" w:lineRule="exact"/>
        <w:rPr>
          <w:rFonts w:ascii="Arial" w:cs="Arial" w:eastAsia="Arial" w:hAnsi="Arial"/>
          <w:sz w:val="18"/>
          <w:szCs w:val="18"/>
          <w:color w:val="auto"/>
        </w:rPr>
      </w:pPr>
    </w:p>
    <w:p>
      <w:pPr>
        <w:jc w:val="both"/>
        <w:ind w:left="660" w:right="120" w:hanging="328"/>
        <w:spacing w:after="0"/>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1"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the stockholders will not be deemed to have waived our compliance with the Federal Securities laws and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9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12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As of September 30, 2019, our executive officers, directors and greater than 5% stockholders, in the aggregate, own approximately 61% of our outstanding capital stock. As a result, such persons, acting together, have the ability to control or significantly influence all matters submitted to our stockholders for approval, including the election and removal of directors and approval of any significant transaction, as well as our management and business affairs. This concentration of ownership may have the effect of delaying, deferring or preventing a change in control,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70" w:name="page71"/>
    <w:bookmarkEnd w:id="70"/>
    <w:p>
      <w:pPr>
        <w:ind w:right="420"/>
        <w:spacing w:after="0" w:line="246" w:lineRule="auto"/>
        <w:rPr>
          <w:sz w:val="20"/>
          <w:szCs w:val="20"/>
          <w:color w:val="auto"/>
        </w:rPr>
      </w:pPr>
      <w:r>
        <w:rPr>
          <w:rFonts w:ascii="Arial" w:cs="Arial" w:eastAsia="Arial" w:hAnsi="Arial"/>
          <w:sz w:val="18"/>
          <w:szCs w:val="18"/>
          <w:color w:val="auto"/>
        </w:rPr>
        <w:t>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7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 Your ability to achieve a return on your investment will depend on appreciation, if any, in the price of our common stock.</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currently intend to retain any future earnings to fund the growth of our business. In addition, our loan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liquid trading market for our common stock may not be maintained</w:t>
      </w:r>
    </w:p>
    <w:p>
      <w:pPr>
        <w:spacing w:after="0" w:line="18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Prior to our IPO, there had been no public market for our common stock. Our common stock only recently began trading on Nasdaq, but we can provide no assurance that we will be able to develop and sustain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8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7" w:lineRule="exact"/>
        <w:rPr>
          <w:sz w:val="20"/>
          <w:szCs w:val="20"/>
          <w:color w:val="auto"/>
        </w:rPr>
      </w:pPr>
    </w:p>
    <w:p>
      <w:pPr>
        <w:ind w:right="2780" w:firstLine="2800"/>
        <w:spacing w:after="0" w:line="388"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July 2019 we entered into an agreement to issue shares of our Series H redeemable convertible preferred stock, pursuant to which we sold to H.I.G. Bio-Exagen, L.P. in a single closing in July 2019, in a private placement an aggregate of 233,446,519 shares of our Series H redeemable convertible preferred stock at a purchase price of $0.04712 per share, for an aggregate purchase price of approximately $11.0 million.</w:t>
      </w:r>
    </w:p>
    <w:p>
      <w:pPr>
        <w:spacing w:after="0" w:line="150"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In conjunction with the issuance of the Series H redeemable convertible preferred stock, each share of issued and outstanding Series G redeemable convertible preferred stock was converted into 1.6553 shares of Series H redeemable convertible preferred stock, for a total of 246,521,076 shares of Series H redeemable convertible preferred stock.</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Upon completion of our IPO, an aggregate of 2,613,699 shares of common stock, were issued to the holders of our Series H redeemable convertible preferred stockholders upon the automatic conversion of all shares of redeemable convertible preferred stock to common stock. As a result, no shares of Series H redeemable convertible preferred stock remained outstanding at September 30,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The IPO closed on September 23, 2019 and we issued and sold 4,140,00 shares of our common stock at a price to the public of $14.00 per share, which included the exercise in full of the underwriters’ option to purchase additional shares. We received gross proceeds from the IPO of $ 58.0 million, before deducting underwriting discounts, commissions and other offering expenses, for aggregate expenses of approximately $7.5 million. The joint book-running managers of the offering were Cowen and Company, LLC, Cantor Fitzgerald &amp; Co and William Blair &amp; Company, LLC. No offering expenses were paid or are payable, directly</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71"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or indirectly, to our directors or officers, to persons owning 10% or more of any class of our equity securities or to any of our affiliates.</w:t>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of September 30, 2019, we have not used any of the proceeds from our IPO. There has been no material change in the planned use of such proceeds from that described in the Prospectus.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72" w:name="page73"/>
    <w:bookmarkEnd w:id="72"/>
    <w:p>
      <w:pPr>
        <w:jc w:val="center"/>
        <w:ind w:right="-239"/>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175"/>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Exhibit Filing</w:t>
            </w:r>
          </w:p>
        </w:tc>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Filed/Furnished</w:t>
            </w:r>
          </w:p>
        </w:tc>
      </w:tr>
      <w:tr>
        <w:trPr>
          <w:trHeight w:val="190"/>
        </w:trPr>
        <w:tc>
          <w:tcPr>
            <w:tcW w:w="7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400" w:type="dxa"/>
            <w:vAlign w:val="bottom"/>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Form</w:t>
            </w:r>
          </w:p>
        </w:tc>
        <w:tc>
          <w:tcPr>
            <w:tcW w:w="1220" w:type="dxa"/>
            <w:vAlign w:val="bottom"/>
          </w:tcPr>
          <w:p>
            <w:pPr>
              <w:ind w:left="300"/>
              <w:spacing w:after="0"/>
              <w:rPr>
                <w:sz w:val="20"/>
                <w:szCs w:val="20"/>
                <w:color w:val="auto"/>
              </w:rPr>
            </w:pPr>
            <w:r>
              <w:rPr>
                <w:rFonts w:ascii="Arial" w:cs="Arial" w:eastAsia="Arial" w:hAnsi="Arial"/>
                <w:sz w:val="14"/>
                <w:szCs w:val="14"/>
                <w:b w:val="1"/>
                <w:bCs w:val="1"/>
                <w:color w:val="auto"/>
              </w:rPr>
              <w:t>File No.</w:t>
            </w:r>
          </w:p>
        </w:tc>
        <w:tc>
          <w:tcPr>
            <w:tcW w:w="120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100" w:type="dxa"/>
            <w:vAlign w:val="bottom"/>
          </w:tcPr>
          <w:p>
            <w:pPr>
              <w:ind w:left="20"/>
              <w:spacing w:after="0"/>
              <w:rPr>
                <w:sz w:val="20"/>
                <w:szCs w:val="20"/>
                <w:color w:val="auto"/>
              </w:rPr>
            </w:pPr>
            <w:r>
              <w:rPr>
                <w:rFonts w:ascii="Arial" w:cs="Arial" w:eastAsia="Arial" w:hAnsi="Arial"/>
                <w:sz w:val="14"/>
                <w:szCs w:val="14"/>
                <w:b w:val="1"/>
                <w:bCs w:val="1"/>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7620</wp:posOffset>
            </wp:positionV>
            <wp:extent cx="61658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sectPr>
          <w:pgSz w:w="11900" w:h="16838" w:orient="portrait"/>
          <w:cols w:equalWidth="0" w:num="1">
            <w:col w:w="9420"/>
          </w:cols>
          <w:pgMar w:left="1120" w:top="886" w:right="1359" w:bottom="1440" w:gutter="0" w:footer="0" w:header="0"/>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color w:val="auto"/>
              </w:rPr>
              <w:t>3.1</w:t>
            </w:r>
          </w:p>
        </w:tc>
        <w:tc>
          <w:tcPr>
            <w:tcW w:w="3340" w:type="dxa"/>
            <w:vAlign w:val="bottom"/>
            <w:gridSpan w:val="34"/>
          </w:tcPr>
          <w:p>
            <w:pPr>
              <w:spacing w:after="0"/>
              <w:rPr>
                <w:rFonts w:ascii="Arial" w:cs="Arial" w:eastAsia="Arial" w:hAnsi="Arial"/>
                <w:sz w:val="14"/>
                <w:szCs w:val="14"/>
                <w:color w:val="0000FF"/>
              </w:rPr>
            </w:pPr>
            <w:hyperlink r:id="rId84">
              <w:r>
                <w:rPr>
                  <w:rFonts w:ascii="Arial" w:cs="Arial" w:eastAsia="Arial" w:hAnsi="Arial"/>
                  <w:sz w:val="14"/>
                  <w:szCs w:val="14"/>
                  <w:color w:val="0000FF"/>
                </w:rPr>
                <w:t>Form of Amended and Restated Certificate of</w:t>
              </w:r>
            </w:hyperlink>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90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r:id="rId84">
              <w:r>
                <w:rPr>
                  <w:rFonts w:ascii="Arial" w:cs="Arial" w:eastAsia="Arial" w:hAnsi="Arial"/>
                  <w:sz w:val="13"/>
                  <w:szCs w:val="13"/>
                  <w:color w:val="0000FF"/>
                </w:rPr>
                <w:t>Incorporation.</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4"/>
                <w:szCs w:val="14"/>
                <w:color w:val="auto"/>
              </w:rPr>
              <w:t>3.2</w:t>
            </w:r>
          </w:p>
        </w:tc>
        <w:tc>
          <w:tcPr>
            <w:tcW w:w="8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vMerge w:val="continue"/>
          </w:tcPr>
          <w:p>
            <w:pPr>
              <w:spacing w:after="0"/>
              <w:rPr>
                <w:sz w:val="17"/>
                <w:szCs w:val="17"/>
                <w:color w:val="auto"/>
              </w:rPr>
            </w:pPr>
          </w:p>
        </w:tc>
        <w:tc>
          <w:tcPr>
            <w:tcW w:w="2320" w:type="dxa"/>
            <w:vAlign w:val="bottom"/>
            <w:tcBorders>
              <w:bottom w:val="single" w:sz="8" w:color="0000FF"/>
            </w:tcBorders>
            <w:gridSpan w:val="10"/>
          </w:tcPr>
          <w:p>
            <w:pPr>
              <w:spacing w:after="0"/>
              <w:rPr>
                <w:rFonts w:ascii="Arial" w:cs="Arial" w:eastAsia="Arial" w:hAnsi="Arial"/>
                <w:sz w:val="14"/>
                <w:szCs w:val="14"/>
                <w:color w:val="0000FF"/>
              </w:rPr>
            </w:pPr>
            <w:hyperlink r:id="rId85">
              <w:r>
                <w:rPr>
                  <w:rFonts w:ascii="Arial" w:cs="Arial" w:eastAsia="Arial" w:hAnsi="Arial"/>
                  <w:sz w:val="14"/>
                  <w:szCs w:val="14"/>
                  <w:color w:val="0000FF"/>
                </w:rPr>
                <w:t>Form of Amended Restated Bylaws.</w:t>
              </w:r>
            </w:hyperlink>
          </w:p>
        </w:tc>
        <w:tc>
          <w:tcPr>
            <w:tcW w:w="10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spacing w:after="0"/>
              <w:rPr>
                <w:sz w:val="20"/>
                <w:szCs w:val="20"/>
                <w:color w:val="auto"/>
              </w:rPr>
            </w:pPr>
            <w:r>
              <w:rPr>
                <w:rFonts w:ascii="Arial" w:cs="Arial" w:eastAsia="Arial" w:hAnsi="Arial"/>
                <w:sz w:val="14"/>
                <w:szCs w:val="14"/>
                <w:color w:val="auto"/>
              </w:rPr>
              <w:t>4.1</w:t>
            </w:r>
          </w:p>
        </w:tc>
        <w:tc>
          <w:tcPr>
            <w:tcW w:w="3340" w:type="dxa"/>
            <w:vAlign w:val="bottom"/>
            <w:gridSpan w:val="34"/>
          </w:tcPr>
          <w:p>
            <w:pPr>
              <w:spacing w:after="0"/>
              <w:rPr>
                <w:rFonts w:ascii="Arial" w:cs="Arial" w:eastAsia="Arial" w:hAnsi="Arial"/>
                <w:sz w:val="14"/>
                <w:szCs w:val="14"/>
                <w:color w:val="0000FF"/>
              </w:rPr>
            </w:pPr>
            <w:hyperlink r:id="rId86">
              <w:r>
                <w:rPr>
                  <w:rFonts w:ascii="Arial" w:cs="Arial" w:eastAsia="Arial" w:hAnsi="Arial"/>
                  <w:sz w:val="14"/>
                  <w:szCs w:val="14"/>
                  <w:color w:val="0000FF"/>
                </w:rPr>
                <w:t>Specimen stock certificate evidencing the shares</w:t>
              </w:r>
            </w:hyperlink>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11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86">
              <w:r>
                <w:rPr>
                  <w:rFonts w:ascii="Arial" w:cs="Arial" w:eastAsia="Arial" w:hAnsi="Arial"/>
                  <w:sz w:val="13"/>
                  <w:szCs w:val="13"/>
                  <w:color w:val="0000FF"/>
                </w:rPr>
                <w:t>of common stock.</w:t>
              </w:r>
            </w:hyperlink>
          </w:p>
        </w:tc>
        <w:tc>
          <w:tcPr>
            <w:tcW w:w="200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40" w:type="dxa"/>
            <w:vAlign w:val="bottom"/>
          </w:tcPr>
          <w:p>
            <w:pPr>
              <w:spacing w:after="0"/>
              <w:rPr>
                <w:sz w:val="14"/>
                <w:szCs w:val="14"/>
                <w:color w:val="auto"/>
              </w:rPr>
            </w:pPr>
          </w:p>
        </w:tc>
        <w:tc>
          <w:tcPr>
            <w:tcW w:w="3340" w:type="dxa"/>
            <w:vAlign w:val="bottom"/>
            <w:gridSpan w:val="34"/>
          </w:tcPr>
          <w:p>
            <w:pPr>
              <w:spacing w:after="0"/>
              <w:rPr>
                <w:rFonts w:ascii="Arial" w:cs="Arial" w:eastAsia="Arial" w:hAnsi="Arial"/>
                <w:sz w:val="14"/>
                <w:szCs w:val="14"/>
                <w:color w:val="0000FF"/>
              </w:rPr>
            </w:pPr>
            <w:hyperlink r:id="rId87">
              <w:r>
                <w:rPr>
                  <w:rFonts w:ascii="Arial" w:cs="Arial" w:eastAsia="Arial" w:hAnsi="Arial"/>
                  <w:sz w:val="14"/>
                  <w:szCs w:val="14"/>
                  <w:color w:val="0000FF"/>
                </w:rPr>
                <w:t>Amended and Restated Investors’ Rights</w:t>
              </w:r>
            </w:hyperlink>
          </w:p>
        </w:tc>
        <w:tc>
          <w:tcPr>
            <w:tcW w:w="0" w:type="dxa"/>
            <w:vAlign w:val="bottom"/>
          </w:tcPr>
          <w:p>
            <w:pPr>
              <w:spacing w:after="0"/>
              <w:rPr>
                <w:sz w:val="1"/>
                <w:szCs w:val="1"/>
                <w:color w:val="auto"/>
              </w:rPr>
            </w:pPr>
          </w:p>
        </w:tc>
      </w:tr>
      <w:tr>
        <w:trPr>
          <w:trHeight w:val="122"/>
        </w:trPr>
        <w:tc>
          <w:tcPr>
            <w:tcW w:w="840" w:type="dxa"/>
            <w:vAlign w:val="bottom"/>
            <w:vMerge w:val="restart"/>
          </w:tcPr>
          <w:p>
            <w:pPr>
              <w:spacing w:after="0"/>
              <w:rPr>
                <w:sz w:val="20"/>
                <w:szCs w:val="20"/>
                <w:color w:val="auto"/>
              </w:rPr>
            </w:pPr>
            <w:r>
              <w:rPr>
                <w:rFonts w:ascii="Arial" w:cs="Arial" w:eastAsia="Arial" w:hAnsi="Arial"/>
                <w:sz w:val="14"/>
                <w:szCs w:val="14"/>
                <w:color w:val="auto"/>
              </w:rPr>
              <w:t>4.2</w:t>
            </w:r>
          </w:p>
        </w:tc>
        <w:tc>
          <w:tcPr>
            <w:tcW w:w="2620" w:type="dxa"/>
            <w:vAlign w:val="bottom"/>
            <w:tcBorders>
              <w:top w:val="single" w:sz="8" w:color="0000FF"/>
            </w:tcBorders>
            <w:gridSpan w:val="13"/>
          </w:tcPr>
          <w:p>
            <w:pPr>
              <w:spacing w:after="0" w:line="122" w:lineRule="exact"/>
              <w:rPr>
                <w:rFonts w:ascii="Arial" w:cs="Arial" w:eastAsia="Arial" w:hAnsi="Arial"/>
                <w:sz w:val="14"/>
                <w:szCs w:val="14"/>
                <w:color w:val="0000FF"/>
              </w:rPr>
            </w:pPr>
            <w:hyperlink r:id="rId87">
              <w:r>
                <w:rPr>
                  <w:rFonts w:ascii="Arial" w:cs="Arial" w:eastAsia="Arial" w:hAnsi="Arial"/>
                  <w:sz w:val="14"/>
                  <w:szCs w:val="14"/>
                  <w:color w:val="0000FF"/>
                </w:rPr>
                <w:t>Agreement, dated July 12, 2019, by and</w:t>
              </w:r>
            </w:hyperlink>
          </w:p>
        </w:tc>
        <w:tc>
          <w:tcPr>
            <w:tcW w:w="720" w:type="dxa"/>
            <w:vAlign w:val="bottom"/>
            <w:gridSpan w:val="21"/>
          </w:tcPr>
          <w:p>
            <w:pPr>
              <w:spacing w:after="0" w:line="122" w:lineRule="exact"/>
              <w:rPr>
                <w:rFonts w:ascii="Arial" w:cs="Arial" w:eastAsia="Arial" w:hAnsi="Arial"/>
                <w:sz w:val="14"/>
                <w:szCs w:val="14"/>
                <w:color w:val="0000FF"/>
              </w:rPr>
            </w:pPr>
            <w:hyperlink r:id="rId87">
              <w:r>
                <w:rPr>
                  <w:rFonts w:ascii="Arial" w:cs="Arial" w:eastAsia="Arial" w:hAnsi="Arial"/>
                  <w:sz w:val="14"/>
                  <w:szCs w:val="14"/>
                  <w:color w:val="0000FF"/>
                </w:rPr>
                <w:t>among</w:t>
              </w:r>
            </w:hyperlink>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4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r:id="rId87">
              <w:r>
                <w:rPr>
                  <w:rFonts w:ascii="Arial" w:cs="Arial" w:eastAsia="Arial" w:hAnsi="Arial"/>
                  <w:sz w:val="13"/>
                  <w:szCs w:val="13"/>
                  <w:color w:val="0000FF"/>
                </w:rPr>
                <w:t>the Registrant and certain of its stockholders.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340" w:type="dxa"/>
            <w:vAlign w:val="bottom"/>
            <w:gridSpan w:val="34"/>
          </w:tcPr>
          <w:p>
            <w:pPr>
              <w:spacing w:after="0"/>
              <w:rPr>
                <w:rFonts w:ascii="Arial" w:cs="Arial" w:eastAsia="Arial" w:hAnsi="Arial"/>
                <w:sz w:val="14"/>
                <w:szCs w:val="14"/>
                <w:color w:val="0000FF"/>
              </w:rPr>
            </w:pPr>
            <w:hyperlink r:id="rId88">
              <w:r>
                <w:rPr>
                  <w:rFonts w:ascii="Arial" w:cs="Arial" w:eastAsia="Arial" w:hAnsi="Arial"/>
                  <w:sz w:val="14"/>
                  <w:szCs w:val="14"/>
                  <w:color w:val="0000FF"/>
                </w:rPr>
                <w:t>Amended and Restated Stockholders’ Agreement,</w:t>
              </w:r>
            </w:hyperlink>
          </w:p>
        </w:tc>
        <w:tc>
          <w:tcPr>
            <w:tcW w:w="0" w:type="dxa"/>
            <w:vAlign w:val="bottom"/>
          </w:tcPr>
          <w:p>
            <w:pPr>
              <w:spacing w:after="0"/>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4"/>
                <w:szCs w:val="14"/>
                <w:color w:val="auto"/>
              </w:rPr>
              <w:t>4.3</w:t>
            </w:r>
          </w:p>
        </w:tc>
        <w:tc>
          <w:tcPr>
            <w:tcW w:w="3300" w:type="dxa"/>
            <w:vAlign w:val="bottom"/>
            <w:tcBorders>
              <w:top w:val="single" w:sz="8" w:color="0000FF"/>
            </w:tcBorders>
            <w:gridSpan w:val="32"/>
          </w:tcPr>
          <w:p>
            <w:pPr>
              <w:spacing w:after="0" w:line="115" w:lineRule="exact"/>
              <w:rPr>
                <w:rFonts w:ascii="Arial" w:cs="Arial" w:eastAsia="Arial" w:hAnsi="Arial"/>
                <w:sz w:val="13"/>
                <w:szCs w:val="13"/>
                <w:color w:val="0000FF"/>
              </w:rPr>
            </w:pPr>
            <w:hyperlink r:id="rId88">
              <w:r>
                <w:rPr>
                  <w:rFonts w:ascii="Arial" w:cs="Arial" w:eastAsia="Arial" w:hAnsi="Arial"/>
                  <w:sz w:val="13"/>
                  <w:szCs w:val="13"/>
                  <w:color w:val="0000FF"/>
                </w:rPr>
                <w:t>dated July 12, 2019, by and among the Registrant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1960" w:type="dxa"/>
            <w:vAlign w:val="bottom"/>
            <w:tcBorders>
              <w:top w:val="single" w:sz="8" w:color="0000FF"/>
              <w:bottom w:val="single" w:sz="8" w:color="0000FF"/>
            </w:tcBorders>
            <w:gridSpan w:val="8"/>
          </w:tcPr>
          <w:p>
            <w:pPr>
              <w:spacing w:after="0" w:line="115" w:lineRule="exact"/>
              <w:rPr>
                <w:rFonts w:ascii="Arial" w:cs="Arial" w:eastAsia="Arial" w:hAnsi="Arial"/>
                <w:sz w:val="13"/>
                <w:szCs w:val="13"/>
                <w:color w:val="0000FF"/>
              </w:rPr>
            </w:pPr>
            <w:hyperlink r:id="rId88">
              <w:r>
                <w:rPr>
                  <w:rFonts w:ascii="Arial" w:cs="Arial" w:eastAsia="Arial" w:hAnsi="Arial"/>
                  <w:sz w:val="13"/>
                  <w:szCs w:val="13"/>
                  <w:color w:val="0000FF"/>
                </w:rPr>
                <w:t>and certain of its stockholders.</w:t>
              </w:r>
            </w:hyperlink>
          </w:p>
        </w:tc>
        <w:tc>
          <w:tcPr>
            <w:tcW w:w="130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340" w:type="dxa"/>
            <w:vAlign w:val="bottom"/>
            <w:gridSpan w:val="34"/>
          </w:tcPr>
          <w:p>
            <w:pPr>
              <w:spacing w:after="0"/>
              <w:rPr>
                <w:rFonts w:ascii="Arial" w:cs="Arial" w:eastAsia="Arial" w:hAnsi="Arial"/>
                <w:sz w:val="14"/>
                <w:szCs w:val="14"/>
                <w:color w:val="0000FF"/>
              </w:rPr>
            </w:pPr>
            <w:hyperlink r:id="rId89">
              <w:r>
                <w:rPr>
                  <w:rFonts w:ascii="Arial" w:cs="Arial" w:eastAsia="Arial" w:hAnsi="Arial"/>
                  <w:sz w:val="14"/>
                  <w:szCs w:val="14"/>
                  <w:color w:val="0000FF"/>
                </w:rPr>
                <w:t>Form of Common Stock Purchase Warrant issued</w:t>
              </w:r>
            </w:hyperlink>
          </w:p>
        </w:tc>
        <w:tc>
          <w:tcPr>
            <w:tcW w:w="0" w:type="dxa"/>
            <w:vAlign w:val="bottom"/>
          </w:tcPr>
          <w:p>
            <w:pPr>
              <w:spacing w:after="0"/>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4"/>
                <w:szCs w:val="14"/>
                <w:color w:val="auto"/>
              </w:rPr>
              <w:t>4.4</w:t>
            </w:r>
          </w:p>
        </w:tc>
        <w:tc>
          <w:tcPr>
            <w:tcW w:w="3220" w:type="dxa"/>
            <w:vAlign w:val="bottom"/>
            <w:tcBorders>
              <w:top w:val="single" w:sz="8" w:color="0000FF"/>
            </w:tcBorders>
            <w:gridSpan w:val="28"/>
          </w:tcPr>
          <w:p>
            <w:pPr>
              <w:spacing w:after="0" w:line="115" w:lineRule="exact"/>
              <w:rPr>
                <w:rFonts w:ascii="Arial" w:cs="Arial" w:eastAsia="Arial" w:hAnsi="Arial"/>
                <w:sz w:val="13"/>
                <w:szCs w:val="13"/>
                <w:color w:val="0000FF"/>
              </w:rPr>
            </w:pPr>
            <w:hyperlink r:id="rId89">
              <w:r>
                <w:rPr>
                  <w:rFonts w:ascii="Arial" w:cs="Arial" w:eastAsia="Arial" w:hAnsi="Arial"/>
                  <w:sz w:val="13"/>
                  <w:szCs w:val="13"/>
                  <w:color w:val="0000FF"/>
                </w:rPr>
                <w:t>to investors by the Registrant in connection with</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1880" w:type="dxa"/>
            <w:vAlign w:val="bottom"/>
            <w:tcBorders>
              <w:top w:val="single" w:sz="8" w:color="0000FF"/>
              <w:bottom w:val="single" w:sz="8" w:color="0000FF"/>
            </w:tcBorders>
            <w:gridSpan w:val="7"/>
          </w:tcPr>
          <w:p>
            <w:pPr>
              <w:spacing w:after="0" w:line="115" w:lineRule="exact"/>
              <w:rPr>
                <w:rFonts w:ascii="Arial" w:cs="Arial" w:eastAsia="Arial" w:hAnsi="Arial"/>
                <w:sz w:val="13"/>
                <w:szCs w:val="13"/>
                <w:color w:val="0000FF"/>
              </w:rPr>
            </w:pPr>
            <w:hyperlink r:id="rId89">
              <w:r>
                <w:rPr>
                  <w:rFonts w:ascii="Arial" w:cs="Arial" w:eastAsia="Arial" w:hAnsi="Arial"/>
                  <w:sz w:val="13"/>
                  <w:szCs w:val="13"/>
                  <w:color w:val="0000FF"/>
                </w:rPr>
                <w:t>private placement financings.</w:t>
              </w:r>
            </w:hyperlink>
          </w:p>
        </w:tc>
        <w:tc>
          <w:tcPr>
            <w:tcW w:w="118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4"/>
                <w:szCs w:val="14"/>
                <w:color w:val="auto"/>
              </w:rPr>
              <w:t>10.1#</w:t>
            </w:r>
          </w:p>
        </w:tc>
        <w:tc>
          <w:tcPr>
            <w:tcW w:w="2560" w:type="dxa"/>
            <w:vAlign w:val="bottom"/>
            <w:tcBorders>
              <w:bottom w:val="single" w:sz="8" w:color="0000FF"/>
            </w:tcBorders>
            <w:gridSpan w:val="11"/>
          </w:tcPr>
          <w:p>
            <w:pPr>
              <w:spacing w:after="0"/>
              <w:rPr>
                <w:rFonts w:ascii="Arial" w:cs="Arial" w:eastAsia="Arial" w:hAnsi="Arial"/>
                <w:sz w:val="14"/>
                <w:szCs w:val="14"/>
                <w:color w:val="0000FF"/>
              </w:rPr>
            </w:pPr>
            <w:hyperlink r:id="rId90">
              <w:r>
                <w:rPr>
                  <w:rFonts w:ascii="Arial" w:cs="Arial" w:eastAsia="Arial" w:hAnsi="Arial"/>
                  <w:sz w:val="14"/>
                  <w:szCs w:val="14"/>
                  <w:color w:val="0000FF"/>
                </w:rPr>
                <w:t>Exagen Inc. 2019 Incentive Award Plan.</w:t>
              </w:r>
            </w:hyperlink>
          </w:p>
        </w:tc>
        <w:tc>
          <w:tcPr>
            <w:tcW w:w="7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spacing w:after="0"/>
              <w:rPr>
                <w:sz w:val="20"/>
                <w:szCs w:val="20"/>
                <w:color w:val="auto"/>
              </w:rPr>
            </w:pPr>
            <w:r>
              <w:rPr>
                <w:rFonts w:ascii="Arial" w:cs="Arial" w:eastAsia="Arial" w:hAnsi="Arial"/>
                <w:sz w:val="14"/>
                <w:szCs w:val="14"/>
                <w:color w:val="auto"/>
              </w:rPr>
              <w:t>10.2#</w:t>
            </w:r>
          </w:p>
        </w:tc>
        <w:tc>
          <w:tcPr>
            <w:tcW w:w="3340" w:type="dxa"/>
            <w:vAlign w:val="bottom"/>
            <w:gridSpan w:val="34"/>
          </w:tcPr>
          <w:p>
            <w:pPr>
              <w:spacing w:after="0"/>
              <w:rPr>
                <w:rFonts w:ascii="Arial" w:cs="Arial" w:eastAsia="Arial" w:hAnsi="Arial"/>
                <w:sz w:val="14"/>
                <w:szCs w:val="14"/>
                <w:color w:val="0000FF"/>
              </w:rPr>
            </w:pPr>
            <w:hyperlink r:id="rId91">
              <w:r>
                <w:rPr>
                  <w:rFonts w:ascii="Arial" w:cs="Arial" w:eastAsia="Arial" w:hAnsi="Arial"/>
                  <w:sz w:val="14"/>
                  <w:szCs w:val="14"/>
                  <w:color w:val="0000FF"/>
                </w:rPr>
                <w:t>Form of Option Agreement under Exagen Inc.</w:t>
              </w:r>
            </w:hyperlink>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1760" w:type="dxa"/>
            <w:vAlign w:val="bottom"/>
            <w:tcBorders>
              <w:top w:val="single" w:sz="8" w:color="0000FF"/>
              <w:bottom w:val="single" w:sz="8" w:color="0000FF"/>
            </w:tcBorders>
            <w:gridSpan w:val="6"/>
          </w:tcPr>
          <w:p>
            <w:pPr>
              <w:spacing w:after="0" w:line="115" w:lineRule="exact"/>
              <w:rPr>
                <w:rFonts w:ascii="Arial" w:cs="Arial" w:eastAsia="Arial" w:hAnsi="Arial"/>
                <w:sz w:val="13"/>
                <w:szCs w:val="13"/>
                <w:color w:val="0000FF"/>
              </w:rPr>
            </w:pPr>
            <w:hyperlink r:id="rId91">
              <w:r>
                <w:rPr>
                  <w:rFonts w:ascii="Arial" w:cs="Arial" w:eastAsia="Arial" w:hAnsi="Arial"/>
                  <w:sz w:val="13"/>
                  <w:szCs w:val="13"/>
                  <w:color w:val="0000FF"/>
                </w:rPr>
                <w:t>2019 Incentive Award Plan.</w:t>
              </w:r>
            </w:hyperlink>
          </w:p>
        </w:tc>
        <w:tc>
          <w:tcPr>
            <w:tcW w:w="1160" w:type="dxa"/>
            <w:vAlign w:val="bottom"/>
            <w:tcBorders>
              <w:top w:val="single" w:sz="8" w:color="0000FF"/>
            </w:tcBorders>
            <w:gridSpan w:val="11"/>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20"/>
                <w:szCs w:val="20"/>
                <w:color w:val="auto"/>
              </w:rPr>
            </w:pPr>
            <w:r>
              <w:rPr>
                <w:rFonts w:ascii="Arial" w:cs="Arial" w:eastAsia="Arial" w:hAnsi="Arial"/>
                <w:sz w:val="14"/>
                <w:szCs w:val="14"/>
                <w:color w:val="auto"/>
              </w:rPr>
              <w:t>10.3#</w:t>
            </w:r>
          </w:p>
        </w:tc>
        <w:tc>
          <w:tcPr>
            <w:tcW w:w="3340" w:type="dxa"/>
            <w:vAlign w:val="bottom"/>
            <w:tcBorders>
              <w:bottom w:val="single" w:sz="8" w:color="0000FF"/>
            </w:tcBorders>
            <w:gridSpan w:val="34"/>
          </w:tcPr>
          <w:p>
            <w:pPr>
              <w:spacing w:after="0"/>
              <w:rPr>
                <w:rFonts w:ascii="Arial" w:cs="Arial" w:eastAsia="Arial" w:hAnsi="Arial"/>
                <w:sz w:val="14"/>
                <w:szCs w:val="14"/>
                <w:color w:val="0000FF"/>
              </w:rPr>
            </w:pPr>
            <w:hyperlink r:id="rId92">
              <w:r>
                <w:rPr>
                  <w:rFonts w:ascii="Arial" w:cs="Arial" w:eastAsia="Arial" w:hAnsi="Arial"/>
                  <w:sz w:val="14"/>
                  <w:szCs w:val="14"/>
                  <w:color w:val="0000FF"/>
                </w:rPr>
                <w:t>Exagen Inc. 2019 Employee Stock Purchase Plan.</w:t>
              </w:r>
            </w:hyperlink>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340" w:type="dxa"/>
            <w:vAlign w:val="bottom"/>
            <w:gridSpan w:val="34"/>
          </w:tcPr>
          <w:p>
            <w:pPr>
              <w:spacing w:after="0"/>
              <w:rPr>
                <w:rFonts w:ascii="Arial" w:cs="Arial" w:eastAsia="Arial" w:hAnsi="Arial"/>
                <w:sz w:val="14"/>
                <w:szCs w:val="14"/>
                <w:color w:val="0000FF"/>
              </w:rPr>
            </w:pPr>
            <w:hyperlink r:id="rId93">
              <w:r>
                <w:rPr>
                  <w:rFonts w:ascii="Arial" w:cs="Arial" w:eastAsia="Arial" w:hAnsi="Arial"/>
                  <w:sz w:val="14"/>
                  <w:szCs w:val="14"/>
                  <w:color w:val="0000FF"/>
                </w:rPr>
                <w:t>Offer Letter, dated October 12, 2010, by and</w:t>
              </w:r>
            </w:hyperlink>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88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r:id="rId93">
              <w:r>
                <w:rPr>
                  <w:rFonts w:ascii="Arial" w:cs="Arial" w:eastAsia="Arial" w:hAnsi="Arial"/>
                  <w:sz w:val="13"/>
                  <w:szCs w:val="13"/>
                  <w:color w:val="0000FF"/>
                </w:rPr>
                <w:t>between Thierry Dervieux, Ph.D. and the</w:t>
              </w:r>
            </w:hyperlink>
          </w:p>
        </w:tc>
        <w:tc>
          <w:tcPr>
            <w:tcW w:w="8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3340" w:type="dxa"/>
            <w:vAlign w:val="bottom"/>
            <w:gridSpan w:val="34"/>
          </w:tcPr>
          <w:p>
            <w:pPr>
              <w:spacing w:after="0" w:line="115" w:lineRule="exact"/>
              <w:rPr>
                <w:rFonts w:ascii="Arial" w:cs="Arial" w:eastAsia="Arial" w:hAnsi="Arial"/>
                <w:sz w:val="13"/>
                <w:szCs w:val="13"/>
                <w:color w:val="0000FF"/>
              </w:rPr>
            </w:pPr>
            <w:hyperlink r:id="rId93">
              <w:r>
                <w:rPr>
                  <w:rFonts w:ascii="Arial" w:cs="Arial" w:eastAsia="Arial" w:hAnsi="Arial"/>
                  <w:sz w:val="13"/>
                  <w:szCs w:val="13"/>
                  <w:color w:val="0000FF"/>
                </w:rPr>
                <w:t>Registrant, as amended on September 9, 2011</w:t>
              </w:r>
            </w:hyperlink>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156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r:id="rId93">
              <w:r>
                <w:rPr>
                  <w:rFonts w:ascii="Arial" w:cs="Arial" w:eastAsia="Arial" w:hAnsi="Arial"/>
                  <w:sz w:val="13"/>
                  <w:szCs w:val="13"/>
                  <w:color w:val="0000FF"/>
                </w:rPr>
                <w:t>and September 6, 2019.</w:t>
              </w:r>
            </w:hyperlink>
          </w:p>
        </w:tc>
        <w:tc>
          <w:tcPr>
            <w:tcW w:w="1440" w:type="dxa"/>
            <w:vAlign w:val="bottom"/>
            <w:tcBorders>
              <w:top w:val="single" w:sz="8" w:color="0000FF"/>
            </w:tcBorders>
            <w:gridSpan w:val="14"/>
          </w:tcPr>
          <w:p>
            <w:pPr>
              <w:spacing w:after="0"/>
              <w:rPr>
                <w:sz w:val="10"/>
                <w:szCs w:val="10"/>
                <w:color w:val="auto"/>
              </w:rPr>
            </w:pPr>
          </w:p>
        </w:tc>
        <w:tc>
          <w:tcPr>
            <w:tcW w:w="8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vMerge w:val="restart"/>
          </w:tcPr>
          <w:p>
            <w:pPr>
              <w:spacing w:after="0"/>
              <w:rPr>
                <w:sz w:val="20"/>
                <w:szCs w:val="20"/>
                <w:color w:val="auto"/>
              </w:rPr>
            </w:pPr>
            <w:r>
              <w:rPr>
                <w:rFonts w:ascii="Arial" w:cs="Arial" w:eastAsia="Arial" w:hAnsi="Arial"/>
                <w:sz w:val="14"/>
                <w:szCs w:val="14"/>
                <w:color w:val="auto"/>
              </w:rPr>
              <w:t>10.5</w:t>
            </w:r>
          </w:p>
        </w:tc>
        <w:tc>
          <w:tcPr>
            <w:tcW w:w="3340" w:type="dxa"/>
            <w:vAlign w:val="bottom"/>
            <w:gridSpan w:val="34"/>
          </w:tcPr>
          <w:p>
            <w:pPr>
              <w:spacing w:after="0"/>
              <w:rPr>
                <w:rFonts w:ascii="Arial" w:cs="Arial" w:eastAsia="Arial" w:hAnsi="Arial"/>
                <w:sz w:val="14"/>
                <w:szCs w:val="14"/>
                <w:color w:val="0000FF"/>
              </w:rPr>
            </w:pPr>
            <w:hyperlink r:id="rId94">
              <w:r>
                <w:rPr>
                  <w:rFonts w:ascii="Arial" w:cs="Arial" w:eastAsia="Arial" w:hAnsi="Arial"/>
                  <w:sz w:val="14"/>
                  <w:szCs w:val="14"/>
                  <w:color w:val="0000FF"/>
                </w:rPr>
                <w:t>Form of Indemnification Agreement for Directors</w:t>
              </w:r>
            </w:hyperlink>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8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94">
              <w:r>
                <w:rPr>
                  <w:rFonts w:ascii="Arial" w:cs="Arial" w:eastAsia="Arial" w:hAnsi="Arial"/>
                  <w:sz w:val="13"/>
                  <w:szCs w:val="13"/>
                  <w:color w:val="0000FF"/>
                </w:rPr>
                <w:t>and Officers.</w:t>
              </w:r>
            </w:hyperlink>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340" w:type="dxa"/>
            <w:vAlign w:val="bottom"/>
            <w:gridSpan w:val="34"/>
          </w:tcPr>
          <w:p>
            <w:pPr>
              <w:spacing w:after="0"/>
              <w:rPr>
                <w:rFonts w:ascii="Arial" w:cs="Arial" w:eastAsia="Arial" w:hAnsi="Arial"/>
                <w:sz w:val="14"/>
                <w:szCs w:val="14"/>
                <w:color w:val="0000FF"/>
              </w:rPr>
            </w:pPr>
            <w:hyperlink r:id="rId95">
              <w:r>
                <w:rPr>
                  <w:rFonts w:ascii="Arial" w:cs="Arial" w:eastAsia="Arial" w:hAnsi="Arial"/>
                  <w:sz w:val="14"/>
                  <w:szCs w:val="14"/>
                  <w:color w:val="0000FF"/>
                </w:rPr>
                <w:t>Offer Letter, dated October 7, 2011, by and</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44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4"/>
                <w:szCs w:val="14"/>
                <w:color w:val="auto"/>
              </w:rPr>
              <w:t>10.6#</w:t>
            </w:r>
          </w:p>
        </w:tc>
        <w:tc>
          <w:tcPr>
            <w:tcW w:w="3340" w:type="dxa"/>
            <w:vAlign w:val="bottom"/>
            <w:gridSpan w:val="34"/>
          </w:tcPr>
          <w:p>
            <w:pPr>
              <w:spacing w:after="0" w:line="115" w:lineRule="exact"/>
              <w:rPr>
                <w:rFonts w:ascii="Arial" w:cs="Arial" w:eastAsia="Arial" w:hAnsi="Arial"/>
                <w:sz w:val="13"/>
                <w:szCs w:val="13"/>
                <w:color w:val="0000FF"/>
              </w:rPr>
            </w:pPr>
            <w:hyperlink r:id="rId95">
              <w:r>
                <w:rPr>
                  <w:rFonts w:ascii="Arial" w:cs="Arial" w:eastAsia="Arial" w:hAnsi="Arial"/>
                  <w:sz w:val="13"/>
                  <w:szCs w:val="13"/>
                  <w:color w:val="0000FF"/>
                </w:rPr>
                <w:t>between Fortunato Ron Rocca and the Registrant,</w:t>
              </w:r>
            </w:hyperlink>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320" w:type="dxa"/>
            <w:vAlign w:val="bottom"/>
            <w:tcBorders>
              <w:top w:val="single" w:sz="8" w:color="0000FF"/>
            </w:tcBorders>
            <w:gridSpan w:val="33"/>
          </w:tcPr>
          <w:p>
            <w:pPr>
              <w:spacing w:after="0" w:line="115" w:lineRule="exact"/>
              <w:rPr>
                <w:rFonts w:ascii="Arial" w:cs="Arial" w:eastAsia="Arial" w:hAnsi="Arial"/>
                <w:sz w:val="13"/>
                <w:szCs w:val="13"/>
                <w:color w:val="0000FF"/>
              </w:rPr>
            </w:pPr>
            <w:hyperlink r:id="rId95">
              <w:r>
                <w:rPr>
                  <w:rFonts w:ascii="Arial" w:cs="Arial" w:eastAsia="Arial" w:hAnsi="Arial"/>
                  <w:sz w:val="13"/>
                  <w:szCs w:val="13"/>
                  <w:color w:val="0000FF"/>
                </w:rPr>
                <w:t>as amended on September 4, 2019.</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340" w:type="dxa"/>
            <w:vAlign w:val="bottom"/>
            <w:gridSpan w:val="34"/>
          </w:tcPr>
          <w:p>
            <w:pPr>
              <w:spacing w:after="0"/>
              <w:rPr>
                <w:rFonts w:ascii="Arial" w:cs="Arial" w:eastAsia="Arial" w:hAnsi="Arial"/>
                <w:sz w:val="14"/>
                <w:szCs w:val="14"/>
                <w:color w:val="0000FF"/>
              </w:rPr>
            </w:pPr>
            <w:hyperlink r:id="rId96">
              <w:r>
                <w:rPr>
                  <w:rFonts w:ascii="Arial" w:cs="Arial" w:eastAsia="Arial" w:hAnsi="Arial"/>
                  <w:sz w:val="14"/>
                  <w:szCs w:val="14"/>
                  <w:color w:val="0000FF"/>
                </w:rPr>
                <w:t>Offer Letter, dated May 16, 2017, by and between</w:t>
              </w:r>
            </w:hyperlink>
          </w:p>
        </w:tc>
        <w:tc>
          <w:tcPr>
            <w:tcW w:w="0" w:type="dxa"/>
            <w:vAlign w:val="bottom"/>
          </w:tcPr>
          <w:p>
            <w:pPr>
              <w:spacing w:after="0"/>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4"/>
                <w:szCs w:val="14"/>
                <w:color w:val="auto"/>
              </w:rPr>
              <w:t>10.7#</w:t>
            </w:r>
          </w:p>
        </w:tc>
        <w:tc>
          <w:tcPr>
            <w:tcW w:w="3200" w:type="dxa"/>
            <w:vAlign w:val="bottom"/>
            <w:tcBorders>
              <w:top w:val="single" w:sz="8" w:color="0000FF"/>
            </w:tcBorders>
            <w:gridSpan w:val="27"/>
          </w:tcPr>
          <w:p>
            <w:pPr>
              <w:spacing w:after="0" w:line="115" w:lineRule="exact"/>
              <w:rPr>
                <w:rFonts w:ascii="Arial" w:cs="Arial" w:eastAsia="Arial" w:hAnsi="Arial"/>
                <w:sz w:val="13"/>
                <w:szCs w:val="13"/>
                <w:color w:val="0000FF"/>
              </w:rPr>
            </w:pPr>
            <w:hyperlink r:id="rId96">
              <w:r>
                <w:rPr>
                  <w:rFonts w:ascii="Arial" w:cs="Arial" w:eastAsia="Arial" w:hAnsi="Arial"/>
                  <w:sz w:val="13"/>
                  <w:szCs w:val="13"/>
                  <w:color w:val="0000FF"/>
                </w:rPr>
                <w:t>Kamal Adawi and the Registrant, as amended on</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128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r:id="rId96">
              <w:r>
                <w:rPr>
                  <w:rFonts w:ascii="Arial" w:cs="Arial" w:eastAsia="Arial" w:hAnsi="Arial"/>
                  <w:sz w:val="13"/>
                  <w:szCs w:val="13"/>
                  <w:color w:val="0000FF"/>
                </w:rPr>
                <w:t>September 4, 2019.</w:t>
              </w:r>
            </w:hyperlink>
          </w:p>
        </w:tc>
        <w:tc>
          <w:tcPr>
            <w:tcW w:w="188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340" w:type="dxa"/>
            <w:vAlign w:val="bottom"/>
            <w:gridSpan w:val="34"/>
          </w:tcPr>
          <w:p>
            <w:pPr>
              <w:spacing w:after="0"/>
              <w:rPr>
                <w:rFonts w:ascii="Arial" w:cs="Arial" w:eastAsia="Arial" w:hAnsi="Arial"/>
                <w:sz w:val="14"/>
                <w:szCs w:val="14"/>
                <w:color w:val="0000FF"/>
              </w:rPr>
            </w:pPr>
            <w:hyperlink w:anchor="page76">
              <w:r>
                <w:rPr>
                  <w:rFonts w:ascii="Arial" w:cs="Arial" w:eastAsia="Arial" w:hAnsi="Arial"/>
                  <w:sz w:val="14"/>
                  <w:szCs w:val="14"/>
                  <w:color w:val="0000FF"/>
                </w:rPr>
                <w:t>Certificate of Principal Executive Officer, pursuant</w:t>
              </w:r>
            </w:hyperlink>
          </w:p>
        </w:tc>
        <w:tc>
          <w:tcPr>
            <w:tcW w:w="0" w:type="dxa"/>
            <w:vAlign w:val="bottom"/>
          </w:tcPr>
          <w:p>
            <w:pPr>
              <w:spacing w:after="0"/>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3180" w:type="dxa"/>
            <w:vAlign w:val="bottom"/>
            <w:tcBorders>
              <w:top w:val="single" w:sz="8" w:color="0000FF"/>
              <w:bottom w:val="single" w:sz="8" w:color="0000FF"/>
            </w:tcBorders>
            <w:gridSpan w:val="26"/>
          </w:tcPr>
          <w:p>
            <w:pPr>
              <w:spacing w:after="0" w:line="115" w:lineRule="exact"/>
              <w:rPr>
                <w:rFonts w:ascii="Arial" w:cs="Arial" w:eastAsia="Arial" w:hAnsi="Arial"/>
                <w:sz w:val="13"/>
                <w:szCs w:val="13"/>
                <w:color w:val="0000FF"/>
              </w:rPr>
            </w:pPr>
            <w:hyperlink w:anchor="page76">
              <w:r>
                <w:rPr>
                  <w:rFonts w:ascii="Arial" w:cs="Arial" w:eastAsia="Arial" w:hAnsi="Arial"/>
                  <w:sz w:val="13"/>
                  <w:szCs w:val="13"/>
                  <w:color w:val="0000FF"/>
                </w:rPr>
                <w:t>to Rule 13a-14(a)/15d-14(a), as adopted pursuant</w:t>
              </w:r>
            </w:hyperlink>
          </w:p>
        </w:tc>
        <w:tc>
          <w:tcPr>
            <w:tcW w:w="60" w:type="dxa"/>
            <w:vAlign w:val="bottom"/>
            <w:tcBorders>
              <w:bottom w:val="single" w:sz="8" w:color="0000FF"/>
            </w:tcBorders>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240" w:type="dxa"/>
            <w:vAlign w:val="bottom"/>
            <w:tcBorders>
              <w:bottom w:val="single" w:sz="8" w:color="0000FF"/>
            </w:tcBorders>
            <w:gridSpan w:val="29"/>
          </w:tcPr>
          <w:p>
            <w:pPr>
              <w:spacing w:after="0" w:line="115" w:lineRule="exact"/>
              <w:rPr>
                <w:rFonts w:ascii="Arial" w:cs="Arial" w:eastAsia="Arial" w:hAnsi="Arial"/>
                <w:sz w:val="13"/>
                <w:szCs w:val="13"/>
                <w:color w:val="0000FF"/>
              </w:rPr>
            </w:pPr>
            <w:hyperlink w:anchor="page76">
              <w:r>
                <w:rPr>
                  <w:rFonts w:ascii="Arial" w:cs="Arial" w:eastAsia="Arial" w:hAnsi="Arial"/>
                  <w:sz w:val="13"/>
                  <w:szCs w:val="13"/>
                  <w:color w:val="0000FF"/>
                </w:rPr>
                <w:t>to Section 302 of the Sarbanes-Oxley Act of 2002.</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340" w:type="dxa"/>
            <w:vAlign w:val="bottom"/>
            <w:gridSpan w:val="34"/>
          </w:tcPr>
          <w:p>
            <w:pPr>
              <w:spacing w:after="0"/>
              <w:rPr>
                <w:rFonts w:ascii="Arial" w:cs="Arial" w:eastAsia="Arial" w:hAnsi="Arial"/>
                <w:sz w:val="14"/>
                <w:szCs w:val="14"/>
                <w:color w:val="0000FF"/>
              </w:rPr>
            </w:pPr>
            <w:hyperlink w:anchor="page78">
              <w:r>
                <w:rPr>
                  <w:rFonts w:ascii="Arial" w:cs="Arial" w:eastAsia="Arial" w:hAnsi="Arial"/>
                  <w:sz w:val="14"/>
                  <w:szCs w:val="14"/>
                  <w:color w:val="0000FF"/>
                </w:rPr>
                <w:t>Certificate of Principal Financial Officer, pursuant</w:t>
              </w:r>
            </w:hyperlink>
          </w:p>
        </w:tc>
        <w:tc>
          <w:tcPr>
            <w:tcW w:w="0" w:type="dxa"/>
            <w:vAlign w:val="bottom"/>
          </w:tcPr>
          <w:p>
            <w:pPr>
              <w:spacing w:after="0"/>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312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w:anchor="page78">
              <w:r>
                <w:rPr>
                  <w:rFonts w:ascii="Arial" w:cs="Arial" w:eastAsia="Arial" w:hAnsi="Arial"/>
                  <w:sz w:val="13"/>
                  <w:szCs w:val="13"/>
                  <w:color w:val="0000FF"/>
                </w:rPr>
                <w:t>to Rule 13a-14(a)/15d-14(a), as adopted pursuant</w:t>
              </w:r>
            </w:hyperlink>
          </w:p>
        </w:tc>
        <w:tc>
          <w:tcPr>
            <w:tcW w:w="160" w:type="dxa"/>
            <w:vAlign w:val="bottom"/>
            <w:gridSpan w:val="8"/>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240" w:type="dxa"/>
            <w:vAlign w:val="bottom"/>
            <w:tcBorders>
              <w:top w:val="single" w:sz="8" w:color="0000FF"/>
              <w:bottom w:val="single" w:sz="8" w:color="0000FF"/>
            </w:tcBorders>
            <w:gridSpan w:val="29"/>
          </w:tcPr>
          <w:p>
            <w:pPr>
              <w:spacing w:after="0" w:line="115" w:lineRule="exact"/>
              <w:rPr>
                <w:rFonts w:ascii="Arial" w:cs="Arial" w:eastAsia="Arial" w:hAnsi="Arial"/>
                <w:sz w:val="13"/>
                <w:szCs w:val="13"/>
                <w:color w:val="0000FF"/>
              </w:rPr>
            </w:pPr>
            <w:hyperlink w:anchor="page78">
              <w:r>
                <w:rPr>
                  <w:rFonts w:ascii="Arial" w:cs="Arial" w:eastAsia="Arial" w:hAnsi="Arial"/>
                  <w:sz w:val="13"/>
                  <w:szCs w:val="13"/>
                  <w:color w:val="0000FF"/>
                </w:rPr>
                <w:t>to Section 302 of the Sarbanes-Oxley Act of 2002.</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340" w:type="dxa"/>
            <w:vAlign w:val="bottom"/>
            <w:gridSpan w:val="34"/>
          </w:tcPr>
          <w:p>
            <w:pPr>
              <w:spacing w:after="0"/>
              <w:rPr>
                <w:rFonts w:ascii="Arial" w:cs="Arial" w:eastAsia="Arial" w:hAnsi="Arial"/>
                <w:sz w:val="14"/>
                <w:szCs w:val="14"/>
                <w:color w:val="0000FF"/>
              </w:rPr>
            </w:pPr>
            <w:hyperlink w:anchor="page80">
              <w:r>
                <w:rPr>
                  <w:rFonts w:ascii="Arial" w:cs="Arial" w:eastAsia="Arial" w:hAnsi="Arial"/>
                  <w:sz w:val="14"/>
                  <w:szCs w:val="14"/>
                  <w:color w:val="0000FF"/>
                </w:rPr>
                <w:t>Certifications Pursuant to U.S.C. Section 1350, As</w:t>
              </w:r>
            </w:hyperlink>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280" w:type="dxa"/>
            <w:vAlign w:val="bottom"/>
            <w:tcBorders>
              <w:top w:val="single" w:sz="8" w:color="0000FF"/>
            </w:tcBorders>
            <w:gridSpan w:val="31"/>
          </w:tcPr>
          <w:p>
            <w:pPr>
              <w:spacing w:after="0" w:line="115" w:lineRule="exact"/>
              <w:rPr>
                <w:rFonts w:ascii="Arial" w:cs="Arial" w:eastAsia="Arial" w:hAnsi="Arial"/>
                <w:sz w:val="13"/>
                <w:szCs w:val="13"/>
                <w:color w:val="0000FF"/>
              </w:rPr>
            </w:pPr>
            <w:hyperlink w:anchor="page80">
              <w:r>
                <w:rPr>
                  <w:rFonts w:ascii="Arial" w:cs="Arial" w:eastAsia="Arial" w:hAnsi="Arial"/>
                  <w:sz w:val="13"/>
                  <w:szCs w:val="13"/>
                  <w:color w:val="0000FF"/>
                </w:rPr>
                <w:t>Adopted Pursuant to Section 906 of the Public</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2960" w:type="dxa"/>
            <w:vAlign w:val="bottom"/>
            <w:tcBorders>
              <w:top w:val="single" w:sz="8" w:color="0000FF"/>
            </w:tcBorders>
            <w:gridSpan w:val="18"/>
          </w:tcPr>
          <w:p>
            <w:pPr>
              <w:spacing w:after="0" w:line="115" w:lineRule="exact"/>
              <w:rPr>
                <w:rFonts w:ascii="Arial" w:cs="Arial" w:eastAsia="Arial" w:hAnsi="Arial"/>
                <w:sz w:val="13"/>
                <w:szCs w:val="13"/>
                <w:color w:val="0000FF"/>
              </w:rPr>
            </w:pPr>
            <w:hyperlink w:anchor="page80">
              <w:r>
                <w:rPr>
                  <w:rFonts w:ascii="Arial" w:cs="Arial" w:eastAsia="Arial" w:hAnsi="Arial"/>
                  <w:sz w:val="13"/>
                  <w:szCs w:val="13"/>
                  <w:color w:val="0000FF"/>
                </w:rPr>
                <w:t>Company Accounting Reform and Investor</w:t>
              </w:r>
            </w:hyperlink>
          </w:p>
        </w:tc>
        <w:tc>
          <w:tcPr>
            <w:tcW w:w="38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74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w:anchor="page80">
              <w:r>
                <w:rPr>
                  <w:rFonts w:ascii="Arial" w:cs="Arial" w:eastAsia="Arial" w:hAnsi="Arial"/>
                  <w:sz w:val="13"/>
                  <w:szCs w:val="13"/>
                  <w:color w:val="0000FF"/>
                </w:rPr>
                <w:t>Protection Act of 2002.</w:t>
              </w:r>
            </w:hyperlink>
          </w:p>
        </w:tc>
        <w:tc>
          <w:tcPr>
            <w:tcW w:w="600" w:type="dxa"/>
            <w:vAlign w:val="bottom"/>
            <w:gridSpan w:val="20"/>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188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0" w:type="dxa"/>
            <w:vAlign w:val="bottom"/>
          </w:tcPr>
          <w:p>
            <w:pPr>
              <w:spacing w:after="0"/>
              <w:rPr>
                <w:sz w:val="20"/>
                <w:szCs w:val="20"/>
                <w:color w:val="auto"/>
              </w:rPr>
            </w:pPr>
            <w:r>
              <w:rPr>
                <w:rFonts w:ascii="Arial" w:cs="Arial" w:eastAsia="Arial" w:hAnsi="Arial"/>
                <w:sz w:val="14"/>
                <w:szCs w:val="14"/>
                <w:color w:val="auto"/>
              </w:rPr>
              <w:t>101.SCH</w:t>
            </w:r>
          </w:p>
        </w:tc>
        <w:tc>
          <w:tcPr>
            <w:tcW w:w="3340" w:type="dxa"/>
            <w:vAlign w:val="bottom"/>
            <w:gridSpan w:val="34"/>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206"/>
        </w:trPr>
        <w:tc>
          <w:tcPr>
            <w:tcW w:w="840" w:type="dxa"/>
            <w:vAlign w:val="bottom"/>
          </w:tcPr>
          <w:p>
            <w:pPr>
              <w:spacing w:after="0"/>
              <w:rPr>
                <w:sz w:val="17"/>
                <w:szCs w:val="17"/>
                <w:color w:val="auto"/>
              </w:rPr>
            </w:pPr>
          </w:p>
        </w:tc>
        <w:tc>
          <w:tcPr>
            <w:tcW w:w="3340" w:type="dxa"/>
            <w:vAlign w:val="bottom"/>
            <w:gridSpan w:val="34"/>
          </w:tcPr>
          <w:p>
            <w:pPr>
              <w:spacing w:after="0"/>
              <w:rPr>
                <w:sz w:val="20"/>
                <w:szCs w:val="20"/>
                <w:color w:val="auto"/>
              </w:rPr>
            </w:pPr>
            <w:r>
              <w:rPr>
                <w:rFonts w:ascii="Arial" w:cs="Arial" w:eastAsia="Arial" w:hAnsi="Arial"/>
                <w:sz w:val="14"/>
                <w:szCs w:val="14"/>
                <w:color w:val="auto"/>
              </w:rPr>
              <w:t>XBRL Taxonomy Extension Calculation Linkbase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Arial" w:cs="Arial" w:eastAsia="Arial" w:hAnsi="Arial"/>
                <w:sz w:val="14"/>
                <w:szCs w:val="14"/>
                <w:color w:val="auto"/>
              </w:rPr>
              <w:t>101.CAL</w:t>
            </w:r>
          </w:p>
        </w:tc>
        <w:tc>
          <w:tcPr>
            <w:tcW w:w="3340" w:type="dxa"/>
            <w:vAlign w:val="bottom"/>
            <w:gridSpan w:val="34"/>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06"/>
        </w:trPr>
        <w:tc>
          <w:tcPr>
            <w:tcW w:w="840" w:type="dxa"/>
            <w:vAlign w:val="bottom"/>
          </w:tcPr>
          <w:p>
            <w:pPr>
              <w:spacing w:after="0"/>
              <w:rPr>
                <w:sz w:val="17"/>
                <w:szCs w:val="17"/>
                <w:color w:val="auto"/>
              </w:rPr>
            </w:pPr>
          </w:p>
        </w:tc>
        <w:tc>
          <w:tcPr>
            <w:tcW w:w="3340" w:type="dxa"/>
            <w:vAlign w:val="bottom"/>
            <w:gridSpan w:val="34"/>
          </w:tcPr>
          <w:p>
            <w:pPr>
              <w:spacing w:after="0"/>
              <w:rPr>
                <w:sz w:val="20"/>
                <w:szCs w:val="20"/>
                <w:color w:val="auto"/>
              </w:rPr>
            </w:pPr>
            <w:r>
              <w:rPr>
                <w:rFonts w:ascii="Arial" w:cs="Arial" w:eastAsia="Arial" w:hAnsi="Arial"/>
                <w:sz w:val="14"/>
                <w:szCs w:val="14"/>
                <w:color w:val="auto"/>
              </w:rPr>
              <w:t>XBRL Taxonomy Extension Definition Linkbase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Arial" w:cs="Arial" w:eastAsia="Arial" w:hAnsi="Arial"/>
                <w:sz w:val="14"/>
                <w:szCs w:val="14"/>
                <w:color w:val="auto"/>
              </w:rPr>
              <w:t>101.DEF</w:t>
            </w:r>
          </w:p>
        </w:tc>
        <w:tc>
          <w:tcPr>
            <w:tcW w:w="3340" w:type="dxa"/>
            <w:vAlign w:val="bottom"/>
            <w:gridSpan w:val="34"/>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06"/>
        </w:trPr>
        <w:tc>
          <w:tcPr>
            <w:tcW w:w="840" w:type="dxa"/>
            <w:vAlign w:val="bottom"/>
          </w:tcPr>
          <w:p>
            <w:pPr>
              <w:spacing w:after="0"/>
              <w:rPr>
                <w:sz w:val="17"/>
                <w:szCs w:val="17"/>
                <w:color w:val="auto"/>
              </w:rPr>
            </w:pPr>
          </w:p>
        </w:tc>
        <w:tc>
          <w:tcPr>
            <w:tcW w:w="3340" w:type="dxa"/>
            <w:vAlign w:val="bottom"/>
            <w:gridSpan w:val="34"/>
          </w:tcPr>
          <w:p>
            <w:pPr>
              <w:spacing w:after="0"/>
              <w:rPr>
                <w:sz w:val="20"/>
                <w:szCs w:val="20"/>
                <w:color w:val="auto"/>
              </w:rPr>
            </w:pPr>
            <w:r>
              <w:rPr>
                <w:rFonts w:ascii="Arial" w:cs="Arial" w:eastAsia="Arial" w:hAnsi="Arial"/>
                <w:sz w:val="14"/>
                <w:szCs w:val="14"/>
                <w:color w:val="auto"/>
              </w:rPr>
              <w:t>XBRL Taxonomy Extension Labels Linkbase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Arial" w:cs="Arial" w:eastAsia="Arial" w:hAnsi="Arial"/>
                <w:sz w:val="14"/>
                <w:szCs w:val="14"/>
                <w:color w:val="auto"/>
              </w:rPr>
              <w:t>101.LAB</w:t>
            </w:r>
          </w:p>
        </w:tc>
        <w:tc>
          <w:tcPr>
            <w:tcW w:w="3340" w:type="dxa"/>
            <w:vAlign w:val="bottom"/>
            <w:gridSpan w:val="34"/>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06"/>
        </w:trPr>
        <w:tc>
          <w:tcPr>
            <w:tcW w:w="840" w:type="dxa"/>
            <w:vAlign w:val="bottom"/>
          </w:tcPr>
          <w:p>
            <w:pPr>
              <w:spacing w:after="0"/>
              <w:rPr>
                <w:sz w:val="17"/>
                <w:szCs w:val="17"/>
                <w:color w:val="auto"/>
              </w:rPr>
            </w:pPr>
          </w:p>
        </w:tc>
        <w:tc>
          <w:tcPr>
            <w:tcW w:w="3340" w:type="dxa"/>
            <w:vAlign w:val="bottom"/>
            <w:gridSpan w:val="34"/>
          </w:tcPr>
          <w:p>
            <w:pPr>
              <w:spacing w:after="0"/>
              <w:rPr>
                <w:sz w:val="20"/>
                <w:szCs w:val="20"/>
                <w:color w:val="auto"/>
              </w:rPr>
            </w:pPr>
            <w:r>
              <w:rPr>
                <w:rFonts w:ascii="Arial" w:cs="Arial" w:eastAsia="Arial" w:hAnsi="Arial"/>
                <w:sz w:val="14"/>
                <w:szCs w:val="14"/>
                <w:color w:val="auto"/>
              </w:rPr>
              <w:t>XBRL Taxonomy Extension Presentation Linkbase</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Arial" w:cs="Arial" w:eastAsia="Arial" w:hAnsi="Arial"/>
                <w:sz w:val="14"/>
                <w:szCs w:val="14"/>
                <w:color w:val="auto"/>
              </w:rPr>
              <w:t>101.PRE</w:t>
            </w:r>
          </w:p>
        </w:tc>
        <w:tc>
          <w:tcPr>
            <w:tcW w:w="3340" w:type="dxa"/>
            <w:vAlign w:val="bottom"/>
            <w:gridSpan w:val="34"/>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40" w:type="dxa"/>
            <w:vAlign w:val="bottom"/>
          </w:tcPr>
          <w:p>
            <w:pPr>
              <w:jc w:val="center"/>
              <w:ind w:right="228"/>
              <w:spacing w:after="0"/>
              <w:rPr>
                <w:sz w:val="20"/>
                <w:szCs w:val="20"/>
                <w:color w:val="auto"/>
              </w:rPr>
            </w:pPr>
            <w:r>
              <w:rPr>
                <w:rFonts w:ascii="Arial" w:cs="Arial" w:eastAsia="Arial" w:hAnsi="Arial"/>
                <w:sz w:val="14"/>
                <w:szCs w:val="14"/>
                <w:color w:val="auto"/>
              </w:rPr>
              <w:t>8-K</w:t>
            </w:r>
          </w:p>
        </w:tc>
        <w:tc>
          <w:tcPr>
            <w:tcW w:w="130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3.1</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9/23/2019</w:t>
            </w:r>
          </w:p>
        </w:tc>
      </w:tr>
      <w:tr>
        <w:trPr>
          <w:trHeight w:val="216"/>
        </w:trPr>
        <w:tc>
          <w:tcPr>
            <w:tcW w:w="640" w:type="dxa"/>
            <w:vAlign w:val="bottom"/>
          </w:tcPr>
          <w:p>
            <w:pPr>
              <w:jc w:val="center"/>
              <w:ind w:right="228"/>
              <w:spacing w:after="0"/>
              <w:rPr>
                <w:sz w:val="20"/>
                <w:szCs w:val="20"/>
                <w:color w:val="auto"/>
              </w:rPr>
            </w:pPr>
            <w:r>
              <w:rPr>
                <w:rFonts w:ascii="Arial" w:cs="Arial" w:eastAsia="Arial" w:hAnsi="Arial"/>
                <w:sz w:val="14"/>
                <w:szCs w:val="14"/>
                <w:color w:val="auto"/>
              </w:rPr>
              <w:t>8-K</w:t>
            </w:r>
          </w:p>
        </w:tc>
        <w:tc>
          <w:tcPr>
            <w:tcW w:w="130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80" w:type="dxa"/>
            <w:vAlign w:val="bottom"/>
          </w:tcPr>
          <w:p>
            <w:pPr>
              <w:jc w:val="center"/>
              <w:spacing w:after="0"/>
              <w:rPr>
                <w:sz w:val="20"/>
                <w:szCs w:val="20"/>
                <w:color w:val="auto"/>
              </w:rPr>
            </w:pPr>
            <w:r>
              <w:rPr>
                <w:rFonts w:ascii="Arial" w:cs="Arial" w:eastAsia="Arial" w:hAnsi="Arial"/>
                <w:sz w:val="14"/>
                <w:szCs w:val="14"/>
                <w:color w:val="auto"/>
              </w:rPr>
              <w:t>3.2</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9/23/2019</w:t>
            </w:r>
          </w:p>
        </w:tc>
      </w:tr>
      <w:tr>
        <w:trPr>
          <w:trHeight w:val="32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4.1</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4.2</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4.3</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4.4</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216"/>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10.3</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32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10.4</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216"/>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10.5</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59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10.34</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32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10.35</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10.36</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0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880" w:type="dxa"/>
            <w:vAlign w:val="bottom"/>
          </w:tcPr>
          <w:p>
            <w:pPr>
              <w:jc w:val="center"/>
              <w:spacing w:after="0"/>
              <w:rPr>
                <w:sz w:val="20"/>
                <w:szCs w:val="20"/>
                <w:color w:val="auto"/>
              </w:rPr>
            </w:pPr>
            <w:r>
              <w:rPr>
                <w:rFonts w:ascii="Arial" w:cs="Arial" w:eastAsia="Arial" w:hAnsi="Arial"/>
                <w:sz w:val="14"/>
                <w:szCs w:val="14"/>
                <w:color w:val="auto"/>
              </w:rPr>
              <w:t>10.37</w:t>
            </w:r>
          </w:p>
        </w:tc>
        <w:tc>
          <w:tcPr>
            <w:tcW w:w="880" w:type="dxa"/>
            <w:vAlign w:val="bottom"/>
          </w:tcPr>
          <w:p>
            <w:pPr>
              <w:jc w:val="center"/>
              <w:ind w:left="168"/>
              <w:spacing w:after="0"/>
              <w:rPr>
                <w:sz w:val="20"/>
                <w:szCs w:val="20"/>
                <w:color w:val="auto"/>
              </w:rPr>
            </w:pPr>
            <w:r>
              <w:rPr>
                <w:rFonts w:ascii="Arial" w:cs="Arial" w:eastAsia="Arial" w:hAnsi="Arial"/>
                <w:sz w:val="14"/>
                <w:szCs w:val="14"/>
                <w:color w:val="auto"/>
              </w:rPr>
              <w:t>9/9/2019</w:t>
            </w:r>
          </w:p>
        </w:tc>
      </w:tr>
    </w:tbl>
    <w:p>
      <w:pPr>
        <w:spacing w:after="0" w:line="287" w:lineRule="exact"/>
        <w:rPr>
          <w:sz w:val="20"/>
          <w:szCs w:val="20"/>
          <w:color w:val="auto"/>
        </w:rPr>
      </w:pPr>
    </w:p>
    <w:p>
      <w:pPr>
        <w:jc w:val="right"/>
        <w:ind w:right="360"/>
        <w:spacing w:after="0"/>
        <w:rPr>
          <w:sz w:val="20"/>
          <w:szCs w:val="20"/>
          <w:color w:val="auto"/>
        </w:rPr>
      </w:pPr>
      <w:r>
        <w:rPr>
          <w:rFonts w:ascii="Arial" w:cs="Arial" w:eastAsia="Arial" w:hAnsi="Arial"/>
          <w:sz w:val="14"/>
          <w:szCs w:val="14"/>
          <w:color w:val="auto"/>
        </w:rPr>
        <w:t>X</w:t>
      </w:r>
    </w:p>
    <w:p>
      <w:pPr>
        <w:spacing w:after="0" w:line="298" w:lineRule="exact"/>
        <w:rPr>
          <w:sz w:val="20"/>
          <w:szCs w:val="20"/>
          <w:color w:val="auto"/>
        </w:rPr>
      </w:pPr>
    </w:p>
    <w:p>
      <w:pPr>
        <w:jc w:val="right"/>
        <w:ind w:right="36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jc w:val="right"/>
        <w:ind w:right="360"/>
        <w:spacing w:after="0"/>
        <w:rPr>
          <w:sz w:val="20"/>
          <w:szCs w:val="20"/>
          <w:color w:val="auto"/>
        </w:rPr>
      </w:pPr>
      <w:r>
        <w:rPr>
          <w:rFonts w:ascii="Arial" w:cs="Arial" w:eastAsia="Arial" w:hAnsi="Arial"/>
          <w:sz w:val="14"/>
          <w:szCs w:val="14"/>
          <w:color w:val="auto"/>
        </w:rPr>
        <w:t>X</w:t>
      </w:r>
    </w:p>
    <w:p>
      <w:pPr>
        <w:spacing w:after="0" w:line="55" w:lineRule="exact"/>
        <w:rPr>
          <w:sz w:val="20"/>
          <w:szCs w:val="20"/>
          <w:color w:val="auto"/>
        </w:rPr>
      </w:pPr>
    </w:p>
    <w:p>
      <w:pPr>
        <w:jc w:val="right"/>
        <w:ind w:right="36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jc w:val="right"/>
        <w:ind w:right="36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jc w:val="right"/>
        <w:ind w:right="36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jc w:val="right"/>
        <w:ind w:right="360"/>
        <w:spacing w:after="0"/>
        <w:rPr>
          <w:sz w:val="20"/>
          <w:szCs w:val="20"/>
          <w:color w:val="auto"/>
        </w:rPr>
      </w:pPr>
      <w:r>
        <w:rPr>
          <w:rFonts w:ascii="Arial" w:cs="Arial" w:eastAsia="Arial" w:hAnsi="Arial"/>
          <w:sz w:val="14"/>
          <w:szCs w:val="14"/>
          <w:color w:val="auto"/>
        </w:rPr>
        <w:t>X</w:t>
      </w:r>
    </w:p>
    <w:p>
      <w:pPr>
        <w:spacing w:after="0" w:line="217" w:lineRule="exact"/>
        <w:rPr>
          <w:sz w:val="20"/>
          <w:szCs w:val="20"/>
          <w:color w:val="auto"/>
        </w:rPr>
      </w:pPr>
    </w:p>
    <w:p>
      <w:pPr>
        <w:jc w:val="right"/>
        <w:ind w:right="360"/>
        <w:spacing w:after="0"/>
        <w:rPr>
          <w:sz w:val="20"/>
          <w:szCs w:val="20"/>
          <w:color w:val="auto"/>
        </w:rPr>
      </w:pPr>
      <w:r>
        <w:rPr>
          <w:rFonts w:ascii="Arial" w:cs="Arial" w:eastAsia="Arial" w:hAnsi="Arial"/>
          <w:sz w:val="14"/>
          <w:szCs w:val="14"/>
          <w:color w:val="auto"/>
        </w:rPr>
        <w:t>X</w:t>
      </w:r>
    </w:p>
    <w:p>
      <w:pPr>
        <w:spacing w:after="0" w:line="211" w:lineRule="exact"/>
        <w:rPr>
          <w:sz w:val="20"/>
          <w:szCs w:val="20"/>
          <w:color w:val="auto"/>
        </w:rPr>
      </w:pPr>
    </w:p>
    <w:p>
      <w:pPr>
        <w:sectPr>
          <w:pgSz w:w="11900" w:h="16838" w:orient="portrait"/>
          <w:cols w:equalWidth="0" w:num="2">
            <w:col w:w="4060" w:space="340"/>
            <w:col w:w="5020"/>
          </w:cols>
          <w:pgMar w:left="1120" w:top="886"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85090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420"/>
          </w:cols>
          <w:pgMar w:left="1120" w:top="886" w:right="1359" w:bottom="1440" w:gutter="0" w:footer="0" w:header="0"/>
          <w:type w:val="continuous"/>
        </w:sectPr>
      </w:pPr>
    </w:p>
    <w:bookmarkStart w:id="73" w:name="page74"/>
    <w:bookmarkEnd w:id="73"/>
    <w:p>
      <w:pPr>
        <w:jc w:val="right"/>
        <w:ind w:left="643" w:hanging="643"/>
        <w:spacing w:after="0" w:line="250" w:lineRule="auto"/>
        <w:tabs>
          <w:tab w:leader="none" w:pos="164"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3"/>
        <w:spacing w:after="0"/>
        <w:rPr>
          <w:sz w:val="20"/>
          <w:szCs w:val="20"/>
          <w:color w:val="auto"/>
        </w:rPr>
      </w:pPr>
      <w:r>
        <w:rPr>
          <w:rFonts w:ascii="Arial" w:cs="Arial" w:eastAsia="Arial" w:hAnsi="Arial"/>
          <w:sz w:val="18"/>
          <w:szCs w:val="18"/>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023"/>
          </w:cols>
          <w:pgMar w:left="977" w:top="908" w:right="899" w:bottom="1440" w:gutter="0" w:footer="0" w:header="0"/>
        </w:sectPr>
      </w:pPr>
    </w:p>
    <w:bookmarkStart w:id="74" w:name="page75"/>
    <w:bookmarkEnd w:id="74"/>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EXAGEN INC.</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6320" w:val="left"/>
          <w:tab w:leader="none" w:pos="696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5215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Fortunato Ron Rocca</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Executive Officer)</w:t>
      </w:r>
    </w:p>
    <w:p>
      <w:pPr>
        <w:spacing w:after="0" w:line="320" w:lineRule="exact"/>
        <w:rPr>
          <w:sz w:val="20"/>
          <w:szCs w:val="20"/>
          <w:color w:val="auto"/>
        </w:rPr>
      </w:pPr>
    </w:p>
    <w:p>
      <w:pPr>
        <w:ind w:left="20"/>
        <w:spacing w:after="0"/>
        <w:tabs>
          <w:tab w:leader="none" w:pos="6320" w:val="left"/>
          <w:tab w:leader="none" w:pos="6960" w:val="left"/>
        </w:tabs>
        <w:rPr>
          <w:sz w:val="20"/>
          <w:szCs w:val="20"/>
          <w:color w:val="auto"/>
        </w:rPr>
      </w:pPr>
      <w:r>
        <w:rPr>
          <w:rFonts w:ascii="Arial" w:cs="Arial" w:eastAsia="Arial" w:hAnsi="Arial"/>
          <w:sz w:val="18"/>
          <w:szCs w:val="18"/>
          <w:color w:val="auto"/>
        </w:rPr>
        <w:t>Date: November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14605</wp:posOffset>
            </wp:positionV>
            <wp:extent cx="25215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Kamal Adawi</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240" w:top="887" w:right="5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Fortunato Ron Rocca, certify that:</w:t>
      </w:r>
    </w:p>
    <w:p>
      <w:pPr>
        <w:spacing w:after="0" w:line="306"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560" w:firstLine="8"/>
        <w:spacing w:after="0" w:line="356" w:lineRule="auto"/>
        <w:tabs>
          <w:tab w:leader="none" w:pos="3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right="560" w:firstLine="8"/>
        <w:spacing w:after="0" w:line="356" w:lineRule="auto"/>
        <w:tabs>
          <w:tab w:leader="none" w:pos="3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2" w:lineRule="exact"/>
        <w:rPr>
          <w:rFonts w:ascii="Arial" w:cs="Arial" w:eastAsia="Arial" w:hAnsi="Arial"/>
          <w:sz w:val="18"/>
          <w:szCs w:val="18"/>
          <w:color w:val="auto"/>
        </w:rPr>
      </w:pPr>
    </w:p>
    <w:p>
      <w:pPr>
        <w:ind w:right="100" w:firstLine="332"/>
        <w:spacing w:after="0" w:line="350" w:lineRule="auto"/>
        <w:tabs>
          <w:tab w:leader="none" w:pos="78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00" w:hanging="468"/>
        <w:spacing w:after="0"/>
        <w:tabs>
          <w:tab w:leader="none" w:pos="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right="120" w:firstLine="332"/>
        <w:spacing w:after="0" w:line="356" w:lineRule="auto"/>
        <w:tabs>
          <w:tab w:leader="none" w:pos="779"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right="400" w:firstLine="332"/>
        <w:spacing w:after="0" w:line="350" w:lineRule="auto"/>
        <w:tabs>
          <w:tab w:leader="none" w:pos="80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sz w:val="20"/>
          <w:szCs w:val="20"/>
          <w:color w:val="auto"/>
        </w:rPr>
      </w:pPr>
    </w:p>
    <w:p>
      <w:pPr>
        <w:ind w:right="440" w:firstLine="332"/>
        <w:spacing w:after="0" w:line="350" w:lineRule="auto"/>
        <w:tabs>
          <w:tab w:leader="none" w:pos="7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sz w:val="20"/>
          <w:szCs w:val="20"/>
          <w:color w:val="auto"/>
        </w:rPr>
      </w:pPr>
    </w:p>
    <w:p>
      <w:pPr>
        <w:ind w:right="300" w:firstLine="332"/>
        <w:spacing w:after="0" w:line="356" w:lineRule="auto"/>
        <w:tabs>
          <w:tab w:leader="none" w:pos="7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995" w:right="239" w:bottom="1440" w:gutter="0" w:footer="0" w:header="0"/>
        </w:sectPr>
      </w:pPr>
    </w:p>
    <w:bookmarkStart w:id="76" w:name="page77"/>
    <w:bookmarkEnd w:id="76"/>
    <w:p>
      <w:pPr>
        <w:ind w:left="-20" w:firstLine="332"/>
        <w:spacing w:after="0" w:line="356" w:lineRule="auto"/>
        <w:tabs>
          <w:tab w:leader="none" w:pos="76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40" w:type="dxa"/>
            <w:vAlign w:val="bottom"/>
          </w:tcPr>
          <w:p>
            <w:pPr>
              <w:spacing w:after="0"/>
              <w:rPr>
                <w:sz w:val="20"/>
                <w:szCs w:val="20"/>
                <w:color w:val="auto"/>
              </w:rPr>
            </w:pPr>
            <w:r>
              <w:rPr>
                <w:rFonts w:ascii="Arial" w:cs="Arial" w:eastAsia="Arial" w:hAnsi="Arial"/>
                <w:sz w:val="18"/>
                <w:szCs w:val="18"/>
                <w:color w:val="auto"/>
              </w:rPr>
              <w:t>Date: November 12, 2019</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Fortunato Ron Rocca</w:t>
            </w:r>
          </w:p>
        </w:tc>
      </w:tr>
      <w:tr>
        <w:trPr>
          <w:trHeight w:val="243"/>
        </w:trPr>
        <w:tc>
          <w:tcPr>
            <w:tcW w:w="514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Fortunato Ron Rocca</w:t>
            </w:r>
          </w:p>
        </w:tc>
      </w:tr>
      <w:tr>
        <w:trPr>
          <w:trHeight w:val="324"/>
        </w:trPr>
        <w:tc>
          <w:tcPr>
            <w:tcW w:w="5140" w:type="dxa"/>
            <w:vAlign w:val="bottom"/>
          </w:tcPr>
          <w:p>
            <w:pPr>
              <w:spacing w:after="0"/>
              <w:rPr>
                <w:sz w:val="24"/>
                <w:szCs w:val="24"/>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338"/>
        </w:trPr>
        <w:tc>
          <w:tcPr>
            <w:tcW w:w="5140" w:type="dxa"/>
            <w:vAlign w:val="bottom"/>
          </w:tcPr>
          <w:p>
            <w:pPr>
              <w:spacing w:after="0"/>
              <w:rPr>
                <w:sz w:val="24"/>
                <w:szCs w:val="24"/>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0860"/>
          </w:cols>
          <w:pgMar w:left="260" w:top="1111" w:right="77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53"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560" w:firstLine="8"/>
        <w:spacing w:after="0" w:line="356" w:lineRule="auto"/>
        <w:tabs>
          <w:tab w:leader="none" w:pos="3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right="560" w:firstLine="8"/>
        <w:spacing w:after="0" w:line="356" w:lineRule="auto"/>
        <w:tabs>
          <w:tab w:leader="none" w:pos="3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2" w:lineRule="exact"/>
        <w:rPr>
          <w:rFonts w:ascii="Arial" w:cs="Arial" w:eastAsia="Arial" w:hAnsi="Arial"/>
          <w:sz w:val="18"/>
          <w:szCs w:val="18"/>
          <w:color w:val="auto"/>
        </w:rPr>
      </w:pPr>
    </w:p>
    <w:p>
      <w:pPr>
        <w:ind w:right="100" w:firstLine="332"/>
        <w:spacing w:after="0" w:line="350" w:lineRule="auto"/>
        <w:tabs>
          <w:tab w:leader="none" w:pos="78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00" w:hanging="468"/>
        <w:spacing w:after="0"/>
        <w:tabs>
          <w:tab w:leader="none" w:pos="8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right="120" w:firstLine="332"/>
        <w:spacing w:after="0" w:line="356" w:lineRule="auto"/>
        <w:tabs>
          <w:tab w:leader="none" w:pos="779"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8"/>
          <w:szCs w:val="18"/>
          <w:color w:val="auto"/>
        </w:rPr>
      </w:pPr>
    </w:p>
    <w:p>
      <w:pPr>
        <w:jc w:val="both"/>
        <w:ind w:right="400" w:firstLine="332"/>
        <w:spacing w:after="0" w:line="350" w:lineRule="auto"/>
        <w:tabs>
          <w:tab w:leader="none" w:pos="8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sz w:val="20"/>
          <w:szCs w:val="20"/>
          <w:color w:val="auto"/>
        </w:rPr>
      </w:pPr>
    </w:p>
    <w:p>
      <w:pPr>
        <w:ind w:right="440" w:firstLine="332"/>
        <w:spacing w:after="0" w:line="350" w:lineRule="auto"/>
        <w:tabs>
          <w:tab w:leader="none" w:pos="7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sz w:val="20"/>
          <w:szCs w:val="20"/>
          <w:color w:val="auto"/>
        </w:rPr>
      </w:pPr>
    </w:p>
    <w:p>
      <w:pPr>
        <w:ind w:right="300" w:firstLine="332"/>
        <w:spacing w:after="0" w:line="356" w:lineRule="auto"/>
        <w:tabs>
          <w:tab w:leader="none" w:pos="78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994" w:right="239" w:bottom="1440" w:gutter="0" w:footer="0" w:header="0"/>
        </w:sectPr>
      </w:pPr>
    </w:p>
    <w:bookmarkStart w:id="78" w:name="page79"/>
    <w:bookmarkEnd w:id="78"/>
    <w:p>
      <w:pPr>
        <w:ind w:left="-20" w:firstLine="332"/>
        <w:spacing w:after="0" w:line="356" w:lineRule="auto"/>
        <w:tabs>
          <w:tab w:leader="none" w:pos="769"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140" w:type="dxa"/>
            <w:vAlign w:val="bottom"/>
          </w:tcPr>
          <w:p>
            <w:pPr>
              <w:spacing w:after="0"/>
              <w:rPr>
                <w:sz w:val="20"/>
                <w:szCs w:val="20"/>
                <w:color w:val="auto"/>
              </w:rPr>
            </w:pPr>
            <w:r>
              <w:rPr>
                <w:rFonts w:ascii="Arial" w:cs="Arial" w:eastAsia="Arial" w:hAnsi="Arial"/>
                <w:sz w:val="18"/>
                <w:szCs w:val="18"/>
                <w:color w:val="auto"/>
              </w:rPr>
              <w:t>Date: November 12, 2019</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43"/>
        </w:trPr>
        <w:tc>
          <w:tcPr>
            <w:tcW w:w="5140" w:type="dxa"/>
            <w:vAlign w:val="bottom"/>
          </w:tcPr>
          <w:p>
            <w:pPr>
              <w:spacing w:after="0"/>
              <w:rPr>
                <w:sz w:val="21"/>
                <w:szCs w:val="21"/>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324"/>
        </w:trPr>
        <w:tc>
          <w:tcPr>
            <w:tcW w:w="5140" w:type="dxa"/>
            <w:vAlign w:val="bottom"/>
          </w:tcPr>
          <w:p>
            <w:pPr>
              <w:spacing w:after="0"/>
              <w:rPr>
                <w:sz w:val="24"/>
                <w:szCs w:val="24"/>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338"/>
        </w:trPr>
        <w:tc>
          <w:tcPr>
            <w:tcW w:w="5140" w:type="dxa"/>
            <w:vAlign w:val="bottom"/>
          </w:tcPr>
          <w:p>
            <w:pPr>
              <w:spacing w:after="0"/>
              <w:rPr>
                <w:sz w:val="24"/>
                <w:szCs w:val="24"/>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0860"/>
          </w:cols>
          <w:pgMar w:left="260" w:top="1111" w:right="77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317" w:lineRule="exact"/>
        <w:rPr>
          <w:sz w:val="20"/>
          <w:szCs w:val="20"/>
          <w:color w:val="auto"/>
        </w:rPr>
      </w:pPr>
    </w:p>
    <w:p>
      <w:pPr>
        <w:ind w:right="100"/>
        <w:spacing w:after="0" w:line="348" w:lineRule="auto"/>
        <w:rPr>
          <w:sz w:val="20"/>
          <w:szCs w:val="20"/>
          <w:color w:val="auto"/>
        </w:rPr>
      </w:pPr>
      <w:r>
        <w:rPr>
          <w:rFonts w:ascii="Arial" w:cs="Arial" w:eastAsia="Arial" w:hAnsi="Arial"/>
          <w:sz w:val="18"/>
          <w:szCs w:val="18"/>
          <w:color w:val="auto"/>
        </w:rPr>
        <w:t>In connection with the Quarterly Report on Form 10-Q of Exagen Inc. (the “Company”) for the quarter ended September 30, 2019, as filed with the Securities and Exchange Commission on the date hereof (the “Report”), Fortunato Ron Rocca, the President and Chief Executive Officer, and Kamal Adawi, the Chief Financial Officer of the Company, each hereby certifies, pursuant to 18 U.S.C. Section 1350, as adopted pursuant to Section 906 of the Sarbanes-Oxley Act of 2002, that to his knowledge:</w:t>
      </w:r>
    </w:p>
    <w:p>
      <w:pPr>
        <w:spacing w:after="0" w:line="150" w:lineRule="exact"/>
        <w:rPr>
          <w:sz w:val="20"/>
          <w:szCs w:val="20"/>
          <w:color w:val="auto"/>
        </w:rPr>
      </w:pPr>
    </w:p>
    <w:p>
      <w:pPr>
        <w:ind w:right="500" w:firstLine="8"/>
        <w:spacing w:after="0" w:line="356" w:lineRule="auto"/>
        <w:tabs>
          <w:tab w:leader="none" w:pos="4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142" w:lineRule="exact"/>
        <w:rPr>
          <w:rFonts w:ascii="Arial" w:cs="Arial" w:eastAsia="Arial" w:hAnsi="Arial"/>
          <w:sz w:val="18"/>
          <w:szCs w:val="18"/>
          <w:color w:val="auto"/>
        </w:rPr>
      </w:pPr>
    </w:p>
    <w:p>
      <w:pPr>
        <w:ind w:right="360" w:firstLine="8"/>
        <w:spacing w:after="0" w:line="356" w:lineRule="auto"/>
        <w:tabs>
          <w:tab w:leader="none" w:pos="4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/s/ Fortunato Ron Rocca</w:t>
            </w:r>
          </w:p>
        </w:tc>
        <w:tc>
          <w:tcPr>
            <w:tcW w:w="5020" w:type="dxa"/>
            <w:vAlign w:val="bottom"/>
          </w:tcPr>
          <w:p>
            <w:pPr>
              <w:ind w:left="20"/>
              <w:spacing w:after="0"/>
              <w:rPr>
                <w:sz w:val="20"/>
                <w:szCs w:val="20"/>
                <w:color w:val="auto"/>
              </w:rPr>
            </w:pPr>
            <w:r>
              <w:rPr>
                <w:rFonts w:ascii="Arial" w:cs="Arial" w:eastAsia="Arial" w:hAnsi="Arial"/>
                <w:sz w:val="18"/>
                <w:szCs w:val="18"/>
                <w:color w:val="auto"/>
              </w:rPr>
              <w:t>/s/ Kamal Adawi</w:t>
            </w:r>
          </w:p>
        </w:tc>
      </w:tr>
      <w:tr>
        <w:trPr>
          <w:trHeight w:val="95"/>
        </w:trPr>
        <w:tc>
          <w:tcPr>
            <w:tcW w:w="50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r>
      <w:tr>
        <w:trPr>
          <w:trHeight w:val="237"/>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Fortunato Ron Rocca</w:t>
            </w:r>
          </w:p>
        </w:tc>
        <w:tc>
          <w:tcPr>
            <w:tcW w:w="502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350"/>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President and Chief Executive Officer</w:t>
            </w:r>
          </w:p>
        </w:tc>
        <w:tc>
          <w:tcPr>
            <w:tcW w:w="502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17"/>
        </w:trPr>
        <w:tc>
          <w:tcPr>
            <w:tcW w:w="5220" w:type="dxa"/>
            <w:vAlign w:val="bottom"/>
            <w:gridSpan w:val="2"/>
          </w:tcPr>
          <w:p>
            <w:pPr>
              <w:ind w:left="80"/>
              <w:spacing w:after="0"/>
              <w:rPr>
                <w:sz w:val="20"/>
                <w:szCs w:val="20"/>
                <w:color w:val="auto"/>
              </w:rPr>
            </w:pPr>
            <w:r>
              <w:rPr>
                <w:rFonts w:ascii="Arial" w:cs="Arial" w:eastAsia="Arial" w:hAnsi="Arial"/>
                <w:sz w:val="18"/>
                <w:szCs w:val="18"/>
                <w:color w:val="auto"/>
              </w:rPr>
              <w:t>(Principal Executive Officer)</w:t>
            </w:r>
          </w:p>
        </w:tc>
        <w:tc>
          <w:tcPr>
            <w:tcW w:w="5020" w:type="dxa"/>
            <w:vAlign w:val="bottom"/>
          </w:tcPr>
          <w:p>
            <w:pPr>
              <w:ind w:left="8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60"/>
        <w:spacing w:after="0" w:line="347" w:lineRule="auto"/>
        <w:rPr>
          <w:sz w:val="20"/>
          <w:szCs w:val="20"/>
          <w:color w:val="auto"/>
        </w:rPr>
      </w:pPr>
      <w:r>
        <w:rPr>
          <w:rFonts w:ascii="Arial" w:cs="Arial" w:eastAsia="Arial" w:hAnsi="Arial"/>
          <w:sz w:val="18"/>
          <w:szCs w:val="18"/>
          <w:color w:val="auto"/>
        </w:rPr>
        <w:t>A signed original of this written statement required by Section 906 has been provided to Exagen Inc. and will be retained by Exagen Inc. and furnished to the Securities and Exchange Commission or its staff upon request. These certifications will not be deemed “filed” for purposes of Section 18 of the Securities Exchange Act of 1934, as amended, or otherwise subject to the liability of that section, nor will these certifications be deemed to be incorporated by reference into any filing under the Securities Act of 1933, as amended, or the Securities Exchange Act of 1934, as amended, except to the extent that the registrant specifically incorporates them by reference.</w:t>
      </w: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lvl w:ilvl="1">
      <w:lvlJc w:val="left"/>
      <w:lvlText w:val="(%2)"/>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2"/>
    </w:lvl>
  </w:abstractNum>
  <w:abstractNum w:abstractNumId="31">
    <w:nsid w:val="614FD4A1"/>
    <w:multiLevelType w:val="hybridMultilevel"/>
    <w:lvl w:ilvl="0">
      <w:lvlJc w:val="left"/>
      <w:lvlText w:val="%1."/>
      <w:numFmt w:val="decimal"/>
      <w:start w:val="1"/>
    </w:lvl>
    <w:lvl w:ilvl="1">
      <w:lvlJc w:val="left"/>
      <w:lvlText w:val="(%2)"/>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lowerLetter"/>
      <w:start w:val="2"/>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84" Type="http://schemas.openxmlformats.org/officeDocument/2006/relationships/hyperlink" Target="http://www.sec.gov/Archives/edgar/data/1274737/000119312519252366/d769261dex31.htm" TargetMode="External"/><Relationship Id="rId85" Type="http://schemas.openxmlformats.org/officeDocument/2006/relationships/hyperlink" Target="http://www.sec.gov/Archives/edgar/data/1274737/000119312519252366/d769261dex32.htm" TargetMode="External"/><Relationship Id="rId86" Type="http://schemas.openxmlformats.org/officeDocument/2006/relationships/hyperlink" Target="http://www.sec.gov/Archives/edgar/data/1274737/000119312519240403/d692844dex41.htm" TargetMode="External"/><Relationship Id="rId87" Type="http://schemas.openxmlformats.org/officeDocument/2006/relationships/hyperlink" Target="http://www.sec.gov/Archives/edgar/data/1274737/000119312519228011/d692844dex42.htm" TargetMode="External"/><Relationship Id="rId88" Type="http://schemas.openxmlformats.org/officeDocument/2006/relationships/hyperlink" Target="http://www.sec.gov/Archives/edgar/data/1274737/000119312519228011/d692844dex43.htm" TargetMode="External"/><Relationship Id="rId89" Type="http://schemas.openxmlformats.org/officeDocument/2006/relationships/hyperlink" Target="http://www.sec.gov/Archives/edgar/data/1274737/000119312519228011/d692844dex44.htm" TargetMode="External"/><Relationship Id="rId90" Type="http://schemas.openxmlformats.org/officeDocument/2006/relationships/hyperlink" Target="http://www.sec.gov/Archives/edgar/data/1274737/000119312519240403/d692844dex103.htm" TargetMode="External"/><Relationship Id="rId91" Type="http://schemas.openxmlformats.org/officeDocument/2006/relationships/hyperlink" Target="http://www.sec.gov/Archives/edgar/data/1274737/000119312519240403/d692844dex104.htm" TargetMode="External"/><Relationship Id="rId92" Type="http://schemas.openxmlformats.org/officeDocument/2006/relationships/hyperlink" Target="http://www.sec.gov/Archives/edgar/data/1274737/000119312519240403/d692844dex105.htm" TargetMode="External"/><Relationship Id="rId93" Type="http://schemas.openxmlformats.org/officeDocument/2006/relationships/hyperlink" Target="http://www.sec.gov/Archives/edgar/data/1274737/000119312519240403/d692844dex1034.htm" TargetMode="External"/><Relationship Id="rId94" Type="http://schemas.openxmlformats.org/officeDocument/2006/relationships/hyperlink" Target="http://www.sec.gov/Archives/edgar/data/1274737/000119312519228011/d692844dex1034.htm" TargetMode="External"/><Relationship Id="rId95" Type="http://schemas.openxmlformats.org/officeDocument/2006/relationships/hyperlink" Target="http://www.sec.gov/Archives/edgar/data/1274737/000119312519240403/d692844dex1036.htm" TargetMode="External"/><Relationship Id="rId96" Type="http://schemas.openxmlformats.org/officeDocument/2006/relationships/hyperlink" Target="http://www.sec.gov/Archives/edgar/data/1274737/000119312519240403/d692844dex10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2019-12-28T01:41:26Z</dcterms:created>
  <dcterms:modified xsi:type="dcterms:W3CDTF">2019-12-28T01:41:26Z</dcterms:modified>
</cp:coreProperties>
</file>