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rFonts w:ascii="MS PGothic" w:cs="MS PGothic" w:eastAsia="MS PGothic" w:hAnsi="MS PGothic"/>
          <w:sz w:val="22"/>
          <w:szCs w:val="22"/>
          <w:color w:val="auto"/>
          <w:highlight w:val="black"/>
        </w:rPr>
      </w:pPr>
    </w:p>
    <w:p>
      <w:pPr>
        <w:ind w:left="380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quarterly period ended June 30, 2022</w:t>
      </w:r>
    </w:p>
    <w:p>
      <w:pPr>
        <w:spacing w:after="0" w:line="60"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3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680" w:type="dxa"/>
            <w:vAlign w:val="bottom"/>
          </w:tcPr>
          <w:p>
            <w:pPr>
              <w:spacing w:after="0"/>
              <w:rPr>
                <w:sz w:val="21"/>
                <w:szCs w:val="21"/>
                <w:color w:val="auto"/>
              </w:rPr>
            </w:pPr>
          </w:p>
        </w:tc>
      </w:tr>
      <w:tr>
        <w:trPr>
          <w:trHeight w:val="694"/>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4"/>
          </w:tcPr>
          <w:p>
            <w:pPr>
              <w:jc w:val="center"/>
              <w:ind w:right="58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6"/>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r>
      <w:tr>
        <w:trPr>
          <w:trHeight w:val="216"/>
        </w:trPr>
        <w:tc>
          <w:tcPr>
            <w:tcW w:w="3020" w:type="dxa"/>
            <w:vAlign w:val="bottom"/>
          </w:tcPr>
          <w:p>
            <w:pPr>
              <w:jc w:val="center"/>
              <w:ind w:left="2268"/>
              <w:spacing w:after="0"/>
              <w:rPr>
                <w:sz w:val="20"/>
                <w:szCs w:val="20"/>
                <w:color w:val="auto"/>
              </w:rPr>
            </w:pPr>
            <w:r>
              <w:rPr>
                <w:rFonts w:ascii="Arial" w:cs="Arial" w:eastAsia="Arial" w:hAnsi="Arial"/>
                <w:sz w:val="14"/>
                <w:szCs w:val="14"/>
                <w:b w:val="1"/>
                <w:bCs w:val="1"/>
                <w:color w:val="auto"/>
              </w:rPr>
              <w:t>Delaware</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55"/>
        </w:trPr>
        <w:tc>
          <w:tcPr>
            <w:tcW w:w="3740" w:type="dxa"/>
            <w:vAlign w:val="bottom"/>
            <w:gridSpan w:val="2"/>
          </w:tcPr>
          <w:p>
            <w:pPr>
              <w:jc w:val="center"/>
              <w:ind w:left="1528"/>
              <w:spacing w:after="0" w:line="155"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80" w:type="dxa"/>
            <w:vAlign w:val="bottom"/>
          </w:tcPr>
          <w:p>
            <w:pPr>
              <w:jc w:val="center"/>
              <w:ind w:right="788"/>
              <w:spacing w:after="0" w:line="15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40" w:type="dxa"/>
            <w:vAlign w:val="bottom"/>
            <w:gridSpan w:val="2"/>
          </w:tcPr>
          <w:p>
            <w:pPr>
              <w:jc w:val="center"/>
              <w:ind w:left="152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97"/>
        </w:trPr>
        <w:tc>
          <w:tcPr>
            <w:tcW w:w="3020" w:type="dxa"/>
            <w:vAlign w:val="bottom"/>
          </w:tcPr>
          <w:p>
            <w:pPr>
              <w:ind w:left="1840"/>
              <w:spacing w:after="0"/>
              <w:rPr>
                <w:sz w:val="20"/>
                <w:szCs w:val="20"/>
                <w:color w:val="auto"/>
              </w:rPr>
            </w:pPr>
            <w:r>
              <w:rPr>
                <w:rFonts w:ascii="Arial" w:cs="Arial" w:eastAsia="Arial" w:hAnsi="Arial"/>
                <w:sz w:val="14"/>
                <w:szCs w:val="14"/>
                <w:b w:val="1"/>
                <w:bCs w:val="1"/>
                <w:color w:val="auto"/>
              </w:rPr>
              <w:t>1261 Liberty Way</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ind w:left="1680"/>
              <w:spacing w:after="0"/>
              <w:rPr>
                <w:sz w:val="20"/>
                <w:szCs w:val="20"/>
                <w:color w:val="auto"/>
              </w:rPr>
            </w:pPr>
            <w:r>
              <w:rPr>
                <w:rFonts w:ascii="Arial" w:cs="Arial" w:eastAsia="Arial" w:hAnsi="Arial"/>
                <w:sz w:val="14"/>
                <w:szCs w:val="14"/>
                <w:b w:val="1"/>
                <w:bCs w:val="1"/>
                <w:color w:val="auto"/>
              </w:rPr>
              <w:t>Vista,</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California</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24"/>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291"/>
        </w:trPr>
        <w:tc>
          <w:tcPr>
            <w:tcW w:w="3740" w:type="dxa"/>
            <w:vAlign w:val="bottom"/>
            <w:gridSpan w:val="2"/>
          </w:tcPr>
          <w:p>
            <w:pPr>
              <w:jc w:val="right"/>
              <w:spacing w:after="0"/>
              <w:rPr>
                <w:sz w:val="20"/>
                <w:szCs w:val="20"/>
                <w:color w:val="auto"/>
              </w:rPr>
            </w:pPr>
            <w:r>
              <w:rPr>
                <w:rFonts w:ascii="Arial" w:cs="Arial" w:eastAsia="Arial" w:hAnsi="Arial"/>
                <w:sz w:val="14"/>
                <w:szCs w:val="14"/>
                <w:color w:val="auto"/>
              </w:rPr>
              <w:t>Securities registered pursuant to Section 12(b) of the Act: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7"/>
        </w:trPr>
        <w:tc>
          <w:tcPr>
            <w:tcW w:w="30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7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Common Stock, par value $0.001 per share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XGN</w:t>
            </w:r>
          </w:p>
        </w:tc>
        <w:tc>
          <w:tcPr>
            <w:tcW w:w="3680" w:type="dxa"/>
            <w:vAlign w:val="bottom"/>
          </w:tcPr>
          <w:p>
            <w:pPr>
              <w:jc w:val="center"/>
              <w:ind w:right="3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49" w:lineRule="exact"/>
        <w:rPr>
          <w:sz w:val="24"/>
          <w:szCs w:val="24"/>
          <w:color w:val="auto"/>
        </w:rPr>
      </w:pPr>
    </w:p>
    <w:p>
      <w:pPr>
        <w:ind w:right="6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48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tbl>
      <w:tblPr>
        <w:tblLayout w:type="fixed"/>
        <w:tblInd w:w="20" w:type="dxa"/>
        <w:tblCellMar>
          <w:top w:w="0" w:type="dxa"/>
          <w:left w:w="0" w:type="dxa"/>
          <w:bottom w:w="0" w:type="dxa"/>
          <w:right w:w="0" w:type="dxa"/>
        </w:tblCellMar>
      </w:tblPr>
      <w:tr>
        <w:trPr>
          <w:trHeight w:val="226"/>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9"/>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86" w:lineRule="exact"/>
        <w:rPr>
          <w:sz w:val="24"/>
          <w:szCs w:val="24"/>
          <w:color w:val="auto"/>
        </w:rPr>
      </w:pPr>
    </w:p>
    <w:p>
      <w:pPr>
        <w:ind w:right="30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72" w:lineRule="exact"/>
        <w:rPr>
          <w:sz w:val="24"/>
          <w:szCs w:val="24"/>
          <w:color w:val="auto"/>
        </w:rPr>
      </w:pPr>
    </w:p>
    <w:p>
      <w:pPr>
        <w:ind w:right="3200"/>
        <w:spacing w:after="0" w:line="25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July 29, 2022 was 16,260,445.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960" w:type="dxa"/>
            <w:vAlign w:val="bottom"/>
            <w:gridSpan w:val="10"/>
          </w:tcPr>
          <w:p>
            <w:pPr>
              <w:ind w:left="82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50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1300" w:type="dxa"/>
            <w:vAlign w:val="bottom"/>
            <w:vMerge w:val="continue"/>
          </w:tcPr>
          <w:p>
            <w:pPr>
              <w:spacing w:after="0"/>
              <w:rPr>
                <w:sz w:val="18"/>
                <w:szCs w:val="18"/>
                <w:color w:val="auto"/>
              </w:rPr>
            </w:pPr>
          </w:p>
        </w:tc>
        <w:tc>
          <w:tcPr>
            <w:tcW w:w="8500" w:type="dxa"/>
            <w:vAlign w:val="bottom"/>
            <w:gridSpan w:val="20"/>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3520" w:type="dxa"/>
            <w:vAlign w:val="bottom"/>
            <w:gridSpan w:val="11"/>
          </w:tcPr>
          <w:p>
            <w:pPr>
              <w:spacing w:after="0" w:line="195" w:lineRule="exact"/>
              <w:rPr>
                <w:sz w:val="20"/>
                <w:szCs w:val="20"/>
                <w:color w:val="auto"/>
              </w:rPr>
            </w:pPr>
            <w:r>
              <w:rPr>
                <w:rFonts w:ascii="Arial" w:cs="Arial" w:eastAsia="Arial" w:hAnsi="Arial"/>
                <w:sz w:val="18"/>
                <w:szCs w:val="18"/>
                <w:color w:val="0000FF"/>
                <w:w w:val="99"/>
              </w:rPr>
              <w:t>Unaudited Condensed Financial Statements</w:t>
            </w:r>
          </w:p>
        </w:tc>
        <w:tc>
          <w:tcPr>
            <w:tcW w:w="4980" w:type="dxa"/>
            <w:vAlign w:val="bottom"/>
            <w:gridSpan w:val="9"/>
          </w:tcPr>
          <w:p>
            <w:pPr>
              <w:spacing w:after="0"/>
              <w:rPr>
                <w:sz w:val="16"/>
                <w:szCs w:val="16"/>
                <w:color w:val="auto"/>
              </w:rPr>
            </w:pPr>
          </w:p>
        </w:tc>
        <w:tc>
          <w:tcPr>
            <w:tcW w:w="280" w:type="dxa"/>
            <w:vAlign w:val="bottom"/>
            <w:gridSpan w:val="2"/>
          </w:tcPr>
          <w:p>
            <w:pPr>
              <w:ind w:left="180"/>
              <w:spacing w:after="0" w:line="195"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00" w:type="dxa"/>
            <w:vAlign w:val="bottom"/>
            <w:gridSpan w:val="20"/>
          </w:tcPr>
          <w:p>
            <w:pPr>
              <w:spacing w:after="0"/>
              <w:rPr>
                <w:sz w:val="20"/>
                <w:szCs w:val="20"/>
                <w:color w:val="auto"/>
              </w:rPr>
            </w:pPr>
            <w:r>
              <w:rPr>
                <w:rFonts w:ascii="Arial" w:cs="Arial" w:eastAsia="Arial" w:hAnsi="Arial"/>
                <w:sz w:val="18"/>
                <w:szCs w:val="18"/>
                <w:color w:val="0000FF"/>
              </w:rPr>
              <w:t>Unaudited Condensed Balance Sheets as of June 30, 2022 and December 31, 2021</w:t>
            </w:r>
          </w:p>
        </w:tc>
        <w:tc>
          <w:tcPr>
            <w:tcW w:w="280" w:type="dxa"/>
            <w:vAlign w:val="bottom"/>
            <w:gridSpan w:val="2"/>
          </w:tcPr>
          <w:p>
            <w:pPr>
              <w:ind w:left="18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500" w:type="dxa"/>
            <w:vAlign w:val="bottom"/>
            <w:gridSpan w:val="20"/>
          </w:tcPr>
          <w:p>
            <w:pPr>
              <w:spacing w:after="0"/>
              <w:rPr>
                <w:sz w:val="20"/>
                <w:szCs w:val="20"/>
                <w:color w:val="auto"/>
              </w:rPr>
            </w:pPr>
            <w:r>
              <w:rPr>
                <w:rFonts w:ascii="Arial" w:cs="Arial" w:eastAsia="Arial" w:hAnsi="Arial"/>
                <w:sz w:val="18"/>
                <w:szCs w:val="18"/>
                <w:color w:val="0000FF"/>
              </w:rPr>
              <w:t>Unaudited Condensed Statements of Operations for the Three and Six Months ended June 30, 2022 and</w:t>
            </w:r>
          </w:p>
        </w:tc>
        <w:tc>
          <w:tcPr>
            <w:tcW w:w="2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rPr>
              <w:t>2021</w:t>
            </w: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8500" w:type="dxa"/>
            <w:vAlign w:val="bottom"/>
            <w:gridSpan w:val="20"/>
            <w:vMerge w:val="restart"/>
          </w:tcPr>
          <w:p>
            <w:pPr>
              <w:spacing w:after="0"/>
              <w:rPr>
                <w:sz w:val="20"/>
                <w:szCs w:val="20"/>
                <w:color w:val="auto"/>
              </w:rPr>
            </w:pPr>
            <w:r>
              <w:rPr>
                <w:rFonts w:ascii="Arial" w:cs="Arial" w:eastAsia="Arial" w:hAnsi="Arial"/>
                <w:sz w:val="18"/>
                <w:szCs w:val="18"/>
                <w:color w:val="0000FF"/>
              </w:rPr>
              <w:t>Unaudited Condensed Statements of Stockholders' Equity for the Three and Six Months ended June 30,</w:t>
            </w: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00" w:type="dxa"/>
            <w:vAlign w:val="bottom"/>
          </w:tcPr>
          <w:p>
            <w:pPr>
              <w:spacing w:after="0"/>
              <w:rPr>
                <w:sz w:val="17"/>
                <w:szCs w:val="17"/>
                <w:color w:val="auto"/>
              </w:rPr>
            </w:pPr>
          </w:p>
        </w:tc>
        <w:tc>
          <w:tcPr>
            <w:tcW w:w="8500" w:type="dxa"/>
            <w:vAlign w:val="bottom"/>
            <w:gridSpan w:val="20"/>
            <w:vMerge w:val="continue"/>
          </w:tcPr>
          <w:p>
            <w:pPr>
              <w:spacing w:after="0"/>
              <w:rPr>
                <w:sz w:val="17"/>
                <w:szCs w:val="17"/>
                <w:color w:val="auto"/>
              </w:rPr>
            </w:pPr>
          </w:p>
        </w:tc>
        <w:tc>
          <w:tcPr>
            <w:tcW w:w="2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140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2022 and 2021</w:t>
            </w:r>
          </w:p>
        </w:tc>
        <w:tc>
          <w:tcPr>
            <w:tcW w:w="6880" w:type="dxa"/>
            <w:vAlign w:val="bottom"/>
            <w:tcBorders>
              <w:top w:val="single" w:sz="8" w:color="0000FF"/>
            </w:tcBorders>
            <w:gridSpan w:val="12"/>
          </w:tcPr>
          <w:p>
            <w:pPr>
              <w:spacing w:after="0"/>
              <w:rPr>
                <w:sz w:val="13"/>
                <w:szCs w:val="13"/>
                <w:color w:val="auto"/>
              </w:rPr>
            </w:pPr>
          </w:p>
        </w:tc>
        <w:tc>
          <w:tcPr>
            <w:tcW w:w="220" w:type="dxa"/>
            <w:vAlign w:val="bottom"/>
            <w:gridSpan w:val="2"/>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2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7980" w:type="dxa"/>
            <w:vAlign w:val="bottom"/>
            <w:gridSpan w:val="17"/>
          </w:tcPr>
          <w:p>
            <w:pPr>
              <w:spacing w:after="0"/>
              <w:rPr>
                <w:sz w:val="20"/>
                <w:szCs w:val="20"/>
                <w:color w:val="auto"/>
              </w:rPr>
            </w:pPr>
            <w:r>
              <w:rPr>
                <w:rFonts w:ascii="Arial" w:cs="Arial" w:eastAsia="Arial" w:hAnsi="Arial"/>
                <w:sz w:val="18"/>
                <w:szCs w:val="18"/>
                <w:color w:val="0000FF"/>
                <w:w w:val="99"/>
              </w:rPr>
              <w:t>Unaudited Condensed Statements of Cash Flows for the Six Months ended June 30, 2022 and 2021</w:t>
            </w:r>
          </w:p>
        </w:tc>
        <w:tc>
          <w:tcPr>
            <w:tcW w:w="520" w:type="dxa"/>
            <w:vAlign w:val="bottom"/>
            <w:gridSpan w:val="3"/>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4240" w:type="dxa"/>
            <w:vAlign w:val="bottom"/>
            <w:gridSpan w:val="12"/>
          </w:tcPr>
          <w:p>
            <w:pPr>
              <w:spacing w:after="0"/>
              <w:rPr>
                <w:sz w:val="20"/>
                <w:szCs w:val="20"/>
                <w:color w:val="auto"/>
              </w:rPr>
            </w:pPr>
            <w:r>
              <w:rPr>
                <w:rFonts w:ascii="Arial" w:cs="Arial" w:eastAsia="Arial" w:hAnsi="Arial"/>
                <w:sz w:val="18"/>
                <w:szCs w:val="18"/>
                <w:color w:val="0000FF"/>
                <w:w w:val="99"/>
              </w:rPr>
              <w:t>Notes to Unaudited Condensed Financial Statements</w:t>
            </w:r>
          </w:p>
        </w:tc>
        <w:tc>
          <w:tcPr>
            <w:tcW w:w="3740" w:type="dxa"/>
            <w:vAlign w:val="bottom"/>
            <w:gridSpan w:val="5"/>
          </w:tcPr>
          <w:p>
            <w:pPr>
              <w:spacing w:after="0"/>
              <w:rPr>
                <w:sz w:val="18"/>
                <w:szCs w:val="18"/>
                <w:color w:val="auto"/>
              </w:rPr>
            </w:pPr>
          </w:p>
        </w:tc>
        <w:tc>
          <w:tcPr>
            <w:tcW w:w="520" w:type="dxa"/>
            <w:vAlign w:val="bottom"/>
            <w:gridSpan w:val="3"/>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gridSpan w:val="16"/>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420" w:type="dxa"/>
            <w:vAlign w:val="bottom"/>
            <w:gridSpan w:val="4"/>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420" w:type="dxa"/>
            <w:vAlign w:val="bottom"/>
            <w:gridSpan w:val="4"/>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3"/>
          </w:tcPr>
          <w:p>
            <w:pPr>
              <w:spacing w:after="0"/>
              <w:rPr>
                <w:sz w:val="20"/>
                <w:szCs w:val="20"/>
                <w:color w:val="auto"/>
              </w:rPr>
            </w:pPr>
            <w:r>
              <w:rPr>
                <w:rFonts w:ascii="Arial" w:cs="Arial" w:eastAsia="Arial" w:hAnsi="Arial"/>
                <w:sz w:val="18"/>
                <w:szCs w:val="18"/>
                <w:color w:val="0000FF"/>
              </w:rPr>
              <w:t>Controls and Procedures</w:t>
            </w:r>
          </w:p>
        </w:tc>
        <w:tc>
          <w:tcPr>
            <w:tcW w:w="3800" w:type="dxa"/>
            <w:vAlign w:val="bottom"/>
            <w:gridSpan w:val="7"/>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501"/>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9"/>
          </w:tcPr>
          <w:p>
            <w:pPr>
              <w:spacing w:after="0"/>
              <w:rPr>
                <w:sz w:val="20"/>
                <w:szCs w:val="20"/>
                <w:color w:val="auto"/>
              </w:rPr>
            </w:pPr>
            <w:r>
              <w:rPr>
                <w:rFonts w:ascii="Arial" w:cs="Arial" w:eastAsia="Arial" w:hAnsi="Arial"/>
                <w:sz w:val="18"/>
                <w:szCs w:val="18"/>
                <w:b w:val="1"/>
                <w:bCs w:val="1"/>
                <w:color w:val="auto"/>
              </w:rPr>
              <w:t>Other Information</w:t>
            </w:r>
          </w:p>
        </w:tc>
        <w:tc>
          <w:tcPr>
            <w:tcW w:w="6520" w:type="dxa"/>
            <w:vAlign w:val="bottom"/>
            <w:gridSpan w:val="11"/>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8500" w:type="dxa"/>
            <w:vAlign w:val="bottom"/>
            <w:gridSpan w:val="20"/>
          </w:tcPr>
          <w:p>
            <w:pPr>
              <w:spacing w:after="0" w:line="195" w:lineRule="exact"/>
              <w:rPr>
                <w:sz w:val="20"/>
                <w:szCs w:val="20"/>
                <w:color w:val="auto"/>
              </w:rPr>
            </w:pPr>
            <w:r>
              <w:rPr>
                <w:rFonts w:ascii="Arial" w:cs="Arial" w:eastAsia="Arial" w:hAnsi="Arial"/>
                <w:sz w:val="18"/>
                <w:szCs w:val="18"/>
                <w:color w:val="0000FF"/>
              </w:rPr>
              <w:t>Legal Proceedings</w:t>
            </w:r>
          </w:p>
        </w:tc>
        <w:tc>
          <w:tcPr>
            <w:tcW w:w="1440" w:type="dxa"/>
            <w:vAlign w:val="bottom"/>
            <w:gridSpan w:val="4"/>
          </w:tcPr>
          <w:p>
            <w:pPr>
              <w:ind w:left="180"/>
              <w:spacing w:after="0" w:line="195" w:lineRule="exact"/>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3"/>
          </w:tcPr>
          <w:p>
            <w:pPr>
              <w:spacing w:after="0"/>
              <w:rPr>
                <w:sz w:val="18"/>
                <w:szCs w:val="18"/>
                <w:color w:val="auto"/>
              </w:rPr>
            </w:pPr>
          </w:p>
        </w:tc>
        <w:tc>
          <w:tcPr>
            <w:tcW w:w="7020" w:type="dxa"/>
            <w:vAlign w:val="bottom"/>
            <w:gridSpan w:val="13"/>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50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4840" w:type="dxa"/>
            <w:vAlign w:val="bottom"/>
            <w:gridSpan w:val="14"/>
          </w:tcPr>
          <w:p>
            <w:pPr>
              <w:spacing w:after="0"/>
              <w:rPr>
                <w:sz w:val="20"/>
                <w:szCs w:val="20"/>
                <w:color w:val="auto"/>
              </w:rPr>
            </w:pPr>
            <w:r>
              <w:rPr>
                <w:rFonts w:ascii="Arial" w:cs="Arial" w:eastAsia="Arial" w:hAnsi="Arial"/>
                <w:sz w:val="18"/>
                <w:szCs w:val="18"/>
                <w:color w:val="0000FF"/>
              </w:rPr>
              <w:t>Defaults Upon Senior Securities</w:t>
            </w:r>
          </w:p>
        </w:tc>
        <w:tc>
          <w:tcPr>
            <w:tcW w:w="3660" w:type="dxa"/>
            <w:vAlign w:val="bottom"/>
            <w:gridSpan w:val="6"/>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2540" w:type="dxa"/>
            <w:vAlign w:val="bottom"/>
            <w:gridSpan w:val="10"/>
          </w:tcPr>
          <w:p>
            <w:pPr>
              <w:spacing w:after="0"/>
              <w:rPr>
                <w:sz w:val="20"/>
                <w:szCs w:val="20"/>
                <w:color w:val="auto"/>
              </w:rPr>
            </w:pPr>
            <w:r>
              <w:rPr>
                <w:rFonts w:ascii="Arial" w:cs="Arial" w:eastAsia="Arial" w:hAnsi="Arial"/>
                <w:sz w:val="18"/>
                <w:szCs w:val="18"/>
                <w:color w:val="0000FF"/>
              </w:rPr>
              <w:t>Mine Safety Disclosures</w:t>
            </w:r>
          </w:p>
        </w:tc>
        <w:tc>
          <w:tcPr>
            <w:tcW w:w="5960" w:type="dxa"/>
            <w:vAlign w:val="bottom"/>
            <w:gridSpan w:val="10"/>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6"/>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2"/>
          </w:tcPr>
          <w:p>
            <w:pPr>
              <w:spacing w:after="0"/>
              <w:rPr>
                <w:sz w:val="18"/>
                <w:szCs w:val="18"/>
                <w:color w:val="auto"/>
              </w:rPr>
            </w:pPr>
          </w:p>
        </w:tc>
        <w:tc>
          <w:tcPr>
            <w:tcW w:w="6580" w:type="dxa"/>
            <w:vAlign w:val="bottom"/>
            <w:gridSpan w:val="12"/>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710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6"/>
          </w:tcPr>
          <w:p>
            <w:pPr>
              <w:spacing w:after="0"/>
              <w:rPr>
                <w:sz w:val="20"/>
                <w:szCs w:val="20"/>
                <w:color w:val="auto"/>
              </w:rPr>
            </w:pPr>
            <w:r>
              <w:rPr>
                <w:rFonts w:ascii="Arial" w:cs="Arial" w:eastAsia="Arial" w:hAnsi="Arial"/>
                <w:sz w:val="18"/>
                <w:szCs w:val="18"/>
                <w:color w:val="0000FF"/>
              </w:rPr>
              <w:t>Exhibits</w:t>
            </w:r>
          </w:p>
        </w:tc>
        <w:tc>
          <w:tcPr>
            <w:tcW w:w="7100" w:type="dxa"/>
            <w:vAlign w:val="bottom"/>
            <w:gridSpan w:val="14"/>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40" w:type="dxa"/>
            <w:vAlign w:val="bottom"/>
            <w:gridSpan w:val="1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850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1440" w:type="dxa"/>
            <w:vAlign w:val="bottom"/>
            <w:gridSpan w:val="4"/>
          </w:tcPr>
          <w:p>
            <w:pPr>
              <w:ind w:left="180"/>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76,387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99,442</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9,654</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89,039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112,734</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107,724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3,105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2,492</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27,828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27,478</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43,544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38,509</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6)</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Preferred stock, $0.001 par value; 10,000,000 shares authorized, no shares issued or outstanding as of June 30, 2022 and</w:t>
            </w:r>
          </w:p>
        </w:tc>
        <w:tc>
          <w:tcPr>
            <w:tcW w:w="12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December 31, 2021</w:t>
            </w: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as of June 30, 2022 and December 31, 2021; 16,258,807 and</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16,164,994 shares issued and outstanding as of June 30, 2022 and December 31, 2021, respectively</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295,885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293,060</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deficit</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(231,721)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(208,140)</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64,180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92"/>
        </w:trPr>
        <w:tc>
          <w:tcPr>
            <w:tcW w:w="86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107,724</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 w:name="page4"/>
    <w:bookmarkEnd w:id="3"/>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258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8,962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12,772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23,359</w:t>
            </w:r>
          </w:p>
        </w:tc>
        <w:tc>
          <w:tcPr>
            <w:tcW w:w="0" w:type="dxa"/>
            <w:vAlign w:val="bottom"/>
          </w:tcPr>
          <w:p>
            <w:pPr>
              <w:spacing w:after="0"/>
              <w:rPr>
                <w:sz w:val="1"/>
                <w:szCs w:val="1"/>
                <w:color w:val="auto"/>
              </w:rPr>
            </w:pPr>
          </w:p>
        </w:tc>
      </w:tr>
      <w:tr>
        <w:trPr>
          <w:trHeight w:val="199"/>
        </w:trPr>
        <w:tc>
          <w:tcPr>
            <w:tcW w:w="5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6,078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w:t>
            </w:r>
          </w:p>
        </w:tc>
        <w:tc>
          <w:tcPr>
            <w:tcW w:w="0" w:type="dxa"/>
            <w:vAlign w:val="bottom"/>
          </w:tcPr>
          <w:p>
            <w:pPr>
              <w:spacing w:after="0"/>
              <w:rPr>
                <w:sz w:val="1"/>
                <w:szCs w:val="1"/>
                <w:color w:val="auto"/>
              </w:rPr>
            </w:pPr>
          </w:p>
        </w:tc>
      </w:tr>
      <w:tr>
        <w:trPr>
          <w:trHeight w:val="199"/>
        </w:trPr>
        <w:tc>
          <w:tcPr>
            <w:tcW w:w="540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12,903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11,171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25,055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21,211</w:t>
            </w:r>
          </w:p>
        </w:tc>
        <w:tc>
          <w:tcPr>
            <w:tcW w:w="0" w:type="dxa"/>
            <w:vAlign w:val="bottom"/>
          </w:tcPr>
          <w:p>
            <w:pPr>
              <w:spacing w:after="0"/>
              <w:rPr>
                <w:sz w:val="1"/>
                <w:szCs w:val="1"/>
                <w:color w:val="auto"/>
              </w:rPr>
            </w:pPr>
          </w:p>
        </w:tc>
      </w:tr>
      <w:tr>
        <w:trPr>
          <w:trHeight w:val="206"/>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21,670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41,743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34,668</w:t>
            </w: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(11,309)</w:t>
            </w:r>
          </w:p>
        </w:tc>
        <w:tc>
          <w:tcPr>
            <w:tcW w:w="0" w:type="dxa"/>
            <w:vAlign w:val="bottom"/>
          </w:tcPr>
          <w:p>
            <w:pPr>
              <w:spacing w:after="0"/>
              <w:rPr>
                <w:sz w:val="1"/>
                <w:szCs w:val="1"/>
                <w:color w:val="auto"/>
              </w:rPr>
            </w:pPr>
          </w:p>
        </w:tc>
      </w:tr>
      <w:tr>
        <w:trPr>
          <w:trHeight w:val="198"/>
        </w:trPr>
        <w:tc>
          <w:tcPr>
            <w:tcW w:w="54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9"/>
        </w:trPr>
        <w:tc>
          <w:tcPr>
            <w:tcW w:w="5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(6,410)</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(23,581)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(12,619)</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line="144" w:lineRule="exact"/>
              <w:rPr>
                <w:sz w:val="20"/>
                <w:szCs w:val="20"/>
                <w:color w:val="auto"/>
              </w:rPr>
            </w:pPr>
            <w:r>
              <w:rPr>
                <w:rFonts w:ascii="Arial" w:cs="Arial" w:eastAsia="Arial" w:hAnsi="Arial"/>
                <w:sz w:val="14"/>
                <w:szCs w:val="14"/>
                <w:color w:val="auto"/>
              </w:rPr>
              <w:t>Weighted-average number of shares used to compute net loss per share, basic</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17,058,516</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16,928,613</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17,025,636</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14,946,935</w:t>
            </w:r>
          </w:p>
        </w:tc>
        <w:tc>
          <w:tcPr>
            <w:tcW w:w="0" w:type="dxa"/>
            <w:vAlign w:val="bottom"/>
          </w:tcPr>
          <w:p>
            <w:pPr>
              <w:spacing w:after="0"/>
              <w:rPr>
                <w:sz w:val="1"/>
                <w:szCs w:val="1"/>
                <w:color w:val="auto"/>
              </w:rPr>
            </w:pPr>
          </w:p>
        </w:tc>
      </w:tr>
      <w:tr>
        <w:trPr>
          <w:trHeight w:val="158"/>
        </w:trPr>
        <w:tc>
          <w:tcPr>
            <w:tcW w:w="5400" w:type="dxa"/>
            <w:vAlign w:val="bottom"/>
          </w:tcPr>
          <w:p>
            <w:pPr>
              <w:ind w:left="20"/>
              <w:spacing w:after="0" w:line="158" w:lineRule="exact"/>
              <w:rPr>
                <w:sz w:val="20"/>
                <w:szCs w:val="20"/>
                <w:color w:val="auto"/>
              </w:rPr>
            </w:pPr>
            <w:r>
              <w:rPr>
                <w:rFonts w:ascii="Arial" w:cs="Arial" w:eastAsia="Arial" w:hAnsi="Arial"/>
                <w:sz w:val="14"/>
                <w:szCs w:val="14"/>
                <w:color w:val="auto"/>
              </w:rPr>
              <w:t>and diluted</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420" w:type="dxa"/>
            <w:vAlign w:val="bottom"/>
            <w:gridSpan w:val="4"/>
            <w:vMerge w:val="restart"/>
          </w:tcPr>
          <w:p>
            <w:pPr>
              <w:jc w:val="right"/>
              <w:ind w:right="6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1"/>
        </w:trPr>
        <w:tc>
          <w:tcPr>
            <w:tcW w:w="3740" w:type="dxa"/>
            <w:vAlign w:val="bottom"/>
          </w:tcPr>
          <w:p>
            <w:pPr>
              <w:spacing w:after="0"/>
              <w:rPr>
                <w:sz w:val="10"/>
                <w:szCs w:val="10"/>
                <w:color w:val="auto"/>
              </w:rPr>
            </w:pPr>
          </w:p>
        </w:tc>
        <w:tc>
          <w:tcPr>
            <w:tcW w:w="24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320"/>
              <w:spacing w:after="0" w:line="116"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0"/>
                <w:szCs w:val="10"/>
                <w:color w:val="auto"/>
              </w:rPr>
            </w:pPr>
          </w:p>
        </w:tc>
        <w:tc>
          <w:tcPr>
            <w:tcW w:w="1560" w:type="dxa"/>
            <w:vAlign w:val="bottom"/>
            <w:gridSpan w:val="2"/>
          </w:tcPr>
          <w:p>
            <w:pPr>
              <w:jc w:val="center"/>
              <w:ind w:right="360"/>
              <w:spacing w:after="0" w:line="116"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1420" w:type="dxa"/>
            <w:vAlign w:val="bottom"/>
          </w:tcPr>
          <w:p>
            <w:pPr>
              <w:jc w:val="center"/>
              <w:ind w:right="128"/>
              <w:spacing w:after="0" w:line="116"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7"/>
                <w:szCs w:val="17"/>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2021</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16,164,994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293,060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(208,140)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30,523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5"/>
        </w:trPr>
        <w:tc>
          <w:tcPr>
            <w:tcW w:w="3740" w:type="dxa"/>
            <w:vAlign w:val="bottom"/>
          </w:tcPr>
          <w:p>
            <w:pPr>
              <w:ind w:left="360"/>
              <w:spacing w:after="0"/>
              <w:rPr>
                <w:sz w:val="20"/>
                <w:szCs w:val="20"/>
                <w:color w:val="auto"/>
              </w:rPr>
            </w:pPr>
            <w:r>
              <w:rPr>
                <w:rFonts w:ascii="Arial" w:cs="Arial" w:eastAsia="Arial" w:hAnsi="Arial"/>
                <w:sz w:val="14"/>
                <w:szCs w:val="14"/>
                <w:color w:val="auto"/>
              </w:rPr>
              <w:t>and payment of employees' taxes</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35,681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(10,272)</w:t>
            </w:r>
          </w:p>
        </w:tc>
        <w:tc>
          <w:tcPr>
            <w:tcW w:w="0" w:type="dxa"/>
            <w:vAlign w:val="bottom"/>
          </w:tcPr>
          <w:p>
            <w:pPr>
              <w:spacing w:after="0"/>
              <w:rPr>
                <w:sz w:val="1"/>
                <w:szCs w:val="1"/>
                <w:color w:val="auto"/>
              </w:rPr>
            </w:pPr>
          </w:p>
        </w:tc>
      </w:tr>
      <w:tr>
        <w:trPr>
          <w:trHeight w:val="192"/>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March 31, 2022</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16,231,198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294,552</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(218,412)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76,156</w:t>
            </w:r>
          </w:p>
        </w:tc>
        <w:tc>
          <w:tcPr>
            <w:tcW w:w="0" w:type="dxa"/>
            <w:vAlign w:val="bottom"/>
          </w:tcPr>
          <w:p>
            <w:pPr>
              <w:spacing w:after="0"/>
              <w:rPr>
                <w:sz w:val="1"/>
                <w:szCs w:val="1"/>
                <w:color w:val="auto"/>
              </w:rPr>
            </w:pPr>
          </w:p>
        </w:tc>
      </w:tr>
      <w:tr>
        <w:trPr>
          <w:trHeight w:val="157"/>
        </w:trPr>
        <w:tc>
          <w:tcPr>
            <w:tcW w:w="374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27,609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payment of employees' taxes</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(13,309)</w:t>
            </w:r>
          </w:p>
        </w:tc>
        <w:tc>
          <w:tcPr>
            <w:tcW w:w="0" w:type="dxa"/>
            <w:vAlign w:val="bottom"/>
          </w:tcPr>
          <w:p>
            <w:pPr>
              <w:spacing w:after="0"/>
              <w:rPr>
                <w:sz w:val="1"/>
                <w:szCs w:val="1"/>
                <w:color w:val="auto"/>
              </w:rPr>
            </w:pPr>
          </w:p>
        </w:tc>
      </w:tr>
      <w:tr>
        <w:trPr>
          <w:trHeight w:val="200"/>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as of June 30, 2022</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16,258,807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295,885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(231,721)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64,180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3740" w:type="dxa"/>
            <w:vAlign w:val="bottom"/>
          </w:tcPr>
          <w:p>
            <w:pPr>
              <w:spacing w:after="0"/>
              <w:rPr>
                <w:sz w:val="24"/>
                <w:szCs w:val="24"/>
                <w:color w:val="auto"/>
              </w:rPr>
            </w:pPr>
          </w:p>
        </w:tc>
        <w:tc>
          <w:tcPr>
            <w:tcW w:w="2420" w:type="dxa"/>
            <w:vAlign w:val="bottom"/>
            <w:gridSpan w:val="4"/>
            <w:vMerge w:val="restart"/>
          </w:tcPr>
          <w:p>
            <w:pPr>
              <w:jc w:val="right"/>
              <w:ind w:right="6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5"/>
        </w:trPr>
        <w:tc>
          <w:tcPr>
            <w:tcW w:w="3740" w:type="dxa"/>
            <w:vAlign w:val="bottom"/>
          </w:tcPr>
          <w:p>
            <w:pPr>
              <w:spacing w:after="0"/>
              <w:rPr>
                <w:sz w:val="10"/>
                <w:szCs w:val="10"/>
                <w:color w:val="auto"/>
              </w:rPr>
            </w:pPr>
          </w:p>
        </w:tc>
        <w:tc>
          <w:tcPr>
            <w:tcW w:w="24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320"/>
              <w:spacing w:after="0" w:line="121"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0"/>
                <w:szCs w:val="10"/>
                <w:color w:val="auto"/>
              </w:rPr>
            </w:pPr>
          </w:p>
        </w:tc>
        <w:tc>
          <w:tcPr>
            <w:tcW w:w="1560" w:type="dxa"/>
            <w:vAlign w:val="bottom"/>
            <w:gridSpan w:val="2"/>
          </w:tcPr>
          <w:p>
            <w:pPr>
              <w:jc w:val="center"/>
              <w:ind w:right="360"/>
              <w:spacing w:after="0" w:line="121"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1420" w:type="dxa"/>
            <w:vAlign w:val="bottom"/>
          </w:tcPr>
          <w:p>
            <w:pPr>
              <w:jc w:val="center"/>
              <w:ind w:right="128"/>
              <w:spacing w:after="0" w:line="12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7"/>
                <w:szCs w:val="17"/>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December 31, 2020</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12,652,308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223,115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48"/>
        </w:trPr>
        <w:tc>
          <w:tcPr>
            <w:tcW w:w="3740" w:type="dxa"/>
            <w:vAlign w:val="bottom"/>
          </w:tcPr>
          <w:p>
            <w:pPr>
              <w:ind w:left="360"/>
              <w:spacing w:after="0" w:line="149" w:lineRule="exact"/>
              <w:rPr>
                <w:sz w:val="20"/>
                <w:szCs w:val="20"/>
                <w:color w:val="auto"/>
              </w:rPr>
            </w:pPr>
            <w:r>
              <w:rPr>
                <w:rFonts w:ascii="Arial" w:cs="Arial" w:eastAsia="Arial" w:hAnsi="Arial"/>
                <w:sz w:val="14"/>
                <w:szCs w:val="14"/>
                <w:color w:val="auto"/>
              </w:rPr>
              <w:t>Issuance of stock in public offering, net of issuance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4,255,000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64,705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64,709</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costs of $4,435</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8"/>
        </w:trPr>
        <w:tc>
          <w:tcPr>
            <w:tcW w:w="3740" w:type="dxa"/>
            <w:vAlign w:val="bottom"/>
          </w:tcPr>
          <w:p>
            <w:pPr>
              <w:ind w:left="360"/>
              <w:spacing w:after="0" w:line="149"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14,991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(6,209)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20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March 31, 2021</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16,925,680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288,951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(187,498)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101,470</w:t>
            </w:r>
          </w:p>
        </w:tc>
        <w:tc>
          <w:tcPr>
            <w:tcW w:w="0" w:type="dxa"/>
            <w:vAlign w:val="bottom"/>
          </w:tcPr>
          <w:p>
            <w:pPr>
              <w:spacing w:after="0"/>
              <w:rPr>
                <w:sz w:val="1"/>
                <w:szCs w:val="1"/>
                <w:color w:val="auto"/>
              </w:rPr>
            </w:pPr>
          </w:p>
        </w:tc>
      </w:tr>
      <w:tr>
        <w:trPr>
          <w:trHeight w:val="148"/>
        </w:trPr>
        <w:tc>
          <w:tcPr>
            <w:tcW w:w="3740" w:type="dxa"/>
            <w:vAlign w:val="bottom"/>
          </w:tcPr>
          <w:p>
            <w:pPr>
              <w:ind w:left="360"/>
              <w:spacing w:after="0" w:line="149" w:lineRule="exact"/>
              <w:rPr>
                <w:sz w:val="20"/>
                <w:szCs w:val="20"/>
                <w:color w:val="auto"/>
              </w:rPr>
            </w:pPr>
            <w:r>
              <w:rPr>
                <w:rFonts w:ascii="Arial" w:cs="Arial" w:eastAsia="Arial" w:hAnsi="Arial"/>
                <w:sz w:val="14"/>
                <w:szCs w:val="14"/>
                <w:color w:val="auto"/>
              </w:rPr>
              <w:t>Retirement of common stock in exchange for</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(804,951)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(12,774)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common stock warrant</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Issuance of common stock warrant in exchange for</w:t>
            </w: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12,775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12,775</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retirement of common stock</w:t>
            </w:r>
          </w:p>
        </w:tc>
        <w:tc>
          <w:tcPr>
            <w:tcW w:w="15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6,055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(6,410)</w:t>
            </w:r>
          </w:p>
        </w:tc>
        <w:tc>
          <w:tcPr>
            <w:tcW w:w="0" w:type="dxa"/>
            <w:vAlign w:val="bottom"/>
          </w:tcPr>
          <w:p>
            <w:pPr>
              <w:spacing w:after="0"/>
              <w:rPr>
                <w:sz w:val="1"/>
                <w:szCs w:val="1"/>
                <w:color w:val="auto"/>
              </w:rPr>
            </w:pPr>
          </w:p>
        </w:tc>
      </w:tr>
      <w:tr>
        <w:trPr>
          <w:trHeight w:val="225"/>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as of June 30, 2021</w:t>
            </w:r>
          </w:p>
        </w:tc>
        <w:tc>
          <w:tcPr>
            <w:tcW w:w="1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16,126,784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290,272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96,380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r>
      <w:tr>
        <w:trPr>
          <w:trHeight w:val="183"/>
        </w:trPr>
        <w:tc>
          <w:tcPr>
            <w:tcW w:w="8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(23,581)</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(12,619)</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407</w:t>
            </w:r>
          </w:p>
        </w:tc>
      </w:tr>
      <w:tr>
        <w:trPr>
          <w:trHeight w:val="207"/>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discount and debt issuance costs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98"/>
        </w:trPr>
        <w:tc>
          <w:tcPr>
            <w:tcW w:w="8900" w:type="dxa"/>
            <w:vAlign w:val="bottom"/>
          </w:tcPr>
          <w:p>
            <w:pPr>
              <w:ind w:left="360"/>
              <w:spacing w:after="0"/>
              <w:rPr>
                <w:sz w:val="20"/>
                <w:szCs w:val="20"/>
                <w:color w:val="auto"/>
              </w:rPr>
            </w:pPr>
            <w:r>
              <w:rPr>
                <w:rFonts w:ascii="Arial" w:cs="Arial" w:eastAsia="Arial" w:hAnsi="Arial"/>
                <w:sz w:val="14"/>
                <w:szCs w:val="14"/>
                <w:color w:val="auto"/>
              </w:rPr>
              <w:t>Non-cash interest expense</w:t>
            </w:r>
          </w:p>
        </w:tc>
        <w:tc>
          <w:tcPr>
            <w:tcW w:w="1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266</w:t>
            </w:r>
          </w:p>
        </w:tc>
      </w:tr>
      <w:tr>
        <w:trPr>
          <w:trHeight w:val="207"/>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Non-cash lease expense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90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2,816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2,197</w:t>
            </w:r>
          </w:p>
        </w:tc>
      </w:tr>
      <w:tr>
        <w:trPr>
          <w:trHeight w:val="207"/>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assets and liabilities: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Pr>
          <w:p>
            <w:pPr>
              <w:ind w:left="6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07"/>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r>
      <w:tr>
        <w:trPr>
          <w:trHeight w:val="198"/>
        </w:trPr>
        <w:tc>
          <w:tcPr>
            <w:tcW w:w="8900" w:type="dxa"/>
            <w:vAlign w:val="bottom"/>
          </w:tcPr>
          <w:p>
            <w:pPr>
              <w:ind w:left="680"/>
              <w:spacing w:after="0"/>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Operating lease liabilities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900" w:type="dxa"/>
            <w:vAlign w:val="bottom"/>
          </w:tcPr>
          <w:p>
            <w:pPr>
              <w:ind w:left="68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07"/>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Accrued and other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192"/>
        </w:trPr>
        <w:tc>
          <w:tcPr>
            <w:tcW w:w="8900" w:type="dxa"/>
            <w:vAlign w:val="bottom"/>
          </w:tcPr>
          <w:p>
            <w:pPr>
              <w:ind w:left="360"/>
              <w:spacing w:after="0"/>
              <w:rPr>
                <w:sz w:val="20"/>
                <w:szCs w:val="20"/>
                <w:color w:val="auto"/>
              </w:rPr>
            </w:pPr>
            <w:r>
              <w:rPr>
                <w:rFonts w:ascii="Arial" w:cs="Arial" w:eastAsia="Arial" w:hAnsi="Arial"/>
                <w:sz w:val="14"/>
                <w:szCs w:val="14"/>
                <w:color w:val="auto"/>
              </w:rPr>
              <w:t>Net cash used in operating activities</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(8,762)</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and equipment</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w:t>
            </w:r>
          </w:p>
        </w:tc>
      </w:tr>
      <w:tr>
        <w:trPr>
          <w:trHeight w:val="200"/>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r>
      <w:tr>
        <w:trPr>
          <w:trHeight w:val="202"/>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Payments of taxes withheld on vested restricted stock units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issuance of common stock in public offering, gross</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69,144</w:t>
            </w: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Payment of issuance costs related to public offering</w:t>
            </w:r>
          </w:p>
        </w:tc>
        <w:tc>
          <w:tcPr>
            <w:tcW w:w="1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(4,407)</w:t>
            </w:r>
          </w:p>
        </w:tc>
      </w:tr>
      <w:tr>
        <w:trPr>
          <w:trHeight w:val="200"/>
        </w:trPr>
        <w:tc>
          <w:tcPr>
            <w:tcW w:w="8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(used in) provided by financing activities</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64,771</w:t>
            </w:r>
          </w:p>
        </w:tc>
      </w:tr>
      <w:tr>
        <w:trPr>
          <w:trHeight w:val="192"/>
        </w:trPr>
        <w:tc>
          <w:tcPr>
            <w:tcW w:w="890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(23,055)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55,128</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99,542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57,548</w:t>
            </w:r>
          </w:p>
        </w:tc>
      </w:tr>
      <w:tr>
        <w:trPr>
          <w:trHeight w:val="192"/>
        </w:trPr>
        <w:tc>
          <w:tcPr>
            <w:tcW w:w="89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76,487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112,676</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3"/>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860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892</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Equipment purchased under finance lease obligations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940</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94"/>
        </w:trPr>
        <w:tc>
          <w:tcPr>
            <w:tcW w:w="8900" w:type="dxa"/>
            <w:vAlign w:val="bottom"/>
          </w:tcPr>
          <w:p>
            <w:pPr>
              <w:ind w:left="20"/>
              <w:spacing w:after="0"/>
              <w:rPr>
                <w:sz w:val="20"/>
                <w:szCs w:val="20"/>
                <w:color w:val="auto"/>
              </w:rPr>
            </w:pPr>
            <w:r>
              <w:rPr>
                <w:rFonts w:ascii="Arial" w:cs="Arial" w:eastAsia="Arial" w:hAnsi="Arial"/>
                <w:sz w:val="14"/>
                <w:szCs w:val="14"/>
                <w:color w:val="auto"/>
              </w:rPr>
              <w:t>Deferred offering costs reclassified to equity</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Exagen Inc. (the Company) is dedicated to transforming the care continuum for patients suffering from debilitating and chronic autoimmune diseases by enabling timely differential diagnosis and optimizing therapeutic intervention.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As of June 30, 2022, the Company had cash and cash equivalents of $ 76.4 million and had an accumulated deficit of $231.7 million. Since inception, the Company has financed its operations primarily through a combination of equity financings of common stock and private placements of preferred securities,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spacing w:after="0" w:line="1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2020, due to the worldwide COVID-19 pandemic, the Company began to experience a reduction in patient test volumes, delays in patient enrollment in ongoing and planned clinical studies, and delays in the procurement of its testing supplies. The full extent to which the COVID-19 pandemic will directly or indirectly continue to impact the Company's business, results of operations and financial condition, will depend on future developments that are highly uncertain, including as a result of new information that may emerge concerning COVID-19 and the actions taken to contain or treat COVID-19, including, the success of ongoing vaccination efforts, the emergence and prevalence of variant strains of COVID-19, the institution or reinstitution of shutdowns, "stay-at-home-orders" and other public health measures as well as the related economic impact of these matters on local, regional and international markets.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interim condensed balance sheet as of June 30, 2022, the condensed statements of operations and the condensed statements of stockholders' equity for the three and six months ended June 30, 2022 and 2021, cash flows for the six months ended June 30, 2022 and 2021 and the related footnote disclosures are unaudited and have been prepared in accordance with the rules and regulations of the Securities and Exchange Commission (SEC), and with accounting principles generally accepted in the United States (GAAP) applicable to interim financial statements. In management's opinion, the unaudited interim condensed financial statements have been prepared on the same basis as the audited financial statements and include all normal adjustments, necessary for the fair</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7" w:name="page8"/>
    <w:bookmarkEnd w:id="7"/>
    <w:p>
      <w:pPr>
        <w:ind w:right="20"/>
        <w:spacing w:after="0" w:line="257" w:lineRule="auto"/>
        <w:rPr>
          <w:sz w:val="20"/>
          <w:szCs w:val="20"/>
          <w:color w:val="auto"/>
        </w:rPr>
      </w:pPr>
      <w:r>
        <w:rPr>
          <w:rFonts w:ascii="Arial" w:cs="Arial" w:eastAsia="Arial" w:hAnsi="Arial"/>
          <w:sz w:val="18"/>
          <w:szCs w:val="18"/>
          <w:color w:val="auto"/>
        </w:rPr>
        <w:t>presentation of the Company's financial position as of June 30, 2022 and its results of operations for the three and six month periods presented. The results for the six months ended June 30, 2022 are not necessarily indicative of the results expected for the full fiscal year or any other interim period. The year-end condensed balance sheet data was derived from audited financial statements, but does not include all disclosures required by GAAP. These unaudited condensed financial statements should be read in conjunction with the Company’s audited financial statements for the year ended December 31, 2021, included in its Annual Report on Form 10-K filed with the SEC on March 22, 2022.</w:t>
      </w:r>
    </w:p>
    <w:p>
      <w:pPr>
        <w:spacing w:after="0" w:line="18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estimated incremental borrowing rate for the determination of the Company's operating lease right-of-use (ROU) assets, the recoverability of its long-lived assets (including goodwill)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2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21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Revenue</w:t>
            </w: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47"/>
        </w:trPr>
        <w:tc>
          <w:tcPr>
            <w:tcW w:w="5700" w:type="dxa"/>
            <w:vAlign w:val="bottom"/>
          </w:tcPr>
          <w:p>
            <w:pPr>
              <w:spacing w:after="0"/>
              <w:rPr>
                <w:sz w:val="12"/>
                <w:szCs w:val="12"/>
                <w:color w:val="auto"/>
              </w:rPr>
            </w:pPr>
          </w:p>
        </w:tc>
        <w:tc>
          <w:tcPr>
            <w:tcW w:w="2280" w:type="dxa"/>
            <w:vAlign w:val="bottom"/>
            <w:gridSpan w:val="4"/>
          </w:tcPr>
          <w:p>
            <w:pPr>
              <w:jc w:val="center"/>
              <w:ind w:left="348"/>
              <w:spacing w:after="0" w:line="147"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gridSpan w:val="4"/>
          </w:tcPr>
          <w:p>
            <w:pPr>
              <w:jc w:val="center"/>
              <w:ind w:right="288"/>
              <w:spacing w:after="0" w:line="147" w:lineRule="exact"/>
              <w:rPr>
                <w:sz w:val="20"/>
                <w:szCs w:val="20"/>
                <w:color w:val="auto"/>
              </w:rPr>
            </w:pPr>
            <w:r>
              <w:rPr>
                <w:rFonts w:ascii="Arial" w:cs="Arial" w:eastAsia="Arial" w:hAnsi="Arial"/>
                <w:sz w:val="14"/>
                <w:szCs w:val="14"/>
                <w:b w:val="1"/>
                <w:bCs w:val="1"/>
                <w:color w:val="auto"/>
              </w:rPr>
              <w:t>Six Months Ended</w:t>
            </w:r>
          </w:p>
        </w:tc>
      </w:tr>
      <w:tr>
        <w:trPr>
          <w:trHeight w:val="185"/>
        </w:trPr>
        <w:tc>
          <w:tcPr>
            <w:tcW w:w="5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95"/>
        </w:trPr>
        <w:tc>
          <w:tcPr>
            <w:tcW w:w="6560" w:type="dxa"/>
            <w:vAlign w:val="bottom"/>
            <w:gridSpan w:val="2"/>
          </w:tcPr>
          <w:p>
            <w:pPr>
              <w:ind w:left="6180"/>
              <w:spacing w:after="0"/>
              <w:rPr>
                <w:sz w:val="20"/>
                <w:szCs w:val="20"/>
                <w:color w:val="auto"/>
              </w:rPr>
            </w:pPr>
            <w:r>
              <w:rPr>
                <w:rFonts w:ascii="Arial" w:cs="Arial" w:eastAsia="Arial" w:hAnsi="Arial"/>
                <w:sz w:val="14"/>
                <w:szCs w:val="14"/>
                <w:b w:val="1"/>
                <w:bCs w:val="1"/>
                <w:color w:val="auto"/>
              </w:rPr>
              <w:t>2022</w:t>
            </w:r>
          </w:p>
        </w:tc>
        <w:tc>
          <w:tcPr>
            <w:tcW w:w="1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97"/>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8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198"/>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Medicare</w:t>
            </w:r>
          </w:p>
        </w:tc>
        <w:tc>
          <w:tcPr>
            <w:tcW w:w="420" w:type="dxa"/>
            <w:vAlign w:val="bottom"/>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07"/>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Aetna</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Blue Shield</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625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311" w:lineRule="exact"/>
        <w:rPr>
          <w:sz w:val="20"/>
          <w:szCs w:val="20"/>
          <w:color w:val="auto"/>
        </w:rPr>
      </w:pPr>
    </w:p>
    <w:p>
      <w:pPr>
        <w:ind w:left="1020" w:hanging="99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334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Accounts Receivable, Net</w:t>
            </w:r>
          </w:p>
        </w:tc>
      </w:tr>
      <w:tr>
        <w:trPr>
          <w:trHeight w:val="412"/>
        </w:trPr>
        <w:tc>
          <w:tcPr>
            <w:tcW w:w="10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720" w:type="dxa"/>
            <w:vAlign w:val="bottom"/>
            <w:gridSpan w:val="2"/>
          </w:tcPr>
          <w:p>
            <w:pPr>
              <w:ind w:left="340"/>
              <w:spacing w:after="0"/>
              <w:rPr>
                <w:sz w:val="20"/>
                <w:szCs w:val="20"/>
                <w:color w:val="auto"/>
              </w:rPr>
            </w:pPr>
            <w:r>
              <w:rPr>
                <w:rFonts w:ascii="Arial" w:cs="Arial" w:eastAsia="Arial" w:hAnsi="Arial"/>
                <w:sz w:val="14"/>
                <w:szCs w:val="14"/>
                <w:b w:val="1"/>
                <w:bCs w:val="1"/>
                <w:color w:val="auto"/>
              </w:rPr>
              <w:t>June 30, 2022</w:t>
            </w:r>
          </w:p>
        </w:tc>
        <w:tc>
          <w:tcPr>
            <w:tcW w:w="16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 2021</w:t>
            </w:r>
          </w:p>
        </w:tc>
      </w:tr>
      <w:tr>
        <w:trPr>
          <w:trHeight w:val="197"/>
        </w:trPr>
        <w:tc>
          <w:tcPr>
            <w:tcW w:w="7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United Healthcare</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198"/>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Medicare</w:t>
            </w:r>
          </w:p>
        </w:tc>
        <w:tc>
          <w:tcPr>
            <w:tcW w:w="162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Medicare Advantage</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Aetna</w:t>
            </w:r>
          </w:p>
        </w:tc>
        <w:tc>
          <w:tcPr>
            <w:tcW w:w="162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Blue Shield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162"/>
        </w:trPr>
        <w:tc>
          <w:tcPr>
            <w:tcW w:w="1000" w:type="dxa"/>
            <w:vAlign w:val="bottom"/>
            <w:tcBorders>
              <w:bottom w:val="single" w:sz="8" w:color="auto"/>
            </w:tcBorders>
          </w:tcPr>
          <w:p>
            <w:pPr>
              <w:spacing w:after="0"/>
              <w:rPr>
                <w:sz w:val="14"/>
                <w:szCs w:val="14"/>
                <w:color w:val="auto"/>
              </w:rPr>
            </w:pPr>
          </w:p>
        </w:tc>
        <w:tc>
          <w:tcPr>
            <w:tcW w:w="6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r>
    </w:tbl>
    <w:p>
      <w:pPr>
        <w:spacing w:after="0" w:line="134" w:lineRule="exact"/>
        <w:rPr>
          <w:sz w:val="20"/>
          <w:szCs w:val="20"/>
          <w:color w:val="auto"/>
        </w:rPr>
      </w:pPr>
    </w:p>
    <w:p>
      <w:pPr>
        <w:ind w:left="1020" w:hanging="994"/>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 w:name="page9"/>
    <w:bookmarkEnd w:id="8"/>
    <w:p>
      <w:pPr>
        <w:jc w:val="both"/>
        <w:ind w:right="20"/>
        <w:spacing w:after="0" w:line="242" w:lineRule="auto"/>
        <w:rPr>
          <w:sz w:val="20"/>
          <w:szCs w:val="20"/>
          <w:color w:val="auto"/>
        </w:rPr>
      </w:pPr>
      <w:r>
        <w:rPr>
          <w:rFonts w:ascii="Arial" w:cs="Arial" w:eastAsia="Arial" w:hAnsi="Arial"/>
          <w:sz w:val="18"/>
          <w:szCs w:val="18"/>
          <w:color w:val="auto"/>
        </w:rPr>
        <w:t>For each of the three months ended June 30, 2022 and 2021, approximately 81%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For the six months ended June 30, 2022 and 2021, approximately 82% and 81%,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12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is dependent on key suppliers for certain laboratory materials. For each of the three months ended June 30, 2022 and 2021, approximately 97% of the Company's diagnostic testing supplies were purchased from two suppliers. For the six months ended June 30, 2022 and 2021, approximately 96% and 97%, respectively, of the Company's diagnostic testing supplies were purchased from two suppliers. An interruption in the supply of these materials would impact the Company's ability to perform testing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314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70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0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18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5,286</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7,381</w:t>
            </w:r>
          </w:p>
        </w:tc>
        <w:tc>
          <w:tcPr>
            <w:tcW w:w="12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11,709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13,408</w:t>
            </w:r>
          </w:p>
        </w:tc>
      </w:tr>
      <w:tr>
        <w:trPr>
          <w:trHeight w:val="207"/>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4,403</w:t>
            </w:r>
          </w:p>
        </w:tc>
      </w:tr>
      <w:tr>
        <w:trPr>
          <w:trHeight w:val="198"/>
        </w:trPr>
        <w:tc>
          <w:tcPr>
            <w:tcW w:w="5080" w:type="dxa"/>
            <w:vAlign w:val="bottom"/>
          </w:tcPr>
          <w:p>
            <w:pPr>
              <w:ind w:left="20"/>
              <w:spacing w:after="0"/>
              <w:rPr>
                <w:sz w:val="20"/>
                <w:szCs w:val="20"/>
                <w:color w:val="auto"/>
              </w:rPr>
            </w:pPr>
            <w:r>
              <w:rPr>
                <w:rFonts w:ascii="Arial" w:cs="Arial" w:eastAsia="Arial" w:hAnsi="Arial"/>
                <w:sz w:val="14"/>
                <w:szCs w:val="14"/>
                <w:color w:val="auto"/>
              </w:rPr>
              <w:t>Client(1)</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2,427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3,376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4,392</w:t>
            </w:r>
          </w:p>
        </w:tc>
      </w:tr>
      <w:tr>
        <w:trPr>
          <w:trHeight w:val="206"/>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r>
      <w:tr>
        <w:trPr>
          <w:trHeight w:val="203"/>
        </w:trPr>
        <w:tc>
          <w:tcPr>
            <w:tcW w:w="5080" w:type="dxa"/>
            <w:vAlign w:val="bottom"/>
          </w:tcPr>
          <w:p>
            <w:pPr>
              <w:ind w:left="20"/>
              <w:spacing w:after="0" w:line="202" w:lineRule="exact"/>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217"/>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6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23,359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29" w:lineRule="exact"/>
        <w:rPr>
          <w:rFonts w:ascii="Arial" w:cs="Arial" w:eastAsia="Arial" w:hAnsi="Arial"/>
          <w:sz w:val="14"/>
          <w:szCs w:val="14"/>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patient self-pay</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carrying value of the Company's cash and cash equivalents approximate fair value due to the short-term nature of these items. The estimated fair value of the Company's long-term borrowings are determined by Level 2 inputs and is based primarily on quoted market prices for the same or similar issues. The recorded value of the Company's long-term borrowings approximates the current fair value as the interest rate and other terms are that which are currently available to the Company.</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ind w:left="1300" w:right="100" w:hanging="1295"/>
        <w:spacing w:after="0" w:line="268"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2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$0.1 million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8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76,387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99,442</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21"/>
        </w:trPr>
        <w:tc>
          <w:tcPr>
            <w:tcW w:w="76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76,487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99,542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payors) consist of healthcare insurers, government payors (primarily Medicare and Medicaid), client payors (i.e., hospitals, other laboratories, etc.), and patient self-pay. The Company's service is a single performance obligation that is completed upon the delivery of test results to the prescribing physician which triggers revenue recognition.</w:t>
      </w:r>
    </w:p>
    <w:p>
      <w:pPr>
        <w:spacing w:after="0" w:line="18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Payors are billed at the Company's list price.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occur. Further adjustments to the allowances, based on actual receipts, are recorded upon settlement. Included in revenues for the three months ended June 30, 2022 and 2021 was a $1.8 million net revenue decrease and a $ 0.1 million net revenue increase, respectively, associated with changes in estimated variable consideration related to performance obligations satisfied in previous periods. Such amounts of variable consideration for the six months ended June 30, 2022 and 2021 were $2.2 million and $0.1 million, respectively, of net revenue decreases. The transaction price is estimated using an expected value method on a portfolio basis. The Company's portfolios are grouped per payor (i.e. each individual third-party insurance, Medicare, client payors, patient self-pay, etc.) and per test basis.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w:t>
      </w:r>
    </w:p>
    <w:p>
      <w:pPr>
        <w:spacing w:after="0" w:line="18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0" w:name="page11"/>
    <w:bookmarkEnd w:id="10"/>
    <w:p>
      <w:pPr>
        <w:ind w:right="120"/>
        <w:spacing w:after="0" w:line="237" w:lineRule="auto"/>
        <w:rPr>
          <w:sz w:val="20"/>
          <w:szCs w:val="20"/>
          <w:color w:val="auto"/>
        </w:rPr>
      </w:pPr>
      <w:r>
        <w:rPr>
          <w:rFonts w:ascii="Arial" w:cs="Arial" w:eastAsia="Arial" w:hAnsi="Arial"/>
          <w:sz w:val="18"/>
          <w:szCs w:val="18"/>
          <w:color w:val="auto"/>
        </w:rPr>
        <w:t>In December 2018, the Company entered into a co-promotion agreement (as amended from time to time, the Janssen Agreement) with Janssen Biotech, Inc. (Janssen) to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In August 2021, the Company and Janssen mutually agreed to terminate the Janssen Agreement effective on August 31, 2021.</w:t>
      </w:r>
    </w:p>
    <w:p>
      <w:pPr>
        <w:spacing w:after="0" w:line="194"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Pursuant to the Janssen Agreement, as amended, the Company was responsible for the costs associated with its sales force over the course of such co-promotion. Janssen was responsible for all other aspects of the commercialization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the Company's sales and co-promotional services, the Company was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The Company's obligations relating to sales and co-promotion services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were a series of single performance obligations since Janssen simultaneously received and consumed benefits provided by the Company's sales and co-promotional services. The method for measuring progress towards satisfying the performance obligations was based on prescribed units in excess of the contractual baseline at the contractual rate earned per unit since the Janssen Agreement, as amended, was cancelable. The Company recognized no co-promotion revenue and $0.3 million during the three months ended June 30, 2022 and 2021, respectively. The Company recognized no co-promotion revenue and $ 0.6 million during the six months ended June 30, 2022 and 2021, respectively. The related expenses for marketing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included in selling, general and administrative expenses and are expensed as incurred.</w:t>
      </w:r>
    </w:p>
    <w:p>
      <w:pPr>
        <w:spacing w:after="0" w:line="14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Upon the termination of the Janssen Agreement on August 31, 2021, the Company became entitled to receive an aggregate of $0.6 million in consideration, which was earned in the year ended December 31, 2021. Pursuant to the terms of the termination, we were restricted until May 31, 2022 from promoting any other biologic or Janus kinase inhibitor used for the treatment of indications covered by the Janssen Agreement without first obtaining Janssen's written consent. The restriction no longer applies.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categorizes leases at their commencement as either operating or finance leases. Effective January 1, 2022 upon the adoption of ASC 842, the Company recognizes operating lease ROU assets and operating lease liabilities for each lease arrangement identified. Lease liabilities are recorded at the present value of future lease payments discounted using the Company's incremental borrowing rate for the lease established at the commencement date and ROU assets are measured at the amount of the lease liability plus any initial direct costs, less any lease incentives received before commencement. Lease expense is recognized as a single lease cost over the lease term on a straight-line basis. The Company has elected not to apply the recognition requirements to short-term leases and not to separate non-lease components from lease components for its leases. See Note 5 for details on the Company's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3"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2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$0.6 million and $0.4 million for the three months ended June 30, 2022 and 2021, respectively, and $0.9 million and $0.6 million for the six months ended June 30, 2022 and 2021, respectively, and are included in selling, general and administrative expenses in the accompanying condensed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totaled approximately $0.7 million and $0.6 million for the three months ended June 30, 2022 and 2021, respectively, and $1.3 million and $1.0 million for the six months ended June 30, 2022 and 2021, respectively.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are determined using the Black-Scholes-Merton (BSM) option pricing model, which requires management to make certain assumptions regarding a number of complex and subjective variables. Equity award forfeitures are recorded as they occur.</w:t>
      </w:r>
    </w:p>
    <w:p>
      <w:pPr>
        <w:spacing w:after="0" w:line="17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fair value of each restricted stock unit is determined on the grant date using the closing price of the Company's common stock on the grant date and generally vest from the grant date in four equal annual installments subject to the holder's continued service with the Company. The Company issues new shares to satisfy restricted stock units upon vesting.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in 2022 and 2021 used to compute basic and diluted shares includes shares issuable upon the exercise of pre-funded warrants at a nominal price. Potentially dilutive common stock equivalents are comprised of warrants for the purchase of common stock, options, restricted stock units outstanding under the Company's 2019 Incentive Award Plan (the 2019 Plan) and shares of the Company's common stock pursuant to the ESPP. For the three and six months ended June 30, 2022 and 2021, there is no difference in the number of shares used to calculate basic and diluted shares outstanding as the inclusion of the potentially dilutive securities would be antidilutive.</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1"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June 30,</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746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8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2021</w:t>
            </w:r>
          </w:p>
        </w:tc>
      </w:tr>
      <w:tr>
        <w:trPr>
          <w:trHeight w:val="197"/>
        </w:trPr>
        <w:tc>
          <w:tcPr>
            <w:tcW w:w="7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409,108</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426,827</w:t>
            </w:r>
          </w:p>
        </w:tc>
      </w:tr>
      <w:tr>
        <w:trPr>
          <w:trHeight w:val="198"/>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Common stock options</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w w:val="99"/>
              </w:rPr>
              <w:t>1,949,374</w:t>
            </w:r>
          </w:p>
        </w:tc>
        <w:tc>
          <w:tcPr>
            <w:tcW w:w="100" w:type="dxa"/>
            <w:vAlign w:val="bottom"/>
          </w:tcPr>
          <w:p>
            <w:pPr>
              <w:spacing w:after="0"/>
              <w:rPr>
                <w:sz w:val="17"/>
                <w:szCs w:val="17"/>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2,123,617</w:t>
            </w:r>
          </w:p>
        </w:tc>
      </w:tr>
      <w:tr>
        <w:trPr>
          <w:trHeight w:val="207"/>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784,940</w:t>
            </w: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375,525</w:t>
            </w:r>
          </w:p>
        </w:tc>
      </w:tr>
      <w:tr>
        <w:trPr>
          <w:trHeight w:val="198"/>
        </w:trPr>
        <w:tc>
          <w:tcPr>
            <w:tcW w:w="8520" w:type="dxa"/>
            <w:vAlign w:val="bottom"/>
            <w:gridSpan w:val="2"/>
          </w:tcPr>
          <w:p>
            <w:pPr>
              <w:ind w:left="20"/>
              <w:spacing w:after="0"/>
              <w:rPr>
                <w:sz w:val="20"/>
                <w:szCs w:val="20"/>
                <w:color w:val="auto"/>
              </w:rPr>
            </w:pPr>
            <w:r>
              <w:rPr>
                <w:rFonts w:ascii="Arial" w:cs="Arial" w:eastAsia="Arial" w:hAnsi="Arial"/>
                <w:sz w:val="14"/>
                <w:szCs w:val="14"/>
                <w:color w:val="auto"/>
              </w:rPr>
              <w:t>Employee stock purchase plan</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30,303</w:t>
            </w:r>
          </w:p>
        </w:tc>
        <w:tc>
          <w:tcPr>
            <w:tcW w:w="100" w:type="dxa"/>
            <w:vAlign w:val="bottom"/>
          </w:tcPr>
          <w:p>
            <w:pPr>
              <w:spacing w:after="0"/>
              <w:rPr>
                <w:sz w:val="17"/>
                <w:szCs w:val="17"/>
                <w:color w:val="auto"/>
              </w:rPr>
            </w:pPr>
          </w:p>
        </w:tc>
        <w:tc>
          <w:tcPr>
            <w:tcW w:w="1780" w:type="dxa"/>
            <w:vAlign w:val="bottom"/>
          </w:tcPr>
          <w:p>
            <w:pPr>
              <w:jc w:val="right"/>
              <w:ind w:right="8"/>
              <w:spacing w:after="0"/>
              <w:rPr>
                <w:sz w:val="20"/>
                <w:szCs w:val="20"/>
                <w:color w:val="auto"/>
              </w:rPr>
            </w:pPr>
            <w:r>
              <w:rPr>
                <w:rFonts w:ascii="Arial" w:cs="Arial" w:eastAsia="Arial" w:hAnsi="Arial"/>
                <w:sz w:val="14"/>
                <w:szCs w:val="14"/>
                <w:color w:val="auto"/>
              </w:rPr>
              <w:t>12,525</w:t>
            </w:r>
          </w:p>
        </w:tc>
      </w:tr>
      <w:tr>
        <w:trPr>
          <w:trHeight w:val="221"/>
        </w:trPr>
        <w:tc>
          <w:tcPr>
            <w:tcW w:w="7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3,173,725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2,938,494</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3"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3" w:lineRule="exact"/>
        <w:rPr>
          <w:sz w:val="20"/>
          <w:szCs w:val="20"/>
          <w:color w:val="auto"/>
        </w:rPr>
      </w:pPr>
    </w:p>
    <w:p>
      <w:pPr>
        <w:jc w:val="both"/>
        <w:ind w:right="460"/>
        <w:spacing w:after="0" w:line="26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(EGC). The Company has elected to use the extended transition period for complying with new or revised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2" w:name="page13"/>
    <w:bookmarkEnd w:id="12"/>
    <w:p>
      <w:pPr>
        <w:ind w:right="140"/>
        <w:spacing w:after="0" w:line="287" w:lineRule="auto"/>
        <w:rPr>
          <w:sz w:val="20"/>
          <w:szCs w:val="20"/>
          <w:color w:val="auto"/>
        </w:rPr>
      </w:pPr>
      <w:r>
        <w:rPr>
          <w:rFonts w:ascii="Arial" w:cs="Arial" w:eastAsia="Arial" w:hAnsi="Arial"/>
          <w:sz w:val="18"/>
          <w:szCs w:val="18"/>
          <w:color w:val="auto"/>
        </w:rPr>
        <w:t>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pacing w:after="0" w:line="1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June 2016, the FASB issued Accounting Standards Update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the measurement of expected credit losses for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carried at amortized cost, such as accounts receivable,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In November 2018, the FASB issued ASU 2018-19, </w:t>
      </w:r>
      <w:r>
        <w:rPr>
          <w:rFonts w:ascii="Arial" w:cs="Arial" w:eastAsia="Arial" w:hAnsi="Arial"/>
          <w:sz w:val="18"/>
          <w:szCs w:val="18"/>
          <w:i w:val="1"/>
          <w:iCs w:val="1"/>
          <w:color w:val="auto"/>
        </w:rPr>
        <w:t>Codification Improvements to Topic 326, Financing Instruments-Credit Losses</w:t>
      </w:r>
      <w:r>
        <w:rPr>
          <w:rFonts w:ascii="Arial" w:cs="Arial" w:eastAsia="Arial" w:hAnsi="Arial"/>
          <w:sz w:val="18"/>
          <w:szCs w:val="18"/>
          <w:color w:val="auto"/>
        </w:rPr>
        <w:t>, which included an amendment of the effective date for nonpublic entities. For non-EGCs, ASU 2016-13 is effective for fiscal years beginning after December 15, 2019. For EGCs, the standard was to be effective for fiscal years beginning after December 15, 2021. However, in November 2019, the FASB issued ASU 2019 -10, which included a one-year deferral of the effective date of ASU 2016-13 for certain entities. As a result, the ASU 2016-13 is now effective for EGCs for fiscal years beginning after December 15, 2022, including interim periods within those fiscal years. The Company is currently evaluating the impact of Topic 326 on its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The new topic supersedes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7"/>
          <w:szCs w:val="17"/>
          <w:i w:val="1"/>
          <w:iCs w:val="1"/>
          <w:color w:val="auto"/>
        </w:rPr>
        <w:t>Codification Improvements to Topic</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842</w:t>
      </w:r>
      <w:r>
        <w:rPr>
          <w:rFonts w:ascii="Arial" w:cs="Arial" w:eastAsia="Arial" w:hAnsi="Arial"/>
          <w:sz w:val="18"/>
          <w:szCs w:val="18"/>
          <w:color w:val="auto"/>
        </w:rPr>
        <w:t>, which provides narrow amendments to clarify how to apply certain aspects of the new lease standard, and ASU 2018-11,</w:t>
      </w:r>
      <w:r>
        <w:rPr>
          <w:rFonts w:ascii="Arial" w:cs="Arial" w:eastAsia="Arial" w:hAnsi="Arial"/>
          <w:sz w:val="18"/>
          <w:szCs w:val="18"/>
          <w:i w:val="1"/>
          <w:iCs w:val="1"/>
          <w:color w:val="auto"/>
        </w:rPr>
        <w:t xml:space="preserve"> Leases: Targeted Improvements</w:t>
      </w:r>
      <w:r>
        <w:rPr>
          <w:rFonts w:ascii="Arial" w:cs="Arial" w:eastAsia="Arial" w:hAnsi="Arial"/>
          <w:sz w:val="18"/>
          <w:szCs w:val="18"/>
          <w:color w:val="auto"/>
        </w:rPr>
        <w:t>, which was issued to provide relief to companies from restating comparative periods. Pursuant to this ASU,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 of adoption the Company will not restate comparative periods presented in its condensed financial statements. On January 1, 2022, the Company adopted ASU 2016-12 using the modified retrospective transition method. Periods prior to January 1, 2022 have not been restated for the adoption of ASC 842 and continue to reflect the accounting treatment of leases in accordance with the prior lease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The Company adopted the new lease standard using a cumulative effect to accumulated deficit and there was no impact to accumulated deficit upon adoption. The Company elected the package of practical expedients, which among other things allowed the Company to carry forward its historical lease classification. As part of the adoption, the Company recorded operating lease liabilities of $6.4 million, operating lease ROU assets of $5.9 million, adjusted for deferred rent and lease incentive obligations of $0.5 million previously included in other non-current liabilities and accrued and other current liabilities, pertaining to its office and laboratory space operating leases. See Note 5 for details on the Company's leases.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Prepaid product royalties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r>
      <w:tr>
        <w:trPr>
          <w:trHeight w:val="22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4,846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4,361</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1,151</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11,688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8,656</w:t>
            </w:r>
          </w:p>
        </w:tc>
      </w:tr>
      <w:tr>
        <w:trPr>
          <w:trHeight w:val="207"/>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(3,884)</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4,772</w:t>
            </w:r>
          </w:p>
        </w:tc>
      </w:tr>
      <w:tr>
        <w:trPr>
          <w:trHeight w:val="24"/>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Depreciation and amortization expense for the three months ended June 30, 2022 and 2021 was approximately $0.3 million and $0.2 million, respectively, and for the six months ended June 30, 2022 and 2021, was approximately $0.6 million and $0.4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4,048</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purchases of goods and services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Accrued royalties</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clinical study activity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Finance lease obligations, current portion</w:t>
            </w: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206"/>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accrued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Accrued and other current liabilities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5,489</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w:t>
            </w:r>
          </w:p>
        </w:tc>
      </w:tr>
      <w:tr>
        <w:trPr>
          <w:trHeight w:val="25"/>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$ 20.0 million, $17.8 million of which was immediately used to repay the Company's existing loan with Capital Royalty Partners II L.P. and its affiliates. On December 7, 2018, the Company borrowed an additional $5.0 million under the 2017 Term Loan. The 2017 Term Loan was subsequently amended in November 2019 and November 2021. As of June 30, 2022, no additional amounts remain available to borrow under the 2017 Term Loan.</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November 2021, the Company executed the Second Amendment to the Loan and Security Agreement (the 2017 Loan Amendment). The interest rate on all borrowings under the 2017 Loan Amendment is 8.0%, of which 2.0% is paid in-kind in the form of additional term loans (PIK Loans) until December of 2024, after which interest accrues at an annual rate of 8.0%. The Company has estimated the effective interest rate of this loan to be approximately 8.5%. Accrued interest is due and payable monthly, unless the Company elects to pay paid-in-kind interest. The outstanding principal and accrued interest on the 2017 Loan Amendment will be repaid in twenty-four equal monthly installments commencing in December 2024. Upon repayment of the final installment under the 2017 Loan Amendment, the Company is required to pay an additional fee of $1.0 million. This obligation is being accreted into interest expense over the term of the 2017 Loan Amendment using the effective interest method. For each of the three months ended June 30, 2022 and 2021, the Company issued PIK Loans totaling $0.1 million. For each of the six months ended June 30, 2022 and 2021, the Company issued PIK Loans totaling $0.3 million.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ind w:right="660"/>
        <w:spacing w:after="0" w:line="287" w:lineRule="auto"/>
        <w:rPr>
          <w:sz w:val="20"/>
          <w:szCs w:val="20"/>
          <w:color w:val="auto"/>
        </w:rPr>
      </w:pPr>
      <w:r>
        <w:rPr>
          <w:rFonts w:ascii="Arial" w:cs="Arial" w:eastAsia="Arial" w:hAnsi="Arial"/>
          <w:sz w:val="18"/>
          <w:szCs w:val="18"/>
          <w:color w:val="auto"/>
        </w:rPr>
        <w:t>The 2017 Loan Amendment requires a prepayment premium of 3% of the aggregate outstanding principal. The prepayment premium decreases by 1% on November 1, 2022, 2023 and 2024.</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2017 Loan Amendment is collateralized by a first priority security interest in substantially all of the Company's assets, including intellectual property. The affirmative covenants of the 2017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17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affirmative covenants require that the Company achieve a specified level of revenue, as measured quarterly on a rolling twelve-month basis, and commencing with the quarter ending December 31, 2022. The consequences of failing to achieve the performance covenant may be cured if, within sixty days of failing to achieve the performance covenant, the Company issues additional equity securities or subordinated debt with net proceeds sufficient to fund any cash flow deficiency generated from operations, as defined. The 2017 Loan Amendment requires that the Company maintain certain levels of minimum liquidity and maintains an unrestricted cash balance of $2.0 million.</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2017 Loan Amendment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 Company was in compliance with all covenants of the 2017 Loan Amendment.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an event of default in any of the 2017 Loan Amendment covenants, the repayment of the 2017 Loan Amendment may be accelerated, and the applicable interest rate will be increased by 4.0% until the default is cured. Although repayment of the 2017 Loan Amendment can be accelerated under certain circumstances, the Company believes acceleration of this loan is not probable as of the date of these condensed financial statements. Accordingly, the Company has reflected the amounts of the 2017 Loan Amendment due beyond twelve months of the balance sheet date as non-current.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2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of June 30, 2022, future minimum aggregate payments, including interest, for outstanding borrowings under the 2017 Loan Amendment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(remaining)</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r>
      <w:tr>
        <w:trPr>
          <w:trHeight w:val="198"/>
        </w:trPr>
        <w:tc>
          <w:tcPr>
            <w:tcW w:w="9440" w:type="dxa"/>
            <w:vAlign w:val="bottom"/>
          </w:tcPr>
          <w:p>
            <w:pPr>
              <w:ind w:left="20"/>
              <w:spacing w:after="0"/>
              <w:rPr>
                <w:sz w:val="20"/>
                <w:szCs w:val="20"/>
                <w:color w:val="auto"/>
              </w:rPr>
            </w:pPr>
            <w:r>
              <w:rPr>
                <w:rFonts w:ascii="Arial" w:cs="Arial" w:eastAsia="Arial" w:hAnsi="Arial"/>
                <w:sz w:val="14"/>
                <w:szCs w:val="14"/>
                <w:color w:val="auto"/>
              </w:rPr>
              <w:t>2023</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1,686</w:t>
            </w:r>
          </w:p>
        </w:tc>
      </w:tr>
      <w:tr>
        <w:trPr>
          <w:trHeight w:val="207"/>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2,980</w:t>
            </w:r>
          </w:p>
        </w:tc>
      </w:tr>
      <w:tr>
        <w:trPr>
          <w:trHeight w:val="198"/>
        </w:trPr>
        <w:tc>
          <w:tcPr>
            <w:tcW w:w="9440" w:type="dxa"/>
            <w:vAlign w:val="bottom"/>
          </w:tcPr>
          <w:p>
            <w:pPr>
              <w:ind w:left="20"/>
              <w:spacing w:after="0"/>
              <w:rPr>
                <w:sz w:val="20"/>
                <w:szCs w:val="20"/>
                <w:color w:val="auto"/>
              </w:rPr>
            </w:pPr>
            <w:r>
              <w:rPr>
                <w:rFonts w:ascii="Arial" w:cs="Arial" w:eastAsia="Arial" w:hAnsi="Arial"/>
                <w:sz w:val="14"/>
                <w:szCs w:val="14"/>
                <w:color w:val="auto"/>
              </w:rPr>
              <w:t>2025</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16,152</w:t>
            </w:r>
          </w:p>
        </w:tc>
      </w:tr>
      <w:tr>
        <w:trPr>
          <w:trHeight w:val="206"/>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14,786</w:t>
            </w:r>
          </w:p>
        </w:tc>
      </w:tr>
      <w:tr>
        <w:trPr>
          <w:trHeight w:val="192"/>
        </w:trPr>
        <w:tc>
          <w:tcPr>
            <w:tcW w:w="9440" w:type="dxa"/>
            <w:vAlign w:val="bottom"/>
          </w:tcPr>
          <w:p>
            <w:pPr>
              <w:ind w:left="360"/>
              <w:spacing w:after="0"/>
              <w:rPr>
                <w:sz w:val="20"/>
                <w:szCs w:val="20"/>
                <w:color w:val="auto"/>
              </w:rPr>
            </w:pPr>
            <w:r>
              <w:rPr>
                <w:rFonts w:ascii="Arial" w:cs="Arial" w:eastAsia="Arial" w:hAnsi="Arial"/>
                <w:sz w:val="14"/>
                <w:szCs w:val="14"/>
                <w:color w:val="auto"/>
              </w:rPr>
              <w:t>Total</w:t>
            </w:r>
          </w:p>
        </w:tc>
        <w:tc>
          <w:tcPr>
            <w:tcW w:w="7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36,441</w:t>
            </w:r>
          </w:p>
        </w:tc>
      </w:tr>
      <w:tr>
        <w:trPr>
          <w:trHeight w:val="207"/>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9440" w:type="dxa"/>
            <w:vAlign w:val="bottom"/>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207"/>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Interest</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(8,431)</w:t>
            </w:r>
          </w:p>
        </w:tc>
      </w:tr>
      <w:tr>
        <w:trPr>
          <w:trHeight w:val="192"/>
        </w:trPr>
        <w:tc>
          <w:tcPr>
            <w:tcW w:w="9440" w:type="dxa"/>
            <w:vAlign w:val="bottom"/>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27,828</w:t>
            </w:r>
          </w:p>
        </w:tc>
      </w:tr>
      <w:tr>
        <w:trPr>
          <w:trHeight w:val="25"/>
        </w:trPr>
        <w:tc>
          <w:tcPr>
            <w:tcW w:w="9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5" w:name="page16"/>
    <w:bookmarkEnd w:id="15"/>
    <w:p>
      <w:pPr>
        <w:ind w:right="180"/>
        <w:spacing w:after="0" w:line="287" w:lineRule="auto"/>
        <w:rPr>
          <w:sz w:val="20"/>
          <w:szCs w:val="20"/>
          <w:color w:val="auto"/>
        </w:rPr>
      </w:pPr>
      <w:r>
        <w:rPr>
          <w:rFonts w:ascii="Arial" w:cs="Arial" w:eastAsia="Arial" w:hAnsi="Arial"/>
          <w:sz w:val="18"/>
          <w:szCs w:val="18"/>
          <w:color w:val="auto"/>
        </w:rPr>
        <w:t xml:space="preserve">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2022. Prior period amounts have not been adjusted and continue to be reported in accordance with the Company's historic accounting under ASC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leases office and laboratory spaces in Vista, California, under leases that expire in April 2027, with an option to extend portions of the leases for additional 5-year periods. The Company has not included the optional renewal periods in the measurement of the lease liabilities because it is not reasonably certain that the Company will exercise these renewal options. The Company's lease payments under each of these leases are subject to escalation clauses.</w:t>
      </w:r>
    </w:p>
    <w:p>
      <w:pPr>
        <w:spacing w:after="0" w:line="17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Effective on August 23, 2021, the Company entered into a sub-lease agreement for an additional office space in Carlsbad, California. The sub-lease commenced in October 2021 and expires in April 2027. The sub-lease agreement provides for monthly base rent of $66,021 which began on October 1, 2021, and such amount shall increase by approximately 3% annually beginning October 1, 2022. The Company is entitled to base rent abatement for a specified period of time which began on November 1, 2021.</w:t>
      </w:r>
    </w:p>
    <w:p>
      <w:pPr>
        <w:spacing w:after="0" w:line="17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Company determines if a contract contains a lease at inception or modification of a contract. The Company discounts their lease obligations using its incremental borrowing rate at the commencement date. The incremental borrowing rate is the rate of interest the Company would have to pay to borrow on a collateralized basis over a similar term and amount equal to the lease payments in a similar economic environment. The Company primarily considers industry data, its credit rating and the lease term to determine its incremental borrowing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2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has entered into various finance lease agreements to obtain laboratory equipment. The terms of the Company's finance leases generally range from three to five years and are typically secured by the underlying equipment. The portion of the future payments designated as principal repayments were classified as finance lease liabilities on the Company's balance sheet.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Finance Leases Balances and Costs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Operating and finance leases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Lease Balance</w:t>
            </w:r>
          </w:p>
        </w:tc>
        <w:tc>
          <w:tcPr>
            <w:tcW w:w="160" w:type="dxa"/>
            <w:vAlign w:val="bottom"/>
            <w:tcBorders>
              <w:bottom w:val="single" w:sz="8" w:color="CCEEFF"/>
            </w:tcBorders>
          </w:tcPr>
          <w:p>
            <w:pPr>
              <w:spacing w:after="0"/>
              <w:rPr>
                <w:sz w:val="17"/>
                <w:szCs w:val="17"/>
                <w:color w:val="auto"/>
              </w:rPr>
            </w:pPr>
          </w:p>
        </w:tc>
        <w:tc>
          <w:tcPr>
            <w:tcW w:w="57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Classification</w:t>
            </w:r>
          </w:p>
        </w:tc>
        <w:tc>
          <w:tcPr>
            <w:tcW w:w="1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June 30, 2022</w:t>
            </w:r>
          </w:p>
        </w:tc>
      </w:tr>
      <w:tr>
        <w:trPr>
          <w:trHeight w:val="197"/>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Assets</w:t>
            </w:r>
          </w:p>
        </w:tc>
        <w:tc>
          <w:tcPr>
            <w:tcW w:w="5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198"/>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5940" w:type="dxa"/>
            <w:vAlign w:val="bottom"/>
            <w:gridSpan w:val="2"/>
          </w:tcPr>
          <w:p>
            <w:pPr>
              <w:ind w:left="20"/>
              <w:spacing w:after="0"/>
              <w:rPr>
                <w:sz w:val="20"/>
                <w:szCs w:val="20"/>
                <w:color w:val="auto"/>
              </w:rPr>
            </w:pPr>
            <w:r>
              <w:rPr>
                <w:rFonts w:ascii="Arial" w:cs="Arial" w:eastAsia="Arial" w:hAnsi="Arial"/>
                <w:sz w:val="14"/>
                <w:szCs w:val="14"/>
                <w:color w:val="auto"/>
              </w:rPr>
              <w:t>Operating lease right-of-use assets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5,338</w:t>
            </w:r>
          </w:p>
        </w:tc>
      </w:tr>
      <w:tr>
        <w:trPr>
          <w:trHeight w:val="207"/>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r>
      <w:tr>
        <w:trPr>
          <w:trHeight w:val="270"/>
        </w:trPr>
        <w:tc>
          <w:tcPr>
            <w:tcW w:w="2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5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198"/>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7"/>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Operating</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r>
      <w:tr>
        <w:trPr>
          <w:trHeight w:val="198"/>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Finance</w:t>
            </w:r>
          </w:p>
        </w:tc>
        <w:tc>
          <w:tcPr>
            <w:tcW w:w="5940" w:type="dxa"/>
            <w:vAlign w:val="bottom"/>
            <w:gridSpan w:val="2"/>
          </w:tcPr>
          <w:p>
            <w:pPr>
              <w:ind w:left="20"/>
              <w:spacing w:after="0"/>
              <w:rPr>
                <w:sz w:val="20"/>
                <w:szCs w:val="20"/>
                <w:color w:val="auto"/>
              </w:rPr>
            </w:pPr>
            <w:r>
              <w:rPr>
                <w:rFonts w:ascii="Arial" w:cs="Arial" w:eastAsia="Arial" w:hAnsi="Arial"/>
                <w:sz w:val="14"/>
                <w:szCs w:val="14"/>
                <w:color w:val="auto"/>
              </w:rPr>
              <w:t>Accrued and other current liabilities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679</w:t>
            </w:r>
          </w:p>
        </w:tc>
      </w:tr>
      <w:tr>
        <w:trPr>
          <w:trHeight w:val="207"/>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Non-current</w:t>
            </w:r>
          </w:p>
        </w:tc>
        <w:tc>
          <w:tcPr>
            <w:tcW w:w="5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198"/>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5940" w:type="dxa"/>
            <w:vAlign w:val="bottom"/>
            <w:gridSpan w:val="2"/>
          </w:tcPr>
          <w:p>
            <w:pPr>
              <w:ind w:left="20"/>
              <w:spacing w:after="0"/>
              <w:rPr>
                <w:sz w:val="20"/>
                <w:szCs w:val="20"/>
                <w:color w:val="auto"/>
              </w:rPr>
            </w:pPr>
            <w:r>
              <w:rPr>
                <w:rFonts w:ascii="Arial" w:cs="Arial" w:eastAsia="Arial" w:hAnsi="Arial"/>
                <w:sz w:val="14"/>
                <w:szCs w:val="14"/>
                <w:color w:val="auto"/>
              </w:rPr>
              <w:t>Non-current operating lease liabilities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5,027</w:t>
            </w:r>
          </w:p>
        </w:tc>
      </w:tr>
      <w:tr>
        <w:trPr>
          <w:trHeight w:val="207"/>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the Company's leases were included in the statements of operations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 Cost</w:t>
            </w:r>
          </w:p>
        </w:tc>
        <w:tc>
          <w:tcPr>
            <w:tcW w:w="2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100" w:type="dxa"/>
            <w:vAlign w:val="bottom"/>
          </w:tcPr>
          <w:p>
            <w:pPr>
              <w:jc w:val="right"/>
              <w:ind w:right="1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63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40"/>
              <w:spacing w:after="0" w:line="202" w:lineRule="exact"/>
              <w:rPr>
                <w:sz w:val="20"/>
                <w:szCs w:val="20"/>
                <w:color w:val="auto"/>
              </w:rPr>
            </w:pPr>
            <w:r>
              <w:rPr>
                <w:rFonts w:ascii="Arial" w:cs="Arial" w:eastAsia="Arial" w:hAnsi="Arial"/>
                <w:sz w:val="14"/>
                <w:szCs w:val="14"/>
                <w:color w:val="auto"/>
              </w:rPr>
              <w:t>Operating lease cost</w:t>
            </w:r>
            <w:r>
              <w:rPr>
                <w:rFonts w:ascii="Arial" w:cs="Arial" w:eastAsia="Arial" w:hAnsi="Arial"/>
                <w:sz w:val="18"/>
                <w:szCs w:val="18"/>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100" w:type="dxa"/>
            <w:vAlign w:val="bottom"/>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60" w:type="dxa"/>
            <w:vAlign w:val="bottom"/>
            <w:gridSpan w:val="2"/>
          </w:tcPr>
          <w:p>
            <w:pPr>
              <w:ind w:left="240"/>
              <w:spacing w:after="0"/>
              <w:rPr>
                <w:sz w:val="20"/>
                <w:szCs w:val="20"/>
                <w:color w:val="auto"/>
              </w:rPr>
            </w:pPr>
            <w:r>
              <w:rPr>
                <w:rFonts w:ascii="Arial" w:cs="Arial" w:eastAsia="Arial" w:hAnsi="Arial"/>
                <w:sz w:val="14"/>
                <w:szCs w:val="14"/>
                <w:color w:val="auto"/>
              </w:rPr>
              <w:t>Amortization of lease assets</w:t>
            </w:r>
          </w:p>
        </w:tc>
        <w:tc>
          <w:tcPr>
            <w:tcW w:w="100" w:type="dxa"/>
            <w:vAlign w:val="bottom"/>
          </w:tcPr>
          <w:p>
            <w:pPr>
              <w:spacing w:after="0"/>
              <w:rPr>
                <w:sz w:val="17"/>
                <w:szCs w:val="17"/>
                <w:color w:val="auto"/>
              </w:rPr>
            </w:pPr>
          </w:p>
        </w:tc>
        <w:tc>
          <w:tcPr>
            <w:tcW w:w="2140" w:type="dxa"/>
            <w:vAlign w:val="bottom"/>
          </w:tcPr>
          <w:p>
            <w:pPr>
              <w:jc w:val="right"/>
              <w:ind w:right="8"/>
              <w:spacing w:after="0"/>
              <w:rPr>
                <w:sz w:val="20"/>
                <w:szCs w:val="20"/>
                <w:color w:val="auto"/>
              </w:rPr>
            </w:pPr>
            <w:r>
              <w:rPr>
                <w:rFonts w:ascii="Arial" w:cs="Arial" w:eastAsia="Arial" w:hAnsi="Arial"/>
                <w:sz w:val="14"/>
                <w:szCs w:val="14"/>
                <w:color w:val="auto"/>
              </w:rPr>
              <w:t>158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3"/>
        </w:trPr>
        <w:tc>
          <w:tcPr>
            <w:tcW w:w="6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Interest on finance lease liabilities</w:t>
            </w:r>
          </w:p>
        </w:tc>
        <w:tc>
          <w:tcPr>
            <w:tcW w:w="100" w:type="dxa"/>
            <w:vAlign w:val="bottom"/>
            <w:tcBorders>
              <w:bottom w:val="single" w:sz="8" w:color="auto"/>
            </w:tcBorders>
            <w:shd w:val="clear" w:color="auto" w:fill="CCEEFF"/>
          </w:tcPr>
          <w:p>
            <w:pPr>
              <w:spacing w:after="0"/>
              <w:rPr>
                <w:sz w:val="17"/>
                <w:szCs w:val="17"/>
                <w:color w:val="auto"/>
              </w:rPr>
            </w:pPr>
          </w:p>
        </w:tc>
        <w:tc>
          <w:tcPr>
            <w:tcW w:w="2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0"/>
        </w:trPr>
        <w:tc>
          <w:tcPr>
            <w:tcW w:w="6560" w:type="dxa"/>
            <w:vAlign w:val="bottom"/>
            <w:gridSpan w:val="2"/>
          </w:tcPr>
          <w:p>
            <w:pPr>
              <w:ind w:left="240"/>
              <w:spacing w:after="0"/>
              <w:rPr>
                <w:sz w:val="20"/>
                <w:szCs w:val="20"/>
                <w:color w:val="auto"/>
              </w:rPr>
            </w:pPr>
            <w:r>
              <w:rPr>
                <w:rFonts w:ascii="Arial" w:cs="Arial" w:eastAsia="Arial" w:hAnsi="Arial"/>
                <w:sz w:val="14"/>
                <w:szCs w:val="14"/>
                <w:color w:val="auto"/>
              </w:rPr>
              <w:t>Total lease cost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563</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9000" w:type="dxa"/>
            <w:vAlign w:val="bottom"/>
            <w:gridSpan w:val="5"/>
          </w:tcPr>
          <w:p>
            <w:pPr>
              <w:spacing w:after="0"/>
              <w:rPr>
                <w:sz w:val="20"/>
                <w:szCs w:val="20"/>
                <w:color w:val="auto"/>
              </w:rPr>
            </w:pPr>
            <w:r>
              <w:rPr>
                <w:rFonts w:ascii="Arial" w:cs="Arial" w:eastAsia="Arial" w:hAnsi="Arial"/>
                <w:sz w:val="14"/>
                <w:szCs w:val="14"/>
                <w:color w:val="auto"/>
              </w:rPr>
              <w:t>(1) Includes variable lease cost of $42,000 and $84,000 for the three and six months ended June 30, 2022, respectively.</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6560" w:type="dxa"/>
            <w:vAlign w:val="bottom"/>
            <w:gridSpan w:val="2"/>
          </w:tcPr>
          <w:p>
            <w:pPr>
              <w:spacing w:after="0"/>
              <w:rPr>
                <w:sz w:val="20"/>
                <w:szCs w:val="20"/>
                <w:color w:val="auto"/>
              </w:rPr>
            </w:pPr>
            <w:r>
              <w:rPr>
                <w:rFonts w:ascii="Arial" w:cs="Arial" w:eastAsia="Arial" w:hAnsi="Arial"/>
                <w:sz w:val="18"/>
                <w:szCs w:val="18"/>
                <w:color w:val="auto"/>
              </w:rPr>
              <w:t>Supplemental cash flow information on leases is as follows (in thousands):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2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Six months ended June 30, 2022</w:t>
            </w:r>
          </w:p>
        </w:tc>
      </w:tr>
      <w:tr>
        <w:trPr>
          <w:trHeight w:val="197"/>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cash out flows from operating leases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r>
      <w:tr>
        <w:trPr>
          <w:trHeight w:val="198"/>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Operating cash out flows from interest paid on finance leases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32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7"/>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cash out flows from finance leases</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3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weighted-average lease term and weighted average discount rate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Borders>
              <w:bottom w:val="single" w:sz="8" w:color="CCEEFF"/>
            </w:tcBorders>
          </w:tcPr>
          <w:p>
            <w:pPr>
              <w:spacing w:after="0"/>
              <w:rPr>
                <w:sz w:val="17"/>
                <w:szCs w:val="17"/>
                <w:color w:val="auto"/>
              </w:rPr>
            </w:pPr>
          </w:p>
        </w:tc>
        <w:tc>
          <w:tcPr>
            <w:tcW w:w="3760" w:type="dxa"/>
            <w:vAlign w:val="bottom"/>
            <w:tcBorders>
              <w:bottom w:val="single" w:sz="8" w:color="auto"/>
            </w:tcBorders>
          </w:tcPr>
          <w:p>
            <w:pPr>
              <w:jc w:val="right"/>
              <w:ind w:right="1328"/>
              <w:spacing w:after="0"/>
              <w:rPr>
                <w:sz w:val="20"/>
                <w:szCs w:val="20"/>
                <w:color w:val="auto"/>
              </w:rPr>
            </w:pPr>
            <w:r>
              <w:rPr>
                <w:rFonts w:ascii="Arial" w:cs="Arial" w:eastAsia="Arial" w:hAnsi="Arial"/>
                <w:sz w:val="14"/>
                <w:szCs w:val="14"/>
                <w:b w:val="1"/>
                <w:bCs w:val="1"/>
                <w:color w:val="auto"/>
              </w:rPr>
              <w:t>June 30, 2022</w:t>
            </w:r>
          </w:p>
        </w:tc>
      </w:tr>
      <w:tr>
        <w:trPr>
          <w:trHeight w:val="183"/>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3760" w:type="dxa"/>
            <w:vAlign w:val="bottom"/>
            <w:shd w:val="clear" w:color="auto" w:fill="CCEEFF"/>
          </w:tcPr>
          <w:p>
            <w:pPr>
              <w:spacing w:after="0"/>
              <w:rPr>
                <w:sz w:val="15"/>
                <w:szCs w:val="15"/>
                <w:color w:val="auto"/>
              </w:rPr>
            </w:pPr>
          </w:p>
        </w:tc>
      </w:tr>
      <w:tr>
        <w:trPr>
          <w:trHeight w:val="198"/>
        </w:trPr>
        <w:tc>
          <w:tcPr>
            <w:tcW w:w="7480" w:type="dxa"/>
            <w:vAlign w:val="bottom"/>
          </w:tcPr>
          <w:p>
            <w:pPr>
              <w:ind w:left="240"/>
              <w:spacing w:after="0"/>
              <w:rPr>
                <w:sz w:val="20"/>
                <w:szCs w:val="20"/>
                <w:color w:val="auto"/>
              </w:rPr>
            </w:pPr>
            <w:r>
              <w:rPr>
                <w:rFonts w:ascii="Arial" w:cs="Arial" w:eastAsia="Arial" w:hAnsi="Arial"/>
                <w:sz w:val="14"/>
                <w:szCs w:val="14"/>
                <w:color w:val="auto"/>
              </w:rPr>
              <w:t>Operating leases</w:t>
            </w:r>
          </w:p>
        </w:tc>
        <w:tc>
          <w:tcPr>
            <w:tcW w:w="37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07"/>
        </w:trPr>
        <w:tc>
          <w:tcPr>
            <w:tcW w:w="7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Finance leases</w:t>
            </w:r>
          </w:p>
        </w:tc>
        <w:tc>
          <w:tcPr>
            <w:tcW w:w="3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8"/>
        </w:trPr>
        <w:tc>
          <w:tcPr>
            <w:tcW w:w="748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3760" w:type="dxa"/>
            <w:vAlign w:val="bottom"/>
          </w:tcPr>
          <w:p>
            <w:pPr>
              <w:spacing w:after="0"/>
              <w:rPr>
                <w:sz w:val="17"/>
                <w:szCs w:val="17"/>
                <w:color w:val="auto"/>
              </w:rPr>
            </w:pPr>
          </w:p>
        </w:tc>
      </w:tr>
      <w:tr>
        <w:trPr>
          <w:trHeight w:val="207"/>
        </w:trPr>
        <w:tc>
          <w:tcPr>
            <w:tcW w:w="7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leases</w:t>
            </w:r>
          </w:p>
        </w:tc>
        <w:tc>
          <w:tcPr>
            <w:tcW w:w="3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r>
      <w:tr>
        <w:trPr>
          <w:trHeight w:val="195"/>
        </w:trPr>
        <w:tc>
          <w:tcPr>
            <w:tcW w:w="7480" w:type="dxa"/>
            <w:vAlign w:val="bottom"/>
          </w:tcPr>
          <w:p>
            <w:pPr>
              <w:ind w:left="240"/>
              <w:spacing w:after="0"/>
              <w:rPr>
                <w:sz w:val="20"/>
                <w:szCs w:val="20"/>
                <w:color w:val="auto"/>
              </w:rPr>
            </w:pPr>
            <w:r>
              <w:rPr>
                <w:rFonts w:ascii="Arial" w:cs="Arial" w:eastAsia="Arial" w:hAnsi="Arial"/>
                <w:sz w:val="14"/>
                <w:szCs w:val="14"/>
                <w:color w:val="auto"/>
              </w:rPr>
              <w:t>Finance leases</w:t>
            </w:r>
          </w:p>
        </w:tc>
        <w:tc>
          <w:tcPr>
            <w:tcW w:w="3760" w:type="dxa"/>
            <w:vAlign w:val="bottom"/>
          </w:tcPr>
          <w:p>
            <w:pPr>
              <w:jc w:val="right"/>
              <w:spacing w:after="0"/>
              <w:rPr>
                <w:sz w:val="20"/>
                <w:szCs w:val="20"/>
                <w:color w:val="auto"/>
              </w:rPr>
            </w:pPr>
            <w:r>
              <w:rPr>
                <w:rFonts w:ascii="Arial" w:cs="Arial" w:eastAsia="Arial" w:hAnsi="Arial"/>
                <w:sz w:val="14"/>
                <w:szCs w:val="14"/>
                <w:color w:val="auto"/>
              </w:rPr>
              <w:t>5.5 %</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under operating and finance leases as of June 30, 2022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50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Finance Leases</w:t>
            </w:r>
          </w:p>
        </w:tc>
      </w:tr>
      <w:tr>
        <w:trPr>
          <w:trHeight w:val="197"/>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(remaining)</w:t>
            </w:r>
          </w:p>
        </w:tc>
        <w:tc>
          <w:tcPr>
            <w:tcW w:w="1740" w:type="dxa"/>
            <w:vAlign w:val="bottom"/>
            <w:shd w:val="clear" w:color="auto" w:fill="CCEEFF"/>
          </w:tcPr>
          <w:p>
            <w:pPr>
              <w:jc w:val="right"/>
              <w:ind w:right="15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705</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r>
      <w:tr>
        <w:trPr>
          <w:trHeight w:val="198"/>
        </w:trPr>
        <w:tc>
          <w:tcPr>
            <w:tcW w:w="6560" w:type="dxa"/>
            <w:vAlign w:val="bottom"/>
          </w:tcPr>
          <w:p>
            <w:pPr>
              <w:ind w:left="20"/>
              <w:spacing w:after="0"/>
              <w:rPr>
                <w:sz w:val="20"/>
                <w:szCs w:val="20"/>
                <w:color w:val="auto"/>
              </w:rPr>
            </w:pPr>
            <w:r>
              <w:rPr>
                <w:rFonts w:ascii="Arial" w:cs="Arial" w:eastAsia="Arial" w:hAnsi="Arial"/>
                <w:sz w:val="14"/>
                <w:szCs w:val="14"/>
                <w:color w:val="auto"/>
              </w:rPr>
              <w:t>2023</w:t>
            </w:r>
          </w:p>
        </w:tc>
        <w:tc>
          <w:tcPr>
            <w:tcW w:w="17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1,446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672</w:t>
            </w:r>
          </w:p>
        </w:tc>
      </w:tr>
      <w:tr>
        <w:trPr>
          <w:trHeight w:val="207"/>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1,489</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r>
      <w:tr>
        <w:trPr>
          <w:trHeight w:val="198"/>
        </w:trPr>
        <w:tc>
          <w:tcPr>
            <w:tcW w:w="6560" w:type="dxa"/>
            <w:vAlign w:val="bottom"/>
          </w:tcPr>
          <w:p>
            <w:pPr>
              <w:ind w:left="20"/>
              <w:spacing w:after="0"/>
              <w:rPr>
                <w:sz w:val="20"/>
                <w:szCs w:val="20"/>
                <w:color w:val="auto"/>
              </w:rPr>
            </w:pPr>
            <w:r>
              <w:rPr>
                <w:rFonts w:ascii="Arial" w:cs="Arial" w:eastAsia="Arial" w:hAnsi="Arial"/>
                <w:sz w:val="14"/>
                <w:szCs w:val="14"/>
                <w:color w:val="auto"/>
              </w:rPr>
              <w:t>2025</w:t>
            </w:r>
          </w:p>
        </w:tc>
        <w:tc>
          <w:tcPr>
            <w:tcW w:w="174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1,533</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07"/>
        </w:trPr>
        <w:tc>
          <w:tcPr>
            <w:tcW w:w="6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minimum lease payments</w:t>
            </w: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7,296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w:t>
            </w:r>
          </w:p>
        </w:tc>
      </w:tr>
      <w:tr>
        <w:trPr>
          <w:trHeight w:val="198"/>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imputed interest</w:t>
            </w:r>
          </w:p>
        </w:tc>
        <w:tc>
          <w:tcPr>
            <w:tcW w:w="1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(1,290)</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00"/>
        </w:trPr>
        <w:tc>
          <w:tcPr>
            <w:tcW w:w="6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lease liabilities</w:t>
            </w:r>
          </w:p>
        </w:tc>
        <w:tc>
          <w:tcPr>
            <w:tcW w:w="17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6,006</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w:t>
            </w:r>
          </w:p>
        </w:tc>
      </w:tr>
      <w:tr>
        <w:trPr>
          <w:trHeight w:val="198"/>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current portion</w:t>
            </w:r>
          </w:p>
        </w:tc>
        <w:tc>
          <w:tcPr>
            <w:tcW w:w="1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w:t>
            </w:r>
          </w:p>
        </w:tc>
      </w:tr>
      <w:tr>
        <w:trPr>
          <w:trHeight w:val="225"/>
        </w:trPr>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Lease obligations, net of current portion</w:t>
            </w:r>
          </w:p>
        </w:tc>
        <w:tc>
          <w:tcPr>
            <w:tcW w:w="1740" w:type="dxa"/>
            <w:vAlign w:val="bottom"/>
            <w:tcBorders>
              <w:bottom w:val="single" w:sz="8" w:color="auto"/>
            </w:tcBorders>
            <w:shd w:val="clear" w:color="auto" w:fill="CCEEFF"/>
          </w:tcPr>
          <w:p>
            <w:pPr>
              <w:jc w:val="right"/>
              <w:ind w:right="15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5,027</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Under ASC 840</w:t>
      </w:r>
    </w:p>
    <w:p>
      <w:pPr>
        <w:spacing w:after="0" w:line="223"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Minimum annual lease payments under non-cancelable operating lease arrangements as of December 31, 2021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1"/>
        </w:trPr>
        <w:tc>
          <w:tcPr>
            <w:tcW w:w="90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00" w:type="dxa"/>
            <w:vAlign w:val="bottom"/>
          </w:tcPr>
          <w:p>
            <w:pPr>
              <w:spacing w:after="0"/>
              <w:rPr>
                <w:sz w:val="18"/>
                <w:szCs w:val="18"/>
                <w:color w:val="auto"/>
              </w:rPr>
            </w:pPr>
          </w:p>
        </w:tc>
        <w:tc>
          <w:tcPr>
            <w:tcW w:w="1940" w:type="dxa"/>
            <w:vAlign w:val="bottom"/>
          </w:tcPr>
          <w:p>
            <w:pPr>
              <w:jc w:val="right"/>
              <w:ind w:right="448"/>
              <w:spacing w:after="0"/>
              <w:rPr>
                <w:sz w:val="20"/>
                <w:szCs w:val="20"/>
                <w:color w:val="auto"/>
              </w:rPr>
            </w:pPr>
            <w:r>
              <w:rPr>
                <w:rFonts w:ascii="Arial" w:cs="Arial" w:eastAsia="Arial" w:hAnsi="Arial"/>
                <w:sz w:val="14"/>
                <w:szCs w:val="14"/>
                <w:b w:val="1"/>
                <w:bCs w:val="1"/>
                <w:color w:val="auto"/>
              </w:rPr>
              <w:t>Operating Leases</w:t>
            </w:r>
          </w:p>
        </w:tc>
      </w:tr>
      <w:tr>
        <w:trPr>
          <w:trHeight w:val="197"/>
        </w:trPr>
        <w:tc>
          <w:tcPr>
            <w:tcW w:w="8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1,337</w:t>
            </w:r>
          </w:p>
        </w:tc>
      </w:tr>
      <w:tr>
        <w:trPr>
          <w:trHeight w:val="198"/>
        </w:trPr>
        <w:tc>
          <w:tcPr>
            <w:tcW w:w="8760" w:type="dxa"/>
            <w:vAlign w:val="bottom"/>
          </w:tcPr>
          <w:p>
            <w:pPr>
              <w:ind w:left="20"/>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1,445</w:t>
            </w:r>
          </w:p>
        </w:tc>
      </w:tr>
      <w:tr>
        <w:trPr>
          <w:trHeight w:val="207"/>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r>
      <w:tr>
        <w:trPr>
          <w:trHeight w:val="198"/>
        </w:trPr>
        <w:tc>
          <w:tcPr>
            <w:tcW w:w="8760" w:type="dxa"/>
            <w:vAlign w:val="bottom"/>
          </w:tcPr>
          <w:p>
            <w:pPr>
              <w:ind w:left="20"/>
              <w:spacing w:after="0"/>
              <w:rPr>
                <w:sz w:val="20"/>
                <w:szCs w:val="20"/>
                <w:color w:val="auto"/>
              </w:rPr>
            </w:pPr>
            <w:r>
              <w:rPr>
                <w:rFonts w:ascii="Arial" w:cs="Arial" w:eastAsia="Arial" w:hAnsi="Arial"/>
                <w:sz w:val="14"/>
                <w:szCs w:val="14"/>
                <w:color w:val="auto"/>
              </w:rPr>
              <w:t>2025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1,533</w:t>
            </w:r>
          </w:p>
        </w:tc>
      </w:tr>
      <w:tr>
        <w:trPr>
          <w:trHeight w:val="207"/>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w:t>
            </w:r>
          </w:p>
        </w:tc>
      </w:tr>
      <w:tr>
        <w:trPr>
          <w:trHeight w:val="198"/>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r>
      <w:tr>
        <w:trPr>
          <w:trHeight w:val="225"/>
        </w:trPr>
        <w:tc>
          <w:tcPr>
            <w:tcW w:w="9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minimum lease payments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7,927</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2021, rent expense was $0.2 million and $0.3 million, respectively.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223" w:lineRule="exact"/>
        <w:rPr>
          <w:sz w:val="20"/>
          <w:szCs w:val="20"/>
          <w:color w:val="auto"/>
        </w:rPr>
      </w:pPr>
    </w:p>
    <w:p>
      <w:pPr>
        <w:jc w:val="both"/>
        <w:ind w:right="220"/>
        <w:spacing w:after="0" w:line="291" w:lineRule="auto"/>
        <w:rPr>
          <w:sz w:val="20"/>
          <w:szCs w:val="20"/>
          <w:color w:val="auto"/>
        </w:rPr>
      </w:pPr>
      <w:r>
        <w:rPr>
          <w:rFonts w:ascii="Arial" w:cs="Arial" w:eastAsia="Arial" w:hAnsi="Arial"/>
          <w:sz w:val="17"/>
          <w:szCs w:val="17"/>
          <w:color w:val="auto"/>
        </w:rPr>
        <w:t>In connection with the acquisition of the medical diagnostics division of Royalty Pharma Collection Trust (Royalty Pharma) (formerly known as Cypress Bioscience, Inc.) in 2010, the Company was required to pay certain amounts in the event that certain revenue milestones were achieved and upon the first commercial sale of a product associated with this acquisition, for which the obligations no longer exist.</w:t>
      </w:r>
    </w:p>
    <w:p>
      <w:pPr>
        <w:spacing w:after="0" w:line="15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 addition, the Company has ongoing royalty payment obligations with Royalty Pharma of 2.5% on net sales of products which incorporate certain acquired technologies. Future royalties payable under these arrangements are limited to the lesser of (i) an aggregate of $1.2 million (including an upfront payment of $0.1 million) and (ii) the total royalties earned through January 1,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ranging from 1.5% to 7.0% on net sales of products which incorporate licensed technology, as defined in such agreements. Royalties are accrued when earned and recorded in costs of revenue in the accompanying condensed statements of operations.</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May 2021, the Company entered into an exclusive license agreement with Allegheny Health Network Research Institute (AHN), to obtain an exclusive license to AHN's patent rights in certain inventions, pursuant to which the Company paid AHN an initial license fee of $0.4 million. In addition, under the terms of the exclusive license agreement, the Company is required to pay the greater of royalties in the low single digits on net sales of diagnostic tests using the assigned patents or a flat annual minimum royalty amount, pending approvals and commercialization.</w:t>
      </w:r>
    </w:p>
    <w:p>
      <w:pPr>
        <w:spacing w:after="0" w:line="1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November 2021, the Company entered into an exclusive license agreement with Queen Mary University of London (QMUL), to obtain an exclusive license to QMUL's patent rights in certain inventions, pursuant to which the Company paid QMUL an initial license fee of $0.4 million. The Company is obligated to make a one-time payment of $0.1 million relating to the first commercial sale of the licensed products. In addition, after the first 18 months of commercial sales under the terms of the exclusive license agreement, the Company is required to pay royalties in the high single-digits on net sales of testing products using the assigned patents, pending approvals and commercialization.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22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December 2021, the Company entered into an amended supply agreement with one supplier for reagents which includes minimum annual purchase commitments of $6.0 million and $6.9 million for the years ending December 31, 2022 and 2023, respectively, with a 15% annual increase thereafter for unconditional minimum purchase commitments through the year ending December 31, 2025.</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2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May 2021, the Company entered into a master research collaboration agreement with AHN, pursuant to which the Company is required to pay AHN a collaboration fee of $0.4 million for each year during the initial term of the agreement. Collaboration expenses under the master research collaboration agreement were $0.1 million for each of the three months ended June 30, 2022 and 2021. Collaboration expenses under the master research collaboration agreement were $0.2 million and $0.1 million, for the six months ended June 30, 2022 and 2021, respectively. Collaboration expenses under the AHN collaboration are included in research and development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Purchase Obligations</w:t>
      </w:r>
    </w:p>
    <w:p>
      <w:pPr>
        <w:spacing w:after="0" w:line="223" w:lineRule="exact"/>
        <w:rPr>
          <w:sz w:val="20"/>
          <w:szCs w:val="20"/>
          <w:color w:val="auto"/>
        </w:rPr>
      </w:pPr>
    </w:p>
    <w:p>
      <w:pPr>
        <w:jc w:val="both"/>
        <w:ind w:right="320"/>
        <w:spacing w:after="0" w:line="287" w:lineRule="auto"/>
        <w:rPr>
          <w:sz w:val="20"/>
          <w:szCs w:val="20"/>
          <w:color w:val="auto"/>
        </w:rPr>
      </w:pPr>
      <w:r>
        <w:rPr>
          <w:rFonts w:ascii="Arial" w:cs="Arial" w:eastAsia="Arial" w:hAnsi="Arial"/>
          <w:sz w:val="18"/>
          <w:szCs w:val="18"/>
          <w:color w:val="auto"/>
        </w:rPr>
        <w:t>In May 2022, the Company ordered laboratory equipment costing approximately $1.2 million, which is expected to be received in the third quarter of 2022. Upon receipt of the equipment, monthly payments of approximately $25,000 will commence and continue for 48 months.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payors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3" w:lineRule="exact"/>
        <w:rPr>
          <w:sz w:val="20"/>
          <w:szCs w:val="20"/>
          <w:color w:val="auto"/>
        </w:rPr>
      </w:pPr>
    </w:p>
    <w:p>
      <w:pPr>
        <w:ind w:right="440"/>
        <w:spacing w:after="0" w:line="318" w:lineRule="auto"/>
        <w:rPr>
          <w:sz w:val="20"/>
          <w:szCs w:val="20"/>
          <w:color w:val="auto"/>
        </w:rPr>
      </w:pPr>
      <w:r>
        <w:rPr>
          <w:rFonts w:ascii="Arial" w:cs="Arial" w:eastAsia="Arial" w:hAnsi="Arial"/>
          <w:sz w:val="17"/>
          <w:szCs w:val="17"/>
          <w:color w:val="auto"/>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5"/>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72,078</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72,078</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695"/>
        </w:trPr>
        <w:tc>
          <w:tcPr>
            <w:tcW w:w="6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4"/>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4"/>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95,761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95,761</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bl>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19" w:name="page20"/>
    <w:bookmarkEnd w:id="19"/>
    <w:p>
      <w:pPr>
        <w:ind w:right="300"/>
        <w:spacing w:after="0" w:line="268" w:lineRule="auto"/>
        <w:rPr>
          <w:sz w:val="20"/>
          <w:szCs w:val="20"/>
          <w:color w:val="auto"/>
        </w:rPr>
      </w:pPr>
      <w:r>
        <w:rPr>
          <w:rFonts w:ascii="Arial" w:cs="Arial" w:eastAsia="Arial" w:hAnsi="Arial"/>
          <w:sz w:val="18"/>
          <w:szCs w:val="18"/>
          <w:color w:val="auto"/>
        </w:rPr>
        <w:t>On November 10, 2020, the Company filed a registration statement on Form S-3 (the Shelf Registration Statement), covering the offering, from time to time, of up to $150.0 million of common stock, preferred stock, debt securities, warrants and units, which Shelf Registration Statement became effective on November 19, 2020.</w:t>
      </w:r>
    </w:p>
    <w:p>
      <w:pPr>
        <w:spacing w:after="0" w:line="171"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On March 25, 2021, the Company completed a public offering of 4,255,000 shares of its common stock at a public offering price of $16.25 per share. Net proceeds from the offering were approximately $64.7 million, after deducting underwriting discounts, commissions and other offering expenses of $4.4 million. The shares were registered pursuant to the Company's Shelf Registration Statement discussed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2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June 22, 2021, the Company entered into an exchange agreement (the Exchange Agreement) with an Investor and its affiliates (the Exchanging Stockholders), pursuant to which the Company exchanged an aggregate of 804,951 shares of the Company's common stock owned by the Exchanging Stockholders for pre-funded warrants (the Exchange Warrants) to purchase an aggregate of 804,951 shares of common stock (subject to adjustment in the event of any stock dividends and splits, reverse stock split, recapitalization, reorganization or similar transaction, as described in the Exchange Warrants), with an exercise price of $0.001 per share. The Exchange Warrants do not expire and are exercisable at any time except that the Exchange Warrants cannot be exercised by the Exchanging Stockholders if, after giving effect thereto, the Exchanging Stockholders would beneficially own more than 4.99% of the Company's common stock, which percentage may change at the Exchanging Stockholder's election to any other percentage upon 61 days' notice to the Company. The Company recorded the retirement of common stock exchanged as a reduction of common shares outstanding and additional paid-in-capital at the fair value of the Exchange Warrants on the issuance date. The Exchange Warrants are classified as equity and the fair value of the Exchange Warrants was recorded as an increase to additional paid-in-capital and is not subject to remeasurement. The Company determined that the fair value of the Exchange Warrants is substantially similar to the fair value of the retired shares on the issuance date due to the negligible exercise price for the Exchange Warrants. As of June 30, 2022, none of the Exchange Warrants have been exercised.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June 30,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19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99"/>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67,086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06"/>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98"/>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83,778</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7,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20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98"/>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 (Exchange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804,951</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0.001</w:t>
            </w:r>
          </w:p>
        </w:tc>
        <w:tc>
          <w:tcPr>
            <w:tcW w:w="1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None</w:t>
            </w:r>
          </w:p>
        </w:tc>
      </w:tr>
      <w:tr>
        <w:trPr>
          <w:trHeight w:val="200"/>
        </w:trPr>
        <w:tc>
          <w:tcPr>
            <w:tcW w:w="3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2022, no warrants to purchase common stock was exercised.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Option Plan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2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Plan. Under the 2019 Plan, which expires in September 2029, the Company may grant stock options, stock appreciation rights, restricted stock, restricted stock units and other awards to individuals who are then employees, officers, non-employee directors or consultants of the Company or its subsidiaries. The options generally expire ten years after the date of grant and are exercisable to the extent vested. Vesting is established by the Board of Directors and is generally four years from the date of grant. As of June 30, 2022, 1,430,690 shares of common stock remained available for future awards.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6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September 2019, the Board of Directors adopted, and the Company's stockholders approved, the ESPP. The ESPP became effective on the day the ESPP was adopted by the Company's Board of Directors. The ESPP permits participants to purchase common stock through payroll deductions of up to 20% of their eligible compensation. As of June 30, 2022, 453,484 shares of common stock remained available for issuance under the ESPP.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2019 Plan is set forth below: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Term (Years)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2,014,330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5,428</w:t>
            </w:r>
          </w:p>
        </w:tc>
        <w:tc>
          <w:tcPr>
            <w:tcW w:w="0" w:type="dxa"/>
            <w:vAlign w:val="bottom"/>
          </w:tcPr>
          <w:p>
            <w:pPr>
              <w:spacing w:after="0"/>
              <w:rPr>
                <w:sz w:val="1"/>
                <w:szCs w:val="1"/>
                <w:color w:val="auto"/>
              </w:rPr>
            </w:pPr>
          </w:p>
        </w:tc>
      </w:tr>
      <w:tr>
        <w:trPr>
          <w:trHeight w:val="198"/>
        </w:trPr>
        <w:tc>
          <w:tcPr>
            <w:tcW w:w="52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00" w:type="dxa"/>
            <w:vAlign w:val="bottom"/>
          </w:tcPr>
          <w:p>
            <w:pPr>
              <w:jc w:val="right"/>
              <w:spacing w:after="0"/>
              <w:rPr>
                <w:sz w:val="20"/>
                <w:szCs w:val="20"/>
                <w:color w:val="auto"/>
              </w:rPr>
            </w:pPr>
            <w:r>
              <w:rPr>
                <w:rFonts w:ascii="Arial" w:cs="Arial" w:eastAsia="Arial" w:hAnsi="Arial"/>
                <w:sz w:val="14"/>
                <w:szCs w:val="14"/>
                <w:color w:val="auto"/>
              </w:rPr>
              <w:t>63,000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Forfeited</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Expired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(25,846)</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14.39</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June 30,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1,949,374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Vested and expected to vest, June 30, 2022</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1,949,374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2,611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exercisable, June 30,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1,334,116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intrinsic value is calculated as the difference between the fair value of the Company's common stock and the exercise price of the stock options. As of June 30, 2022, total unrecognized compensation cost related to option awards was $4.2 million, which is expected to be recognized over a remaining weighted-average vesting period of 1.6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under the Company's 2019 Plan is set forth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520" w:type="dxa"/>
            <w:vAlign w:val="bottom"/>
          </w:tcPr>
          <w:p>
            <w:pPr>
              <w:jc w:val="center"/>
              <w:ind w:right="4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62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388"/>
              <w:spacing w:after="0" w:line="145" w:lineRule="exact"/>
              <w:rPr>
                <w:sz w:val="20"/>
                <w:szCs w:val="20"/>
                <w:color w:val="auto"/>
              </w:rPr>
            </w:pPr>
            <w:r>
              <w:rPr>
                <w:rFonts w:ascii="Arial" w:cs="Arial" w:eastAsia="Arial" w:hAnsi="Arial"/>
                <w:sz w:val="14"/>
                <w:szCs w:val="14"/>
                <w:b w:val="1"/>
                <w:bCs w:val="1"/>
                <w:color w:val="auto"/>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62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 (in thousands)</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415,325</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4,830</w:t>
            </w:r>
          </w:p>
        </w:tc>
        <w:tc>
          <w:tcPr>
            <w:tcW w:w="0" w:type="dxa"/>
            <w:vAlign w:val="bottom"/>
          </w:tcPr>
          <w:p>
            <w:pPr>
              <w:spacing w:after="0"/>
              <w:rPr>
                <w:sz w:val="1"/>
                <w:szCs w:val="1"/>
                <w:color w:val="auto"/>
              </w:rPr>
            </w:pPr>
          </w:p>
        </w:tc>
      </w:tr>
      <w:tr>
        <w:trPr>
          <w:trHeight w:val="198"/>
        </w:trPr>
        <w:tc>
          <w:tcPr>
            <w:tcW w:w="624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20" w:type="dxa"/>
            <w:vAlign w:val="bottom"/>
          </w:tcPr>
          <w:p>
            <w:pPr>
              <w:jc w:val="right"/>
              <w:spacing w:after="0"/>
              <w:rPr>
                <w:sz w:val="20"/>
                <w:szCs w:val="20"/>
                <w:color w:val="auto"/>
              </w:rPr>
            </w:pPr>
            <w:r>
              <w:rPr>
                <w:rFonts w:ascii="Arial" w:cs="Arial" w:eastAsia="Arial" w:hAnsi="Arial"/>
                <w:sz w:val="14"/>
                <w:szCs w:val="14"/>
                <w:color w:val="auto"/>
              </w:rPr>
              <w:t>540,225</w:t>
            </w:r>
          </w:p>
        </w:tc>
        <w:tc>
          <w:tcPr>
            <w:tcW w:w="11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(90,821)</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(79,789)</w:t>
            </w:r>
          </w:p>
        </w:tc>
        <w:tc>
          <w:tcPr>
            <w:tcW w:w="1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11.96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June 30,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784,940</w:t>
            </w:r>
          </w:p>
        </w:tc>
        <w:tc>
          <w:tcPr>
            <w:tcW w:w="1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As of June 30, 2022, total unrecognized compensation cost related to restricted stock units was $8.2 million, which is expected to be recognized over a remaining weighted-average vesting period of 3.3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296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2880" w:type="dxa"/>
            <w:vAlign w:val="bottom"/>
            <w:gridSpan w:val="3"/>
          </w:tcPr>
          <w:p>
            <w:pPr>
              <w:ind w:left="52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0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54%</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83%-84%</w:t>
            </w:r>
          </w:p>
        </w:tc>
      </w:tr>
      <w:tr>
        <w:trPr>
          <w:trHeight w:val="198"/>
        </w:trPr>
        <w:tc>
          <w:tcPr>
            <w:tcW w:w="54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0.8%-1.1%</w:t>
            </w:r>
          </w:p>
        </w:tc>
      </w:tr>
      <w:tr>
        <w:trPr>
          <w:trHeight w:val="20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5.50-6.08</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5.50-6.08</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calculate the stock-based compensation for each stock purchase right granted under the ESPP: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2980" w:type="dxa"/>
            <w:vAlign w:val="bottom"/>
            <w:gridSpan w:val="4"/>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860" w:type="dxa"/>
            <w:vAlign w:val="bottom"/>
            <w:gridSpan w:val="3"/>
          </w:tcPr>
          <w:p>
            <w:pPr>
              <w:ind w:left="50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0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45%</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60%</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w:t>
            </w:r>
          </w:p>
        </w:tc>
      </w:tr>
      <w:tr>
        <w:trPr>
          <w:trHeight w:val="198"/>
        </w:trPr>
        <w:tc>
          <w:tcPr>
            <w:tcW w:w="540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0.1%</w:t>
            </w:r>
          </w:p>
        </w:tc>
      </w:tr>
      <w:tr>
        <w:trPr>
          <w:trHeight w:val="20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5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0.50</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r>
    </w:tbl>
    <w:p>
      <w:pPr>
        <w:spacing w:after="0" w:line="3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Stock-based compensation expense for the ESPP was less than $ 0.1 million for the three and six months ended June 30, 2022 and 2021. As of June 30, 2022, total unrecognized compensation cost related to stock purchase rights granted under the ESPP was less than $0.1 million, which is expected to be recognized over a remaining weighted-average vesting period of 0.2 years.</w:t>
      </w:r>
    </w:p>
    <w:p>
      <w:pPr>
        <w:spacing w:after="0" w:line="17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Total non-cash stock-based compensation expense recorded related to options granted, restricted stock units granted and stock purchase rights granted under the ESPP in the condensed statements of operations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00" w:type="dxa"/>
            <w:vAlign w:val="bottom"/>
          </w:tcPr>
          <w:p>
            <w:pPr>
              <w:spacing w:after="0"/>
              <w:rPr>
                <w:sz w:val="17"/>
                <w:szCs w:val="17"/>
                <w:color w:val="auto"/>
              </w:rPr>
            </w:pPr>
          </w:p>
        </w:tc>
        <w:tc>
          <w:tcPr>
            <w:tcW w:w="298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256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4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19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198"/>
        </w:trPr>
        <w:tc>
          <w:tcPr>
            <w:tcW w:w="540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1,203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2,321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1,840</w:t>
            </w:r>
          </w:p>
        </w:tc>
      </w:tr>
      <w:tr>
        <w:trPr>
          <w:trHeight w:val="207"/>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192"/>
        </w:trPr>
        <w:tc>
          <w:tcPr>
            <w:tcW w:w="5400" w:type="dxa"/>
            <w:vAlign w:val="bottom"/>
          </w:tcPr>
          <w:p>
            <w:pPr>
              <w:ind w:left="2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2,816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2,197</w:t>
            </w:r>
          </w:p>
        </w:tc>
      </w:tr>
      <w:tr>
        <w:trPr>
          <w:trHeight w:val="25"/>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for the year ended December 31, 2021 included in our Annual Report on Form 10-K for the year ended December 31,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7"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the impact of the COVID-19 pandemic, current and future product offerings, reimbursement and coverage, the expected benefits from our partnerships or promotion arrangements with third-parties, evaluations and interpretation of study results,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are based on our proprietary Cell-Bound Complement Activation Products (CB-CAPs) technology. Our goal is to enable healthcare providers to improve care for patients through the differential diagnosis, prognosis and monitoring of complex autoimmune and autoimmune-related diseases, including systemic lupus erythematosus (SLE), and rheumatoid arthritis (RA). Our business model of integrating testing products and therapeutics positions us to offer targeted solutions to rheumatologists and, ultimately, better serve patients.</w:t>
      </w:r>
    </w:p>
    <w:p>
      <w:pPr>
        <w:spacing w:after="0" w:line="190"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connective tissue diseases (CTDs), and other related diseases with overlapping symptoms. We commercially launched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revenue from this product comprised 82% and 81% of our revenue for the six months ended June 30, 2022 and 2021,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9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are leveraging our portfolio of testing products to establish partnerships with leading pharmaceutical companies, academic research centers and patient advocacy organizations. We also have agreements with GlaxoSmithKline plc. (GSK), Labcorp Drug Development and Parexel, among others, that leverage our testing products and/or the information generated from such tests. We provide GSK, a leader in lupus therapeutics, our test result data to provide market insight into and help increase awareness of the benefits of early and accurate diagnosis of SLE and lupus nephritis, and monitoring disease activity. We partner with academic research centers and patient advocacy organizations, such as Brigham and Women's Hospital, Hospital for Special Surgery, Duke University and Emory University as well as the Lupus Foundation of America, to help improve the quality of life for people affected by</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bookmarkStart w:id="23" w:name="page24"/>
    <w:bookmarkEnd w:id="23"/>
    <w:p>
      <w:pPr>
        <w:ind w:right="160"/>
        <w:spacing w:after="0" w:line="287" w:lineRule="auto"/>
        <w:rPr>
          <w:sz w:val="20"/>
          <w:szCs w:val="20"/>
          <w:color w:val="auto"/>
        </w:rPr>
      </w:pPr>
      <w:r>
        <w:rPr>
          <w:rFonts w:ascii="Arial" w:cs="Arial" w:eastAsia="Arial" w:hAnsi="Arial"/>
          <w:sz w:val="18"/>
          <w:szCs w:val="18"/>
          <w:color w:val="auto"/>
        </w:rPr>
        <w:t>autoimmune diseases through programs of research, education, support and advocacy. We plan to pursue additional strategic partnerships that are synergistic with our evolving portfolio of testing products.</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perform all of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tests in our approximately 10,000 square foot clinical laboratory, which is certified under the Clinical Laboratory Improvement Amendments of 1988 (CLIA), by the Centers for Medicare and Medicaid Services (CMS), and accredited by the College of American Pathologists (CAP), and located in Vista, California. Our laboratory is certified for performance of high-complexity testing by CMS in accordance with CLIA and is licensed by all states requiring out-of-state licensure. Our clinical laboratory reports all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 results within five business days. In the second half of 2021, we began the conversion of approximately 8,000 square feet of warehouse space into additional clinical laboratory space and approximately 6,000 square feet of warehouse space into additional research and development facility space. In the second quarter of 2022, we completed the clinical laboratory space conversion, which is currently being utilized for both clinical laboratory and research and development purposes. We expect to complete the conversion of the research and development facility space by the second half of 2022. The expansion of our clinical laboratory and research and development facility is expected to allow us to enhance our testing capacity and improve efficiencies as well as allow us to develop molecular and multiomic capabilities and advance our product pipeline, including support of development of tests for fibromyalgia, RA, thrombosis and lupus nephritis.</w:t>
      </w:r>
    </w:p>
    <w:p>
      <w:pPr>
        <w:spacing w:after="0" w:line="185"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market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products using our specialized sales force. As of June 30, 2022, we have a sales force of 57 representatives covering a total of 63 territories. Unlike many diagnostic sales forces that are trained only to understand the comparative benefits of their tests, the specialized backgrounds of our sales force coupled with our comprehensive training enable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17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payors, such as insurance companies and health maintenance organizations, government payors, such as Medicare, and patients. Reimbursement rates vary by product and payor. We continue to focus on expanding coverage among existing contracted rheumatologists and to achieve coverage with commercial payors, laboratory benefit managers and evidence review organizations.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inception we have devoted substantially all of our efforts to developing and marketing products for the diagnosis, prognosis and monitoring of autoimmune diseases. Although our revenue has historically increased sequentially year over year, with the exception of the six months ended June 30, 2022 compared to 2021, we have never been profitable and, as of June 30, 2022, we had an accumulated deficit of $231.7 million. We incurred net losses of $23.6 million and $ 12.6 million for the six months ended June 30, 2022 and 2021,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We completed our initial public offering (IPO), in September 2019, raising net proceeds from the offering of approximately $50.4 million, net of underwriting discounts, commissions and other offering expenses, for aggregate expenses of approximately $7.5 million. In March 2021, we completed a public offering of 4,255,000 shares of our common stock at a public offering price of $16.25 per share. Net proceeds from the offering were approximately $64.7 million, net of underwriting discounts and commissions and offering costs of $4.4 million. As of June 30, 2022, we had $76.4 million of cash and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March 2022, we entered into an agreement with Centene Corporation, pursuant to which, effective June 1, 2022,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offerings became an in-network, covered benefit with Centene Corporation, including its subsidiary WellCare Health Plans, providing enhanced care to over 22.7 million members.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June 2022, we entered into an agreement with MediNcrease Health Plans, LLC's national provider network, pursuant to which, effective</w:t>
      </w:r>
    </w:p>
    <w:p>
      <w:pPr>
        <w:spacing w:after="0" w:line="220" w:lineRule="auto"/>
        <w:rPr>
          <w:sz w:val="20"/>
          <w:szCs w:val="20"/>
          <w:color w:val="auto"/>
        </w:rPr>
      </w:pPr>
      <w:r>
        <w:rPr>
          <w:rFonts w:ascii="Arial" w:cs="Arial" w:eastAsia="Arial" w:hAnsi="Arial"/>
          <w:sz w:val="18"/>
          <w:szCs w:val="18"/>
          <w:color w:val="auto"/>
        </w:rPr>
        <w:t>July 1, 2022,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offerings became an in-network, covered benefit to its approximately 7.5 million commercial lives. As a result,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will surpass 99 million lives as an in-network benefit for patients.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24" w:name="page25"/>
    <w:bookmarkEnd w:id="24"/>
    <w:p>
      <w:pPr>
        <w:ind w:right="120"/>
        <w:spacing w:after="0" w:line="244" w:lineRule="auto"/>
        <w:rPr>
          <w:sz w:val="20"/>
          <w:szCs w:val="20"/>
          <w:color w:val="auto"/>
        </w:rPr>
      </w:pPr>
      <w:r>
        <w:rPr>
          <w:rFonts w:ascii="Arial" w:cs="Arial" w:eastAsia="Arial" w:hAnsi="Arial"/>
          <w:sz w:val="18"/>
          <w:szCs w:val="18"/>
          <w:color w:val="auto"/>
        </w:rPr>
        <w:t>Last quarter we disclosed that the Centers for Medicare &amp; Medicaid Services (CMS) agreed, effective April 1, 2022, to recognize a new Proprietary Laboratory Analyses (PLA) code for our protein-based test,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that Noridian, our Medicare Administrative Contractor, priced this PLA code at $1,085 per test. The process for obtaining and maintaining consistent reimbursement for new tests (particularly for protein-based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During the quarter, we submitted to Noridian 3,749 claims for Medicare Part B reimbursement under our PLA code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As of August 1, 2022, 76 of these claims have been paid, 335 claims have been denied, 2,778 claims are subject to requests from Noridian for additional information (such as medical records), and the balance of those claims remain pending with no responses received as of this date.</w:t>
      </w:r>
    </w:p>
    <w:p>
      <w:pPr>
        <w:spacing w:after="0" w:line="194" w:lineRule="exact"/>
        <w:rPr>
          <w:sz w:val="20"/>
          <w:szCs w:val="20"/>
          <w:color w:val="auto"/>
        </w:rPr>
      </w:pPr>
    </w:p>
    <w:p>
      <w:pPr>
        <w:ind w:right="100"/>
        <w:spacing w:after="0" w:line="215" w:lineRule="auto"/>
        <w:rPr>
          <w:sz w:val="20"/>
          <w:szCs w:val="20"/>
          <w:color w:val="auto"/>
        </w:rPr>
      </w:pPr>
      <w:r>
        <w:rPr>
          <w:rFonts w:ascii="Arial" w:cs="Arial" w:eastAsia="Arial" w:hAnsi="Arial"/>
          <w:sz w:val="18"/>
          <w:szCs w:val="18"/>
          <w:color w:val="auto"/>
        </w:rPr>
        <w:t>While we are still gathering information from Noridian, we believe these denials and requests for additional information may be due in part to confusion regarding appropriate American Medical Association (AMA) Common Procedural Terminology (CPT) coding for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which includes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plus conventional antibody tests. We interpret AMA coding guidelines to support that we submit claims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using the individual codes that describe the other conventional antibody tests included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addition to the PLA code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Although we routinely include explanatory notes in our reimbursement requests, this practice can create confusion. We are actively working with Noridian on the issue.</w:t>
      </w:r>
    </w:p>
    <w:p>
      <w:pPr>
        <w:spacing w:after="0" w:line="193"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In order to confirm coverage and payment of claims and in addition to ongoing discussions with Noridian regarding our coding approach, we submitted a formal request to Noridian for coverage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under the new PLA Code. We have not yet received a response. In the meantime, we will continue to submit Medicare claims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appeal denials and respond to requests for additional information.</w:t>
      </w:r>
    </w:p>
    <w:p>
      <w:pPr>
        <w:spacing w:after="0" w:line="19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However, until this reimbursement issue is resolved, we anticipate a significant interruption to our revenue from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with respect to Medicare claims. The aggregate amount of reimbursement we are seeking for our unpaid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Medicare claims in the second quarter of 2022 is approximately $ 4.0 million, and, as previously noted, all of the unpaid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Medicare claims are either under review, being appealed or subject to requests for additional information, which we are in the process of addressing. Variable consideration for these claims is deemed to be fully constrained due to the uncertainty of the outcome of these claims. For fully constrained claims, we generally recognize revenue in the period the uncertainty is definitively resolved and we can provide no assurance that such resolution will be achieved on a timely basis, or at all.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Publications</w:t>
      </w:r>
    </w:p>
    <w:p>
      <w:pPr>
        <w:spacing w:after="0" w:line="221"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In July 2022, we announced new, real-world evidence illustrating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enables decisive clinical action in the differential diagnosis of lupus. The "Complement Activation Products vs Standard ANA Testing: Treatment Outcomes, Diagnosis, and Economic Impact in Systemic Lupus Erythematosus," (CAPSTONE) study was the largest comparative utility study in lupus diagnostics and was published in the Journal of Managed Care &amp; Specialty Pharmacy. The study leveraged multiple databases encompassing electronic health records and linked insurance claims data on nearly 50,000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or standard of care labs from hundreds of rheumatologists across the United States, comparing diagnosis, treatment, and cost of care outcomes for new patients tested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and those tested with a traditional ANA (tANA) approach, including specific autoantibodies. The CAPSTONE study supports that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is more clinically effective, both for patients who test positive and those who test negative, as compared to the current standard of care. Important key findings of the CAPSTONE study included, among other things, a: (i) 2x decrease in diagnostic testing costs in the first six-month follow-up period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(ii) 3.5x less frequent repeat testing overall when using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vs. tANA; (iii) 6x increased odds of establishing a new SLE diagnosis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and (iv) 3x increased odds of initiating one or more SLE treatments with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 vs tANA[+]. The CAPSTONE study exemplifies the advantages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for patients, providers, and payors. Delayed diagnosis leads to increased disease burden and diminished quality of life for the patient relative to the current standard of care. By receiving conclusive results, providers are able to initiate treatment early, reducing the need for more aggressive approaches down the road that can lead to irreversible consequences for the patient. Additionally, a conclusive negative test allows providers to lower the number of repeat tests and follow-up visits which is a critical step for achieving diagnostic clarity for the patient.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5" w:name="page26"/>
    <w:bookmarkEnd w:id="25"/>
    <w:p>
      <w:pPr>
        <w:ind w:right="140"/>
        <w:spacing w:after="0" w:line="259" w:lineRule="auto"/>
        <w:rPr>
          <w:sz w:val="20"/>
          <w:szCs w:val="20"/>
          <w:color w:val="auto"/>
        </w:rPr>
      </w:pPr>
      <w:r>
        <w:rPr>
          <w:rFonts w:ascii="Arial" w:cs="Arial" w:eastAsia="Arial" w:hAnsi="Arial"/>
          <w:sz w:val="18"/>
          <w:szCs w:val="18"/>
          <w:color w:val="auto"/>
        </w:rPr>
        <w:t>The full extent of which the COVID-19 pandemic will directly or indirectly continue to impact our business, results of operations and financial condition and will depend on future developments that are highly uncertain, including as a result of new information that may emerge concerning COVID-19 and the actions taken to contain it or treat COVID-19, including the success of ongoing vaccination efforts, the emergence and prevalence of variant strains of COVID-19, the institution or reinstitution of shutdowns, "stay-at-home-orders" and other public health measures, as well as the related economic impact of these matters on local, regional and international markets.</w:t>
      </w:r>
    </w:p>
    <w:p>
      <w:pPr>
        <w:spacing w:after="0" w:line="17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have implemented business continuity plans designed to address the COVID-19 pandemic and minimize disruptions to ongoing operations. While for the three months ended June 30, 2022 as compared to the same period in 2021,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 increase of approximately 5%, and for the six months ended June 30, 2022 as compared to the same period in 2021,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 increase of approximately 6%, the patient flow and our related test volumes have in the past been, and may continue to be, impacted by the COVID-19 pandemic. We have experienced, and may again, experience significant impacts on our test volume, delays in patient enrollment for ongoing and planned clinical trials, and delays in procurement of our testing supplies as a result of the COVID-19 pandemic.</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COVID-19 travel limitations and government-mandated work-from-home or shelter-in-place orders have, and may again, cause supply chain delays or reduce the number of in-person meetings between our sales force and healthcare providers and limit the ability of our sales force to engage in various types of healthcare provider education activities, which may lead to a decline in orders of our testing products. To mitigate the impact of COVID-19 on our business, we put in place certain safety measures for our employees, patients, healthcare providers, and suppliers to limit exposure and a portion of our workforce was required to work remotely in an effort to reduce that spread of COVID-19.</w:t>
      </w:r>
    </w:p>
    <w:p>
      <w:pPr>
        <w:spacing w:after="0" w:line="18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are facing and may continue to face increased competition for laboratory and scientific employees due to the increased demand in the industry for such personnel. As the circumstances surrounding the COVID-19 pandemic remain uncertain, we may inaccurately estimate the duration or severity of the COVID-19 pandemic, which could, among other things, cause us to misalign our staffing, spending, activities and precautionary measures with market current or future market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addition to the impact of COVID-19, we believe there are several important factors that have impacted, and that we expect will impact, our operating performance and results of operations, including:</w:t>
      </w:r>
    </w:p>
    <w:p>
      <w:pPr>
        <w:spacing w:after="0" w:line="272" w:lineRule="exact"/>
        <w:rPr>
          <w:sz w:val="20"/>
          <w:szCs w:val="20"/>
          <w:color w:val="auto"/>
        </w:rPr>
      </w:pPr>
    </w:p>
    <w:p>
      <w:pPr>
        <w:ind w:left="660" w:right="80" w:hanging="328"/>
        <w:spacing w:after="0" w:line="238" w:lineRule="auto"/>
        <w:tabs>
          <w:tab w:leader="none" w:pos="656"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in 2012 and through June 30, 2022,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over 680,000 of these tests. Through the second quarter of 2022, 65,822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approximately 6% growth over the same period in 2021. The number of ordering healthcare providers in the second quarter of 2022 was a record 2,273, representing an approximate 18% increase over the same period in 2021, and we had a record 797 adopting healthcare providers (defined as those who previously prescribed at least 11 diagnostic tests in the corresponding period) compared to 703 in the same period in 2021. A high percentage of adopting healthcare providers continue to order tests in subsequent quarters, as approximately 99% of adopting healthcare providers from the first quarter of 2022 ordered at least one diagnostic test in the second quarter of 2022. Revenue growth for our testing products will depend on our ability to continue to expand our base of ordering healthcare providers and increase our penetration with existing healthcare providers.</w:t>
      </w:r>
    </w:p>
    <w:p>
      <w:pPr>
        <w:spacing w:after="0" w:line="93" w:lineRule="exact"/>
        <w:rPr>
          <w:rFonts w:ascii="Arial" w:cs="Arial" w:eastAsia="Arial" w:hAnsi="Arial"/>
          <w:sz w:val="18"/>
          <w:szCs w:val="18"/>
          <w:b w:val="1"/>
          <w:bCs w:val="1"/>
          <w:i w:val="1"/>
          <w:iCs w:val="1"/>
          <w:color w:val="auto"/>
        </w:rPr>
      </w:pPr>
    </w:p>
    <w:p>
      <w:pPr>
        <w:ind w:left="660" w:right="100" w:hanging="328"/>
        <w:spacing w:after="0" w:line="254"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payors, including both commercial and government payors such as Medicare. Payment from third-party payors differs depending on whether we have entered into a contract with the payors as a "participating provider" or do not have a contract and are considered a "non-participating provider." Payors will often reimburse non-participating providers, if at all, at a lower amount than participating providers. We have received a substantial portion of our revenue from a limited number of third-party commercial payors, most of which have not contracted with us to be a participating provider. In addition to the challenges described under the heading "Overview - Recent Developments" above,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6" w:name="page27"/>
    <w:bookmarkEnd w:id="26"/>
    <w:p>
      <w:pPr>
        <w:ind w:left="660" w:right="40"/>
        <w:spacing w:after="0" w:line="262" w:lineRule="auto"/>
        <w:rPr>
          <w:sz w:val="20"/>
          <w:szCs w:val="20"/>
          <w:color w:val="auto"/>
        </w:rPr>
      </w:pPr>
      <w:r>
        <w:rPr>
          <w:rFonts w:ascii="Arial" w:cs="Arial" w:eastAsia="Arial" w:hAnsi="Arial"/>
          <w:sz w:val="18"/>
          <w:szCs w:val="18"/>
          <w:color w:val="auto"/>
        </w:rPr>
        <w:t>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retrospective reimbursement adjustments can negatively impact our revenue and cause our financial results to fluctuate.</w:t>
      </w:r>
    </w:p>
    <w:p>
      <w:pPr>
        <w:spacing w:after="0" w:line="68" w:lineRule="exact"/>
        <w:rPr>
          <w:sz w:val="20"/>
          <w:szCs w:val="20"/>
          <w:color w:val="auto"/>
        </w:rPr>
      </w:pPr>
    </w:p>
    <w:p>
      <w:pPr>
        <w:ind w:left="660" w:right="60" w:hanging="328"/>
        <w:spacing w:after="0"/>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Synergistic Partnerships</w:t>
      </w:r>
      <w:r>
        <w:rPr>
          <w:rFonts w:ascii="Arial" w:cs="Arial" w:eastAsia="Arial" w:hAnsi="Arial"/>
          <w:sz w:val="18"/>
          <w:szCs w:val="18"/>
          <w:color w:val="auto"/>
        </w:rPr>
        <w:t>. In August 2021, we mutually agreed to terminate the Janssen Agreement regarding our promotion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efforts with SIMPONI</w:t>
      </w:r>
      <w:r>
        <w:rPr>
          <w:rFonts w:ascii="Arial" w:cs="Arial" w:eastAsia="Arial" w:hAnsi="Arial"/>
          <w:sz w:val="23"/>
          <w:szCs w:val="23"/>
          <w:color w:val="auto"/>
          <w:vertAlign w:val="superscript"/>
        </w:rPr>
        <w:t>®</w:t>
      </w:r>
      <w:r>
        <w:rPr>
          <w:rFonts w:ascii="Arial" w:cs="Arial" w:eastAsia="Arial" w:hAnsi="Arial"/>
          <w:sz w:val="18"/>
          <w:szCs w:val="18"/>
          <w:color w:val="auto"/>
        </w:rPr>
        <w:t>, effective August 31, 2021. 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no co-promotion revenue and approximately $0.6 million in revenue during the six months ended June 30, 2022 and 2021, respectively. We will continue to rely on our existing testing products to drive revenue growth.</w:t>
      </w:r>
    </w:p>
    <w:p>
      <w:pPr>
        <w:spacing w:after="0" w:line="84" w:lineRule="exact"/>
        <w:rPr>
          <w:rFonts w:ascii="Arial" w:cs="Arial" w:eastAsia="Arial" w:hAnsi="Arial"/>
          <w:sz w:val="18"/>
          <w:szCs w:val="18"/>
          <w:color w:val="auto"/>
        </w:rPr>
      </w:pPr>
    </w:p>
    <w:p>
      <w:pPr>
        <w:ind w:left="660" w:right="20" w:hanging="328"/>
        <w:spacing w:after="0" w:line="241"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revenue.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spacing w:after="0" w:line="85" w:lineRule="exact"/>
        <w:rPr>
          <w:rFonts w:ascii="Arial" w:cs="Arial" w:eastAsia="Arial" w:hAnsi="Arial"/>
          <w:sz w:val="18"/>
          <w:szCs w:val="18"/>
          <w:color w:val="auto"/>
        </w:rPr>
      </w:pPr>
    </w:p>
    <w:p>
      <w:pPr>
        <w:ind w:left="660" w:right="100" w:hanging="328"/>
        <w:spacing w:after="0" w:line="282" w:lineRule="auto"/>
        <w:tabs>
          <w:tab w:leader="none" w:pos="65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Maintain Meaningful Margin</w:t>
      </w:r>
      <w:r>
        <w:rPr>
          <w:rFonts w:ascii="Arial" w:cs="Arial" w:eastAsia="Arial" w:hAnsi="Arial"/>
          <w:sz w:val="17"/>
          <w:szCs w:val="17"/>
          <w:color w:val="auto"/>
        </w:rPr>
        <w:t>. We believe we are well positioned to maintain meaningful margin through a continued focus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operating leverage through the implementation of certain internal initiatives, such as conducting additional validation and reimbursement oriented clinical studies to facilitate payor coverage of our testing products, capitalizing on our growing reagent purchasing to negotiate improved volume-based pricing and automation in our clinical laboratory to reduce material and labor costs.</w:t>
      </w:r>
    </w:p>
    <w:p>
      <w:pPr>
        <w:spacing w:after="0" w:line="53" w:lineRule="exact"/>
        <w:rPr>
          <w:rFonts w:ascii="Arial" w:cs="Arial" w:eastAsia="Arial" w:hAnsi="Arial"/>
          <w:sz w:val="17"/>
          <w:szCs w:val="17"/>
          <w:color w:val="auto"/>
        </w:rPr>
      </w:pPr>
    </w:p>
    <w:p>
      <w:pPr>
        <w:ind w:left="660" w:hanging="328"/>
        <w:spacing w:after="0" w:line="246"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79" w:lineRule="exact"/>
        <w:rPr>
          <w:rFonts w:ascii="Arial" w:cs="Arial" w:eastAsia="Arial" w:hAnsi="Arial"/>
          <w:sz w:val="18"/>
          <w:szCs w:val="18"/>
          <w:color w:val="auto"/>
        </w:rPr>
      </w:pPr>
    </w:p>
    <w:p>
      <w:pPr>
        <w:ind w:left="660" w:right="60" w:hanging="328"/>
        <w:spacing w:after="0" w:line="244"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based on our estimate of the amount that will be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for each test upon delivery based on a historical analysis of amounts collected by test and by a payor and other factors. Variable consideration for the open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Medicare claims is deemed to be fully constrained due to the uncertainty of the outcome of these claims. For fully constrained claims, we generally recognize revenue in the period the uncertainty is definitively resolved and we can provide no assurance that such resolution will be achieved on a timely basis, or at all. Changes to such estimates may increase or decrease revenue recognized in future periods.</w:t>
      </w:r>
    </w:p>
    <w:p>
      <w:pPr>
        <w:spacing w:after="0" w:line="19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While each of these areas presents significant opportunities for us, they also pose significant risks and challenges that we must address. We discuss many of these risks, uncertainties and other factors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225"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December 2018, we entered into the Janssen Agreement, under which we were responsible for the costs associated with our sales force in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In August 2021, we and Janssen mutually agreed to terminate the Janssen Agreement effective August 31, 2021. Pursuant to the Janssen Agreement, as amended, Janssen was responsible for all other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our sales and co-promotional services, we were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Upon termination of the Janssen Agreement on August 31, 2021, we became entitled to receive an aggregate of $0.6 million in consideration, which was earned in the year ended December 31, 2021. Pursuant to the terms of the termination, we were restricted until May 31, 2022 from promoting any other biologic or Janus kinase inhibitor used for the treatment of indications covered by the Janssen Agreement without first obtaining Janssen's written consent. The restriction no longer applies.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7" w:name="page28"/>
    <w:bookmarkEnd w:id="27"/>
    <w:p>
      <w:pPr>
        <w:ind w:right="60"/>
        <w:spacing w:after="0" w:line="287" w:lineRule="auto"/>
        <w:rPr>
          <w:sz w:val="20"/>
          <w:szCs w:val="20"/>
          <w:color w:val="auto"/>
        </w:rPr>
      </w:pPr>
      <w:r>
        <w:rPr>
          <w:rFonts w:ascii="Arial" w:cs="Arial" w:eastAsia="Arial" w:hAnsi="Arial"/>
          <w:sz w:val="18"/>
          <w:szCs w:val="18"/>
          <w:color w:val="auto"/>
        </w:rPr>
        <w:t>We recognized no revenue and approximately $0.6 million in revenue during the six months ended June 30, 2022 and 2021, respectively, for our promotional efforts under the Janssen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including for example influenza outbreaks that may reduce the percentage of patients that can be seen, and other factors relating to the timing of patient benefit changes, as well as patient deductibles and co-insurance limits.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payors, consist of healthcare insurers, government payors (primarily Medicare and Medicaid), client payors (e.g. hospitals, other laboratories, etc.), and patient self-pay. Our service is completed upon the delivery of test results to the prescribing rheumatologists which triggers billing for the service.</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payor and other factors. These assessments require significant judgment by management.</w:t>
      </w:r>
    </w:p>
    <w:p>
      <w:pPr>
        <w:spacing w:after="0" w:line="171"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color w:val="auto"/>
        </w:rPr>
        <w:t>As more fully described under the heading "Overview - Recent Developments" above, we experienced a disruption in our revenue recognition and cash collection during the quarter ended June 30, 2022 in relation to Medicare Part B reimbursements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Variable consideration for the open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Medicare claims is deemed to be fully constrained due to the uncertainty of the outcome of these claims. For fully constrained claims, we generally recognize revenue in the period the uncertainty is definitively resolved and we can provide no assurance that such resolution will be achieved on a timely basis, or at all.</w:t>
      </w:r>
    </w:p>
    <w:p>
      <w:pPr>
        <w:spacing w:after="0" w:line="19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w:t>
      </w:r>
    </w:p>
    <w:p>
      <w:pPr>
        <w:spacing w:after="0" w:line="15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discussed above, our volume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substantially recovered to pre-COVID-19 levels in the fourth quarter of 2020. However, the continued spread of COVID-19, including any of its viral variants, may adversely affect testing volumes in future periods, and the extent of any such adverse effects is highly uncertain.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22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Each payor, whether a commercial third-party, government, or individual, reimburses us at different amounts. These differences can be significant. As a result, our costs of revenue as a percentage of revenue may vary significantly from period to period due to the composition of payors for each period's billings.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8" w:name="page29"/>
    <w:bookmarkEnd w:id="28"/>
    <w:p>
      <w:pPr>
        <w:spacing w:after="0" w:line="256" w:lineRule="auto"/>
        <w:rPr>
          <w:sz w:val="20"/>
          <w:szCs w:val="20"/>
          <w:color w:val="auto"/>
        </w:rPr>
      </w:pPr>
      <w:r>
        <w:rPr>
          <w:rFonts w:ascii="Arial" w:cs="Arial" w:eastAsia="Arial" w:hAnsi="Arial"/>
          <w:sz w:val="18"/>
          <w:szCs w:val="18"/>
          <w:color w:val="auto"/>
        </w:rPr>
        <w:t>Assuming future testing volumes are not negatively impacted by the continued spread of COVID-19, we expect that our costs of revenue will increase in absolute dollars as the number of tests we perform increases. However, we expect that the cost per test will decrease over time due to volume discounts on materials and other volume efficiencies we may gain as the number of tests we perform increases. The decrease in cost per test may be partially offset due to increased depreciation and allocated overhead associated with our clinical laboratory expansion as well as increased labor, material and shipping costs (including as a result of inflation) associated with the commercialization of our portfolio products. As discussed above, the continued spread of COVID-19 may adversely affect testing volumes which may result in an increase in cost per test due to our inability to realize volume efficiencies.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7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We expect that our selling, general and administrative expenses will increase in absolute dollars in 2022 as compared to 2021, due to expected additions to headcount and associated increases for personnel costs, including stock-based compensation.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7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expect that our research and development expenses will increase in absolute dollars in 2022 as compared to 2021, as we continue to invest in research and development activities related to our existing testing products and product candidates, including the expansion of our clinical research and development facility, expected additions to headcount and associated increases for personnel costs, including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and security agreement with Innovatus Life Sciences Lending Fund I, LP (Innovatus).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expense to remain substantially consistent in the near term.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interest income earned on our cash and cash equivalents.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68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196"/>
        </w:trPr>
        <w:tc>
          <w:tcPr>
            <w:tcW w:w="6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4"/>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(3,810)</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12,903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11,171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1,732</w:t>
            </w: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2,689</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w:t>
            </w:r>
          </w:p>
        </w:tc>
      </w:tr>
      <w:tr>
        <w:trPr>
          <w:trHeight w:val="192"/>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21,670</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3,156</w:t>
            </w:r>
          </w:p>
        </w:tc>
      </w:tr>
      <w:tr>
        <w:trPr>
          <w:trHeight w:val="20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(6,966)</w:t>
            </w:r>
          </w:p>
        </w:tc>
      </w:tr>
      <w:tr>
        <w:trPr>
          <w:trHeight w:val="199"/>
        </w:trPr>
        <w:tc>
          <w:tcPr>
            <w:tcW w:w="68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06"/>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2"/>
        </w:trPr>
        <w:tc>
          <w:tcPr>
            <w:tcW w:w="6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(13,309)</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(6,899)</w:t>
            </w:r>
          </w:p>
        </w:tc>
      </w:tr>
      <w:tr>
        <w:trPr>
          <w:trHeight w:val="24"/>
        </w:trPr>
        <w:tc>
          <w:tcPr>
            <w:tcW w:w="68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Revenue decreased $3.8 million, or 29.8%, for the three months ended June 30, 2022 compared to the three months ended June 30, 2021, primarily due a decrease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revenue of $ 3.2 million. The decrease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revenue was primarily due to (i) a decrease in average reimbursement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(ii) a net negative adjustment associated with changes in estimated variable consideration related to performance obligations satisfied in previous periods and (iii) uncertainty of the outcome of certain claims, which have been deemed fully constrained.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81% of revenue in each of the three months ended June 30, 2022 and 2021, increased to 34,919 tests delivered in the three months ended June 30, 2022 compared to 33,328 tests delivered in the same 2021 period. The adoption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by healthcare providers for the three months ended June 30, 2022 increased to 2,273 ordering healthcare providers as compared to 1,934 ordering healthcare providers in the same 2021 period. Revenue resulting from the Janssen Agreement contributed no revenue for the three months ended June 30, 2022 compared to $0.3 million for the three months ended June 30,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2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Costs of revenue increased $0.6 million, or 11.5%, for the three months ended June 30, 2022 compared to the three months ended June 30, 2021. This increase was primarily due to increased direct costs such as labor, materials and supplies, shipping and handling and allocated overhead associated with the increase in test volume in 2022 compared to 2021. Gross margin as a percentage of revenue decreased to 32.2% for the three months ended June 30, 2022, compared to 57.3% for the three months ended June 30, 2021. This was primarily attributable to a decrease in average reimbursement per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CTD test and a decrease in revenue resulting from the Janssen Agreement.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Selling, general and administrative expenses increased $1.7 million, or 15.5%, for the three months ended June 30, 2022 compared to the three months ended June 30, 2021. This increase was primarily due to an increase of $0.8 million of employee related expenses, including stock-based compensation and recruitment expenses, increases related to audit and professional services of $ 0.2 million, legal fees of $0.2 million, marketing expenses of $0.2 million, allocated overhead of $0.2 million and insurance expenses of $0.1 million.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Research and development expenses increased $ 0.8 million for the three months ended June 30, 2022 compared to the three months ended June 30, 2021. This increase was primarily due to increases in expenses related to current, former and potential future employees, including severance, stock-based compensation and recruitment expenses of $0.7 million, collaboration expenses of $0.4 million, laboratory supplies expense of $0.2 million,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30" w:name="page31"/>
    <w:bookmarkEnd w:id="30"/>
    <w:p>
      <w:pPr>
        <w:ind w:right="100"/>
        <w:spacing w:after="0" w:line="287" w:lineRule="auto"/>
        <w:rPr>
          <w:sz w:val="20"/>
          <w:szCs w:val="20"/>
          <w:color w:val="auto"/>
        </w:rPr>
      </w:pPr>
      <w:r>
        <w:rPr>
          <w:rFonts w:ascii="Arial" w:cs="Arial" w:eastAsia="Arial" w:hAnsi="Arial"/>
          <w:sz w:val="18"/>
          <w:szCs w:val="18"/>
          <w:color w:val="auto"/>
        </w:rPr>
        <w:t>consulting costs of $0.1 million and allocated overhead of $0.1 million, partially offset by decreases in license fees of $0.4 million and clinical trial expenses of $0.3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Interest expense remained substantially consistent for the three months ended June 30, 2022 compared to the three months ended June 30,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Other income (expense), net, remained substantially consistent for the three months ended June 30, 2022 compared to the three months ended June 30,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68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196"/>
        </w:trPr>
        <w:tc>
          <w:tcPr>
            <w:tcW w:w="6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(4,003)</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25,055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21,211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3,844</w:t>
            </w: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1,498</w:t>
            </w:r>
          </w:p>
        </w:tc>
      </w:tr>
      <w:tr>
        <w:trPr>
          <w:trHeight w:val="192"/>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41,743</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34,668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7,075</w:t>
            </w:r>
          </w:p>
        </w:tc>
      </w:tr>
      <w:tr>
        <w:trPr>
          <w:trHeight w:val="20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(11,078)</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2"/>
        </w:trPr>
        <w:tc>
          <w:tcPr>
            <w:tcW w:w="6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(23,581)</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(12,619)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(10,962)</w:t>
            </w:r>
          </w:p>
        </w:tc>
      </w:tr>
      <w:tr>
        <w:trPr>
          <w:trHeight w:val="25"/>
        </w:trPr>
        <w:tc>
          <w:tcPr>
            <w:tcW w:w="68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Revenue decreased $4.0 million, or 17.1%, for the six months ended June 30, 2022 compared to the six months ended June 30, 2021, primarily due a decrease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revenue of $ 3.0 million. The decrease in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revenue was primarily due to (i) a decrease in average reimbursement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(ii) a net negative adjustment associated with changes in estimated variable consideration related to performance obligations satisfied in previous periods and (iii) uncertainty of the outcome of certain claims, which have been deemed fully constrained.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82% and 81% of revenue in the six months ended June 30, 2022 and 2021, respectively, increased to 65,822 tests delivered in the six months ended June 30, 2022 compared to 62,357 tests delivered in the same 2021 period. The number of ordering healthcare providers increased to 2,273 for the three months ended</w:t>
      </w:r>
    </w:p>
    <w:p>
      <w:pPr>
        <w:spacing w:after="0" w:line="3"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June 30, 2022 compared to 1,934 in the same 2021 period. Revenue resulting from the Janssen Agreement contributed no revenue for the six months ended June 30, 2022 compared to $0.6 million during the six months ended June 30,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2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Costs of revenue increased $1.7 million, or 17.1%, for the six months ended June 30, 2022 compared to the six months ended June 30, 2021. This increase was primarily due to increased direct costs such as materials and supplies, labor, shipping and handling and allocated overhead associated with the increase in test volume and increase in cost per test in 2022 compared to 2021. Gross margin as a percentage of revenue decreased to 38.5% for the six months ended June 30, 2022, compared to 56.5% for the six months ended June 30, 2021. This was primarily attributable to a decrease in average reimbursement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an increase in cost per test, and a decrease in revenue resulting from the Janssen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1" w:name="page32"/>
    <w:bookmarkEnd w:id="31"/>
    <w:p>
      <w:pPr>
        <w:jc w:val="both"/>
        <w:ind w:right="160"/>
        <w:spacing w:after="0" w:line="262" w:lineRule="auto"/>
        <w:rPr>
          <w:sz w:val="20"/>
          <w:szCs w:val="20"/>
          <w:color w:val="auto"/>
        </w:rPr>
      </w:pPr>
      <w:r>
        <w:rPr>
          <w:rFonts w:ascii="Arial" w:cs="Arial" w:eastAsia="Arial" w:hAnsi="Arial"/>
          <w:sz w:val="18"/>
          <w:szCs w:val="18"/>
          <w:color w:val="auto"/>
        </w:rPr>
        <w:t>Selling, general and administrative expenses increased $3.8 million, or 18.1%, for the six months ended June 30, 2022 compared to the six months ended June 30, 2021. This increase was primarily due to an increase of $2.4 million of employee related expenses, including stock-based compensation and recruitment expenses, increases related to allocated overhead of $0.4 million, legal fees of $0.4 million, audit and professional services of $0.2 million, marketing expenses of $0.2 million and insurance expenses of $0.1 million.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expenses increased $ 1.5 million, or 45.5%, for the six months ended June 30, 2022 compared to the six months ended June 30, 2021. This increase was primarily due to increases in expenses related to current, former and potential employees, including severance, stock-based compensation and recruitment expenses of $1.2 million, collaboration expenses of $0.5 million, allocated overhead of $0.3 million, laboratory supplies expense of $0.3 million and consulting fees of $0.1 million, partially offset by decreases in clinical trial expenses of $0.4 million and license fees of $0.4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Interest expense remained substantially consistent for the six months ended June 30, 2022 compared to the six months ended June 30,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Other income (expense), net, remained substantially consistent for the six months ended June 30, 2022 compared to the six months ended June 30,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incurred net losses since our inception. For the six months ended June 30, 2022 and 2021, we incurred a net loss of $ 23.6 million and $ 12.6 million, respectively, and we expect to incur additional losses and increased operating expenses in future periods. As of June 30, 2022, we had an accumulated deficit of $231.7 million. To date, we have generated only limited revenue, and we may never achieve revenue sufficient to offset our expenses.</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primary sources of capital have been sales of our common stock and redeemable convertible preferred stock, the sale of our common stock in our IPO, and, to a lesser extent, borrowings under various debt financings. On November 10, 2020, we filed a registration statement on Form S-3 (Shelf Registration Statement), which was declared effective by the SEC on November 19, 2020, covering the offering, from time to time, of up to $150.0 million of common stock, preferred stock, debt securities, warrants and units. In March 2021, we completed a public offering of 4,255,000 shares of our common stock at a public offering price of $16.25 per share, which shares were sold under the Shelf Registration Statement. Net proceeds from the offering were approximately $64.7 million, net of underwriting discounts and commissions and other offering expenses of $ 4.4 million. As of June 30, 2022, we had $76.4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2017, we entered into the loan and security agreement with Innovatus under which we immediately drew down $20.0 million. In December 2018, we borrowed an additional $5.0 million under the loan agreement. In each of November 2019 and November 2021, we amended the loan and security agreement with Innovatus, which we collectively refer to as the Amended Loan Agreement. Pursuant to the Amended Loan Agreement, the loan term is for nine years with a final maturity date of November 2026. The Amended Loan Agreement accrues interest at an annual rate of 8.0%, of which 2.0% will be payable in-kind. Paid in-kind interest is added to the principal balance each period. After December 1, 2024, the entire 8.0% will be paid in cash at the end of each period. On or after November 1, 2022, we may, at our option, prepay the term loan borrowings by paying the lender a prepayment premium. The prepayment premium was 3% as of November 2021 and decreases by 1% on each of November 1, 2022, November 1, 2023 and November 1, 2024.</w:t>
      </w:r>
    </w:p>
    <w:p>
      <w:pPr>
        <w:spacing w:after="0" w:line="1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certain levels of minimum</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2" w:name="page33"/>
    <w:bookmarkEnd w:id="32"/>
    <w:p>
      <w:pPr>
        <w:spacing w:after="0" w:line="255" w:lineRule="auto"/>
        <w:rPr>
          <w:sz w:val="20"/>
          <w:szCs w:val="20"/>
          <w:color w:val="auto"/>
        </w:rPr>
      </w:pPr>
      <w:r>
        <w:rPr>
          <w:rFonts w:ascii="Arial" w:cs="Arial" w:eastAsia="Arial" w:hAnsi="Arial"/>
          <w:sz w:val="18"/>
          <w:szCs w:val="18"/>
          <w:color w:val="auto"/>
        </w:rPr>
        <w:t>liquidity of $2.0 million, performance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consequences of failing to achieve the performance covenant will be cured if, within sixty days of failing to achieve the performance covenant, we issue additional equity securities or subordinated debt with net proceeds sufficient to fund any cash flow deficiency generated from operations, as defined in the Amended Loan Agreement. As of June 30, 2022, we were in compliance with all covenants of the Amended Loan Agreement.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 force to drive increased adoption of and reimbursement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prepare to commercialize new testing products, continue our research and development efforts and further develop our product pipeline. We believe we have sufficient laboratory capacity to support increased test volume. We expect to make significant investments for laboratory equipment and capital expenditures in the near term related to our laboratory facilities and expansion of research capabilities, including an investment to convert approximately 8,000 square feet of warehouse space into additional clinical laboratory space and approximately 6,000 square feet of warehouse space into additional research and development facility space. We began such conversion in the second half of 2021 and completed the conversion for the clinical laboratory space in the second quarter of 2022 and expect to complete the conversion for the additional research and development facility in the second half of 2022. The converted clinical laboratory space is currently being utilized for both clinical laboratory and research and development purposes. The expansion of our clinical laboratory and research and development facility are expected to allow us to enhance our testing capacity and improve efficiencies as well as allow us to develop molecular and multiomic capabilities and advance our product pipeline, including support of the development of tests for fibromyalgia, RA, thrombosis and lupus nephritis. Cash used to fund operating expenses is impacted by the timing of when we pay expenses, as reflected in the change in our outstanding accounts payable and accrued expenses.</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with one supplier for reagents, payments related to our principal and interest under our long term borrowing arrangements, payments for operating leases related to our office and laboratory space in Vista, California and our office space in Carlsbad, California, and payments for finance leases related to our laboratory equipment.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85" w:lineRule="exact"/>
        <w:rPr>
          <w:sz w:val="20"/>
          <w:szCs w:val="20"/>
          <w:color w:val="auto"/>
        </w:rPr>
      </w:pPr>
    </w:p>
    <w:p>
      <w:pPr>
        <w:ind w:right="520"/>
        <w:spacing w:after="0" w:line="28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w:t>
      </w:r>
    </w:p>
    <w:p>
      <w:pPr>
        <w:spacing w:after="0" w:line="60" w:lineRule="exact"/>
        <w:rPr>
          <w:rFonts w:ascii="Arial" w:cs="Arial" w:eastAsia="Arial" w:hAnsi="Arial"/>
          <w:sz w:val="18"/>
          <w:szCs w:val="18"/>
          <w:color w:val="auto"/>
        </w:rPr>
      </w:pPr>
    </w:p>
    <w:p>
      <w:pPr>
        <w:ind w:left="660" w:right="80" w:hanging="328"/>
        <w:spacing w:after="0" w:line="23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32" w:lineRule="exact"/>
        <w:rPr>
          <w:rFonts w:ascii="Arial" w:cs="Arial" w:eastAsia="Arial" w:hAnsi="Arial"/>
          <w:sz w:val="18"/>
          <w:szCs w:val="18"/>
          <w:color w:val="auto"/>
        </w:rPr>
      </w:pPr>
    </w:p>
    <w:p>
      <w:pPr>
        <w:ind w:left="660" w:right="38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right="16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efforts;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additional costs we may incur as a result of operating as a public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3" w:name="page34"/>
    <w:bookmarkEnd w:id="33"/>
    <w:p>
      <w:pPr>
        <w:ind w:left="660" w:right="140" w:hanging="328"/>
        <w:spacing w:after="0" w:line="28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 and</w:t>
      </w:r>
    </w:p>
    <w:p>
      <w:pPr>
        <w:spacing w:after="0" w:line="1"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our promotion of other therapeutics, if any, including the expansion of our sales capabilities, and the extent and timing of generating revenue from each such promotion, if any.</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195"/>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82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(19,728)</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(8,762)</w:t>
            </w:r>
          </w:p>
        </w:tc>
      </w:tr>
      <w:tr>
        <w:trPr>
          <w:trHeight w:val="207"/>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r>
      <w:tr>
        <w:trPr>
          <w:trHeight w:val="19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64,771</w:t>
            </w:r>
          </w:p>
        </w:tc>
      </w:tr>
      <w:tr>
        <w:trPr>
          <w:trHeight w:val="22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(23,055)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used in operating activities for the six months ended June 30, 2022 was $19.7 million and primarily resulted from (i) our net loss of $23.6 million adjusted for non-cash charges of $ 4.3 million related to stock-based compensation, depreciation, amortization, non-cash lease expense and non-cash interest and (ii) changes in our net operating assets of $0.4 million primarily related to net decreases in accrued and other current liabilities and operating lease liabilities, partially offset by net increases in accounts payable and net decreases in prepaid expenses and other current assets.</w:t>
      </w:r>
    </w:p>
    <w:p>
      <w:pPr>
        <w:spacing w:after="0" w:line="17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Net cash used in operating activities for the six months ended June 30, 2021 was $8.8 million and primarily resulted from (i) our net loss of $12.6 million adjusted for non-cash charges of $3.0 million related to stock-based compensation, depreciation, amortization and non-cash interest and (ii) changes in our net operating assets of $0.8 million primarily related to net decreases in prepaid expenses and other current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Net cash used in investing activities for the six months ended June 30, 2022 and 2021 was $3.0 million and $0.9 million, respectively, and was due to net purchases of property and equipment.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34" w:name="page35"/>
    <w:bookmarkEnd w:id="34"/>
    <w:p>
      <w:pPr>
        <w:ind w:right="40"/>
        <w:spacing w:after="0" w:line="287" w:lineRule="auto"/>
        <w:rPr>
          <w:sz w:val="20"/>
          <w:szCs w:val="20"/>
          <w:color w:val="auto"/>
        </w:rPr>
      </w:pPr>
      <w:r>
        <w:rPr>
          <w:rFonts w:ascii="Arial" w:cs="Arial" w:eastAsia="Arial" w:hAnsi="Arial"/>
          <w:sz w:val="18"/>
          <w:szCs w:val="18"/>
          <w:color w:val="auto"/>
        </w:rPr>
        <w:t>Net cash used in financing activities for the six months ended June 30, 2022 was $0.3 million and primarily resulted from payment on finance lease obligations and payment of taxes withheld on vested restricted stock units, partially offset by proceeds from ESPP purchases.</w:t>
      </w:r>
    </w:p>
    <w:p>
      <w:pPr>
        <w:spacing w:after="0" w:line="15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provided by financing activities for the six months ended June 30, 2021 was $64.8 million primarily resulted from the net proceeds received from our public offering in March 2021 of $64.7 million and proceeds from ESPP purchases, partially offset by principal payments on finance lease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United States generally accepted accounting principles (GAAP). The year-end condensed balance sheet data was derived from audited financial statements, but does not include all disclosures required by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a description of our critical accounting policies, please see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Critical Accounting Policies and Significant Management Estimates</w:t>
      </w:r>
      <w:r>
        <w:rPr>
          <w:rFonts w:ascii="Arial" w:cs="Arial" w:eastAsia="Arial" w:hAnsi="Arial"/>
          <w:sz w:val="18"/>
          <w:szCs w:val="18"/>
          <w:color w:val="auto"/>
        </w:rPr>
        <w:t>" contained in our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year ended December 31, 2021. Except as disclosed in Note 2 to the unaudited condensed financial statements included in this Quarterly Report on Form 10-Q, there have been no significant changes in our critical accounting policies and estimates during the three months ended June 30, 2022 as compared to the critical accounting policies and estimates disclosed in the Management’s Discussion and Analysis of Financial Condition and Operations included in our Annual Report on Form 10-K for the year ended December 31, 2021 filed with the SEC on March 22,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Please see Note 2 to the unaudited condensed financial statements included in this Quarterly Report on Form 10-Q for a summary of changes in significant accounting policies.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Jumpstart Our Business Startups Act of 2012 (the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w:t>
      </w:r>
    </w:p>
    <w:p>
      <w:pPr>
        <w:spacing w:after="0" w:line="2" w:lineRule="exact"/>
        <w:rPr>
          <w:sz w:val="20"/>
          <w:szCs w:val="20"/>
          <w:color w:val="auto"/>
        </w:rPr>
      </w:pPr>
    </w:p>
    <w:p>
      <w:pPr>
        <w:ind w:right="700" w:firstLine="8"/>
        <w:spacing w:after="0" w:line="258" w:lineRule="auto"/>
        <w:tabs>
          <w:tab w:leader="none" w:pos="2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We will remain an emerging growth company until the last day of our fiscal year following the fifth anniversary of the date of the first sale of our common equity securities pursuant to an effective registration statement under the Securities Act of 1933, as amended (the Securities Act), which will occur in 2024. However, if certain events occur prior to the end of this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this anniversary.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5" w:name="page36"/>
    <w:bookmarkEnd w:id="35"/>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required to be disclosed by us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Our management, with the participation of our principal executive officer and our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have concluded that as of June 30, 2022,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judgement in evaluating the cost-benefit relationship of possible controls and procedures.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Annual Report on Form 10-K for the year ended December 31, 2021, other than those set forth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7"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b w:val="1"/>
          <w:bCs w:val="1"/>
          <w:i w:val="1"/>
          <w:iCs w:val="1"/>
          <w:color w:val="auto"/>
        </w:rPr>
        <w:t>If third-party payors do not provide coverage and adequate reimbursement for our testing products, or they breach, rescind or modify their contracts or reimbursement policies or delay payments for our tests, or if we or our partners are unable to successfully negotiate payor contracts, our revenues, gross margins and commercial success could be materially adversely affected.</w:t>
      </w:r>
    </w:p>
    <w:p>
      <w:pPr>
        <w:spacing w:after="0" w:line="11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Successful commercialization of our tests depends, in large part, on the availability of coverage and adequate reimbursement from third-party payors, including government payors, such as Medicare and Medicaid, and private insurers. For the tests that we develop and commercialize, each third-party payor decides whether to cover the test, the amount it will reimburse for a test and the specific conditions for reimbursement.</w:t>
      </w:r>
    </w:p>
    <w:p>
      <w:pPr>
        <w:spacing w:after="0" w:line="122" w:lineRule="exact"/>
        <w:rPr>
          <w:sz w:val="20"/>
          <w:szCs w:val="20"/>
          <w:color w:val="auto"/>
        </w:rPr>
      </w:pPr>
    </w:p>
    <w:p>
      <w:pPr>
        <w:ind w:right="920"/>
        <w:spacing w:after="0" w:line="284" w:lineRule="auto"/>
        <w:rPr>
          <w:sz w:val="20"/>
          <w:szCs w:val="20"/>
          <w:color w:val="auto"/>
        </w:rPr>
      </w:pPr>
      <w:r>
        <w:rPr>
          <w:rFonts w:ascii="Arial" w:cs="Arial" w:eastAsia="Arial" w:hAnsi="Arial"/>
          <w:sz w:val="18"/>
          <w:szCs w:val="18"/>
          <w:color w:val="auto"/>
        </w:rPr>
        <w:t>Reimbursement by third-party payors may depend on a number of factors, including the payor’s determination that tests using our technologies are:</w:t>
      </w:r>
    </w:p>
    <w:p>
      <w:pPr>
        <w:spacing w:after="0" w:line="2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not experimental or investigational;</w:t>
      </w:r>
    </w:p>
    <w:p>
      <w:pPr>
        <w:spacing w:after="0" w:line="7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medically necessary;</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demonstrated to lead to improved patient outcomes;</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appropriate for the specific patient;</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cost-saving or cost-effective;</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supported by peer-reviewed medical journals; and</w:t>
      </w:r>
    </w:p>
    <w:p>
      <w:pPr>
        <w:spacing w:after="0" w:line="5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Arial" w:cs="Arial" w:eastAsia="Arial" w:hAnsi="Arial"/>
          <w:sz w:val="18"/>
          <w:szCs w:val="18"/>
          <w:color w:val="auto"/>
        </w:rPr>
        <w:t>included in clinical guidelines.</w:t>
      </w:r>
    </w:p>
    <w:p>
      <w:pPr>
        <w:spacing w:after="0" w:line="15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If we are unable to provide third-party payors with sufficient evidence of the clinical utility and validity of our tests, they may not provide coverage, or may provide limited coverage, which will adversely affect our revenue and our ability to succeed. In addition, clinicians may be less likely to order a test unless a third-party payor pays a substantial portion of the test price. Therefore, coverage determinations and reimbursement levels and conditions are critical to commercial success, and if we are not able to secure positive coverage determinations and reimbursement levels, our business will be materially adversely affected. Moreover, the COVID-19 pandemic may cause a delay in coverage decisions from Medicare and third-party payors, and has delayed ongoing and planned clinical trials involving our tests, the occurrence of which may have a material adverse effect on our business.</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Third-party payors and other entities also conduct technology assessments of new medical tests and devices and provide and/or sell the results of their assessments to other parties. These assessments may be used by third-party payors and healthcare providers as grounds to deny coverage for or refuse to use a test or procedure. In addition, third-party payors have increased their efforts to control the cost, utilization and delivery of healthcare services. These measures have resulted in reduced payment rates and decreased utilization for the diagnostics industry.</w:t>
      </w:r>
    </w:p>
    <w:p>
      <w:pPr>
        <w:spacing w:after="0" w:line="12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Effective April 25, 2012, Palmetto GBA, the Medicare molecular diagnostic services program contractor, or MolDX Program, assigned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MTX assay a unique identifier and determined that the test meets the applicable</w:t>
      </w:r>
    </w:p>
    <w:p>
      <w:pPr>
        <w:sectPr>
          <w:pgSz w:w="11900" w:h="16838" w:orient="portrait"/>
          <w:cols w:equalWidth="0" w:num="1">
            <w:col w:w="11240"/>
          </w:cols>
          <w:pgMar w:left="320" w:top="1133"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auto"/>
        </w:rPr>
        <w:t>Medicare coverage criteria to support dose optimization and therapeutic decision making for patients diagnosed with RA on methotrexate.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current Medicare Administrative Contractor, Noridian Healthcare Solutions, LLC, or Noridian, has adopted this coverage policy.</w:t>
      </w:r>
    </w:p>
    <w:p>
      <w:pPr>
        <w:spacing w:after="0" w:line="153" w:lineRule="exact"/>
        <w:rPr>
          <w:sz w:val="20"/>
          <w:szCs w:val="20"/>
          <w:color w:val="auto"/>
        </w:rPr>
      </w:pPr>
    </w:p>
    <w:p>
      <w:pPr>
        <w:jc w:val="both"/>
        <w:ind w:right="180"/>
        <w:spacing w:after="0" w:line="237" w:lineRule="auto"/>
        <w:rPr>
          <w:sz w:val="20"/>
          <w:szCs w:val="20"/>
          <w:color w:val="auto"/>
        </w:rPr>
      </w:pPr>
      <w:r>
        <w:rPr>
          <w:rFonts w:ascii="Arial" w:cs="Arial" w:eastAsia="Arial" w:hAnsi="Arial"/>
          <w:sz w:val="17"/>
          <w:szCs w:val="17"/>
          <w:color w:val="auto"/>
        </w:rPr>
        <w:t>We experienced a disruption in our revenue recognition and cash collection during the quarter ended June 30, 2022 in relation to Medicare Part B reimbursements for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Lupus test and may experience future disruptions in this revenue and cash collection. Effective April 1, 2022 CMS recognized a new PLA code for our protein-based test,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Lupus, and Noridian priced this PLA code at $1,085 per test. The process for establishing reimbursement for new tests can be uncertain, lengthy and time consuming. A pricing determination is not</w:t>
      </w:r>
    </w:p>
    <w:p>
      <w:pPr>
        <w:spacing w:after="0" w:line="1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synonymous with a coverage determination. Having a price associated with the PLA code for any particular test does not secure coverage or reimbursement for that PLA code from Medicare or any other third-party payor.</w:t>
      </w:r>
    </w:p>
    <w:p>
      <w:pPr>
        <w:spacing w:after="0" w:line="99"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Beginning April 1 2022, we billed Noridian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under its new PLA code. However, to date, we have received few payments, with the substantial majority of these claims either resulting in requests for additional information and denials from Noridian. In order to confirm coverage and payment of claims, we submitted a formal request to Noridian for coverage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 This request may not be successful, and we may ultimately be required to pursue additional strategies for reimbursement with Noridian, which may include seeking a local coverage determination or a local coverage article. These alternative strategies may not be successful and, even if successful, may be time-consuming, resource intensive and require multiple quarterly or annual periods to complete. During the pendency of these efforts, we may be unable to collect reimbursement from Noridian for all or some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claims, which could again result in a disruption in recognizing related revenue for billed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claims. If our efforts to seek reimbursement are ultimately unsuccessful, we may not receive any revenue or cash from these claims.</w:t>
      </w:r>
    </w:p>
    <w:p>
      <w:pPr>
        <w:spacing w:after="0" w:line="14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Other third-party payors make their own decisions as to whether to establish a policy to reimburse for our tests. Because approvals must be sought on a payor-by-payor basis, establishing broad coverage is a time-consuming and costly process. There are many third-party payors who have not yet established a coverage policy applicable to our tests. In addition, several Blue Cross Blue Shield plans and Aetna issued non-coverage policies with respect to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determining that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does not meet the medical criteria for coverage and is considered investigational and/or experimental.</w:t>
      </w:r>
    </w:p>
    <w:p>
      <w:pPr>
        <w:spacing w:after="0" w:line="13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While our tests are reimbursed by a number of third-party payors, we do not currently have contracts with significant private payors. We have in the past, and will likely in the future, experience delays and temporary interruptions in the receipt of payments from third-party payors due to changes in their internal processes, documentation requirements and other issues, which could cause our revenue and cash to fluctuate from period to period.</w:t>
      </w:r>
    </w:p>
    <w:p>
      <w:pPr>
        <w:spacing w:after="0" w:line="1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are not successful in reversing existing non-coverage policies, obtaining and maintaining consistent reimbursement for billed tests or if other third-party payors issue negative coverage policies, these policies could have a material adverse effect on our business and operations. Even if many third-party payors currently reimburse for our testing products, such payors may withdraw coverage at any time, review and adjust the rate of reimbursement, require co-payments from patients or stop paying for our tests altogether, any of which would reduce our revenue.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227"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0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CLIA’s and CAP’s regulation of our laboratory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laws and regulations, including but not limited to requirements for offering LDTs;</w:t>
      </w:r>
    </w:p>
    <w:p>
      <w:pPr>
        <w:spacing w:after="0" w:line="171"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and state laws and standards affecting reimbursement by government payors, including certain coding requirements to obtain reimbursement and certain changes to the payment mechanism for clinical laboratory services resulting from the Protecting Access to Medicare Act of 2014, or PAMA;</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8" w:name="page39"/>
    <w:bookmarkEnd w:id="38"/>
    <w:p>
      <w:pPr>
        <w:ind w:left="660" w:right="18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16"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16"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Stark Law, which generally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w:t>
      </w:r>
    </w:p>
    <w:p>
      <w:pPr>
        <w:spacing w:after="0" w:line="116"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16"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16" w:lineRule="exact"/>
        <w:rPr>
          <w:rFonts w:ascii="Arial" w:cs="Arial" w:eastAsia="Arial" w:hAnsi="Arial"/>
          <w:sz w:val="18"/>
          <w:szCs w:val="18"/>
          <w:color w:val="auto"/>
        </w:rPr>
      </w:pPr>
    </w:p>
    <w:p>
      <w:pPr>
        <w:ind w:left="660" w:right="320" w:hanging="328"/>
        <w:spacing w:after="0" w:line="26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EKRA, which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covered by healthcare benefit programs (including commercial insurers) unless a specific exception applies;</w:t>
      </w:r>
    </w:p>
    <w:p>
      <w:pPr>
        <w:spacing w:after="0" w:line="122"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ACA, which, among other things, establishes a requirement for providers and suppliers to report and return any overpayments received from the Medicare and Medicaid programs;</w:t>
      </w:r>
    </w:p>
    <w:p>
      <w:pPr>
        <w:spacing w:after="0" w:line="98" w:lineRule="exact"/>
        <w:rPr>
          <w:rFonts w:ascii="Arial" w:cs="Arial" w:eastAsia="Arial" w:hAnsi="Arial"/>
          <w:sz w:val="18"/>
          <w:szCs w:val="18"/>
          <w:color w:val="auto"/>
        </w:rPr>
      </w:pPr>
    </w:p>
    <w:p>
      <w:pPr>
        <w:ind w:left="660" w:right="140" w:hanging="328"/>
        <w:spacing w:after="0" w:line="26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and other Medicare and Medicaid billing and coverage requirements;</w:t>
      </w:r>
    </w:p>
    <w:p>
      <w:pPr>
        <w:spacing w:after="0" w:line="171" w:lineRule="exact"/>
        <w:rPr>
          <w:rFonts w:ascii="Arial" w:cs="Arial" w:eastAsia="Arial" w:hAnsi="Arial"/>
          <w:sz w:val="18"/>
          <w:szCs w:val="18"/>
          <w:color w:val="auto"/>
        </w:rPr>
      </w:pPr>
    </w:p>
    <w:p>
      <w:pPr>
        <w:ind w:left="660" w:right="120" w:hanging="328"/>
        <w:spacing w:after="0" w:line="26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FCPA, and applicable foreign anti-bribery laws;</w:t>
      </w:r>
    </w:p>
    <w:p>
      <w:pPr>
        <w:spacing w:after="0" w:line="171" w:lineRule="exact"/>
        <w:rPr>
          <w:rFonts w:ascii="Arial" w:cs="Arial" w:eastAsia="Arial" w:hAnsi="Arial"/>
          <w:sz w:val="18"/>
          <w:szCs w:val="18"/>
          <w:color w:val="auto"/>
        </w:rPr>
      </w:pPr>
    </w:p>
    <w:p>
      <w:pPr>
        <w:ind w:left="660" w:right="90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state and local regulations relating to the handling and disposal of regulated medical waste, hazardous waste and biohazardous waste and workplace safety for healthcare employees;</w:t>
      </w:r>
    </w:p>
    <w:p>
      <w:pPr>
        <w:spacing w:after="0" w:line="98" w:lineRule="exact"/>
        <w:rPr>
          <w:rFonts w:ascii="Arial" w:cs="Arial" w:eastAsia="Arial" w:hAnsi="Arial"/>
          <w:sz w:val="18"/>
          <w:szCs w:val="18"/>
          <w:color w:val="auto"/>
        </w:rPr>
      </w:pPr>
    </w:p>
    <w:p>
      <w:pPr>
        <w:ind w:left="660" w:right="220" w:hanging="328"/>
        <w:spacing w:after="0" w:line="26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1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Any future growth of our business, including, in particular, continued reliance on consultants, commercial partners and other third parties, may increase the potential for violating these laws. In some cases, our risk of violating these</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39" w:name="page40"/>
    <w:bookmarkEnd w:id="39"/>
    <w:p>
      <w:pPr>
        <w:ind w:right="200"/>
        <w:spacing w:after="0" w:line="287" w:lineRule="auto"/>
        <w:rPr>
          <w:sz w:val="20"/>
          <w:szCs w:val="20"/>
          <w:color w:val="auto"/>
        </w:rPr>
      </w:pPr>
      <w:r>
        <w:rPr>
          <w:rFonts w:ascii="Arial" w:cs="Arial" w:eastAsia="Arial" w:hAnsi="Arial"/>
          <w:sz w:val="18"/>
          <w:szCs w:val="18"/>
          <w:color w:val="auto"/>
        </w:rPr>
        <w:t>or other laws and regulations is further increased because of the lack of their complete interpretation by applicable regulatory authorities or courts, and their provisions are thus open to a variety of interpretations.</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adopted policies and procedures designed to comply with these laws and regulations, and, in the ordinary course of our business, we conduct internal reviews of our compliance with these laws. Our compliance is also subject to review by applicable government agencies. However, these laws and regulations are subject to change and additional interpretation and guidance from regulatory authorities. For instance, in April 2022, the Department of Health and Human Services Office of Inspector General issued a new advisory opinion indicating that a particular clinical laboratory’s practice of contracting with hospitals for the collection of samples for testing could, based on the facts provided and assuming the requisite intent, be a violation of the federal Anti-Kickback Statute. If this Advisory Opinion ultimately limits our ability to collect samples in a hospital setting, we may be required to contract for sample collection with other collection sites or sources, such as mobile phlebotomists, that could be more expensive and less convenient for patients, which could adversely affect both demand for our tests and the margins and profitability of our tests.</w:t>
      </w:r>
    </w:p>
    <w:p>
      <w:pPr>
        <w:spacing w:after="0" w:line="12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Given the complexity of these existing and changing rules and regulations,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Any action brought against us for violation of these or other laws or regulations, even if we successfully defend against it, could cause us to incur significant legal expenses, divert our management’s attention from the operation of our business and harm our reputation. If our operations, including the conduct of our employees, consultants and commercial partners, are found to be in violation of any of these laws and regulations,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Any of these consequences could seriously harm our business and our financial results.</w:t>
      </w:r>
    </w:p>
    <w:p>
      <w:pPr>
        <w:spacing w:after="0" w:line="12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It is possible that some of our business activities could be subject to challenge under one or more of such laws.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healthcare programs, such as Medicare and Medicaid in the U.S. and similar programs outside the U.S.,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At the closing of the offering on September 23, 2019, we issued and sold 4,140,000 shares of our common stock at the initial public offering price to the public of $14.00 per share, which included the exercise in full of the underwriters’ option to purchase additional shares. We received gross proceeds from the IPO of $58.0 million, before deducting underwriting discounts, commissions and other offering expenses, which resulted in net proceeds of approximately $50.4 million and offering-related transaction costs of</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40" w:name="page41"/>
    <w:bookmarkEnd w:id="40"/>
    <w:p>
      <w:pPr>
        <w:spacing w:after="0" w:line="268" w:lineRule="auto"/>
        <w:rPr>
          <w:sz w:val="20"/>
          <w:szCs w:val="20"/>
          <w:color w:val="auto"/>
        </w:rPr>
      </w:pPr>
      <w:r>
        <w:rPr>
          <w:rFonts w:ascii="Arial" w:cs="Arial" w:eastAsia="Arial" w:hAnsi="Arial"/>
          <w:sz w:val="18"/>
          <w:szCs w:val="18"/>
          <w:color w:val="auto"/>
        </w:rPr>
        <w:t>approximately $7.5 million. Cowen and Company, LLC, Cantor Fitzgerald &amp; Co. and William Blair &amp; Company, L.L.C. acted as joint book-running managers for the offering. No offering expenses were paid or are payable, directly or indirectly, to our directors or officers, to persons owning 10% or more of any class of our equity securities or to any of our affiliates.</w:t>
      </w:r>
    </w:p>
    <w:p>
      <w:pPr>
        <w:spacing w:after="0" w:line="171" w:lineRule="exact"/>
        <w:rPr>
          <w:sz w:val="20"/>
          <w:szCs w:val="20"/>
          <w:color w:val="auto"/>
        </w:rPr>
      </w:pPr>
    </w:p>
    <w:p>
      <w:pPr>
        <w:jc w:val="both"/>
        <w:ind w:right="140"/>
        <w:spacing w:after="0" w:line="261" w:lineRule="auto"/>
        <w:rPr>
          <w:sz w:val="20"/>
          <w:szCs w:val="20"/>
          <w:color w:val="auto"/>
        </w:rPr>
      </w:pPr>
      <w:r>
        <w:rPr>
          <w:rFonts w:ascii="Arial" w:cs="Arial" w:eastAsia="Arial" w:hAnsi="Arial"/>
          <w:sz w:val="18"/>
          <w:szCs w:val="18"/>
          <w:color w:val="auto"/>
        </w:rPr>
        <w:t>As of June 30, 2022, we have used all of the proceeds from our IPO primarily related to selling and marketing activities. There has been no material change in the planned use of such proceeds from that described in the final prospectus filed by us with the SEC on September 20, 2019.</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41" w:name="page42"/>
    <w:bookmarkEnd w:id="41"/>
    <w:p>
      <w:pPr>
        <w:jc w:val="center"/>
        <w:ind w:right="397"/>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123" w:type="dxa"/>
        <w:tblCellMar>
          <w:top w:w="0" w:type="dxa"/>
          <w:left w:w="0" w:type="dxa"/>
          <w:bottom w:w="0" w:type="dxa"/>
          <w:right w:w="0" w:type="dxa"/>
        </w:tblCellMar>
      </w:tblPr>
      <w:tr>
        <w:trPr>
          <w:trHeight w:val="196"/>
        </w:trPr>
        <w:tc>
          <w:tcPr>
            <w:tcW w:w="6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line="149" w:lineRule="exact"/>
              <w:rPr>
                <w:sz w:val="20"/>
                <w:szCs w:val="20"/>
                <w:color w:val="auto"/>
              </w:rPr>
            </w:pPr>
            <w:r>
              <w:rPr>
                <w:rFonts w:ascii="Arial" w:cs="Arial" w:eastAsia="Arial" w:hAnsi="Arial"/>
                <w:sz w:val="14"/>
                <w:szCs w:val="14"/>
                <w:b w:val="1"/>
                <w:bCs w:val="1"/>
                <w:color w:val="auto"/>
              </w:rPr>
              <w:t>Exhibit</w:t>
            </w:r>
          </w:p>
        </w:tc>
        <w:tc>
          <w:tcPr>
            <w:tcW w:w="32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File No.</w:t>
            </w:r>
          </w:p>
        </w:tc>
        <w:tc>
          <w:tcPr>
            <w:tcW w:w="12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0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9"/>
              </w:rPr>
              <w:t>Filed/Furnished</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-6350</wp:posOffset>
            </wp:positionV>
            <wp:extent cx="60693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ectPr>
          <w:pgSz w:w="11900" w:h="16838" w:orient="portrait"/>
          <w:cols w:equalWidth="0" w:num="1">
            <w:col w:w="10163"/>
          </w:cols>
          <w:pgMar w:left="1057" w:top="1133" w:right="679" w:bottom="1440" w:gutter="0" w:footer="0" w:header="0"/>
        </w:sectPr>
      </w:pPr>
    </w:p>
    <w:p>
      <w:pPr>
        <w:spacing w:after="0" w:line="3" w:lineRule="exact"/>
        <w:rPr>
          <w:sz w:val="20"/>
          <w:szCs w:val="20"/>
          <w:color w:val="auto"/>
        </w:rPr>
      </w:pPr>
    </w:p>
    <w:tbl>
      <w:tblPr>
        <w:tblLayout w:type="fixed"/>
        <w:tblInd w:w="123"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3.1</w:t>
            </w:r>
          </w:p>
        </w:tc>
        <w:tc>
          <w:tcPr>
            <w:tcW w:w="3120" w:type="dxa"/>
            <w:vAlign w:val="bottom"/>
            <w:gridSpan w:val="26"/>
          </w:tcPr>
          <w:p>
            <w:pPr>
              <w:spacing w:after="0"/>
              <w:rPr>
                <w:rFonts w:ascii="Arial" w:cs="Arial" w:eastAsia="Arial" w:hAnsi="Arial"/>
                <w:sz w:val="14"/>
                <w:szCs w:val="14"/>
                <w:color w:val="0000FF"/>
              </w:rPr>
            </w:pPr>
            <w:hyperlink r:id="rId52">
              <w:r>
                <w:rPr>
                  <w:rFonts w:ascii="Arial" w:cs="Arial" w:eastAsia="Arial" w:hAnsi="Arial"/>
                  <w:sz w:val="14"/>
                  <w:szCs w:val="14"/>
                  <w:color w:val="0000FF"/>
                </w:rPr>
                <w:t>Amended and Restated Certificate of</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3.1</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9/23/2019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88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rPr>
            </w:pPr>
            <w:hyperlink r:id="rId52">
              <w:r>
                <w:rPr>
                  <w:rFonts w:ascii="Arial" w:cs="Arial" w:eastAsia="Arial" w:hAnsi="Arial"/>
                  <w:sz w:val="14"/>
                  <w:szCs w:val="14"/>
                  <w:color w:val="0000FF"/>
                </w:rPr>
                <w:t>Incorporation.</w:t>
              </w:r>
            </w:hyperlink>
          </w:p>
        </w:tc>
        <w:tc>
          <w:tcPr>
            <w:tcW w:w="1480" w:type="dxa"/>
            <w:vAlign w:val="bottom"/>
            <w:tcBorders>
              <w:top w:val="single" w:sz="8" w:color="0000FF"/>
            </w:tcBorders>
            <w:gridSpan w:val="6"/>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3.2</w:t>
            </w:r>
          </w:p>
        </w:tc>
        <w:tc>
          <w:tcPr>
            <w:tcW w:w="3120" w:type="dxa"/>
            <w:vAlign w:val="bottom"/>
            <w:gridSpan w:val="26"/>
          </w:tcPr>
          <w:p>
            <w:pPr>
              <w:spacing w:after="0"/>
              <w:rPr>
                <w:rFonts w:ascii="Arial" w:cs="Arial" w:eastAsia="Arial" w:hAnsi="Arial"/>
                <w:sz w:val="14"/>
                <w:szCs w:val="14"/>
                <w:color w:val="0000FF"/>
              </w:rPr>
            </w:pPr>
            <w:hyperlink r:id="rId53">
              <w:r>
                <w:rPr>
                  <w:rFonts w:ascii="Arial" w:cs="Arial" w:eastAsia="Arial" w:hAnsi="Arial"/>
                  <w:sz w:val="14"/>
                  <w:szCs w:val="14"/>
                  <w:color w:val="0000FF"/>
                </w:rPr>
                <w:t>Amended and Restated Bylaws.</w:t>
              </w:r>
            </w:hyperlink>
          </w:p>
        </w:tc>
        <w:tc>
          <w:tcPr>
            <w:tcW w:w="940" w:type="dxa"/>
            <w:vAlign w:val="bottom"/>
          </w:tcPr>
          <w:p>
            <w:pPr>
              <w:jc w:val="center"/>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3.1</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3/22/2021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vMerge w:val="restart"/>
          </w:tcPr>
          <w:p>
            <w:pPr>
              <w:spacing w:after="0"/>
              <w:rPr>
                <w:sz w:val="20"/>
                <w:szCs w:val="20"/>
                <w:color w:val="auto"/>
              </w:rPr>
            </w:pPr>
            <w:r>
              <w:rPr>
                <w:rFonts w:ascii="Arial" w:cs="Arial" w:eastAsia="Arial" w:hAnsi="Arial"/>
                <w:sz w:val="14"/>
                <w:szCs w:val="14"/>
                <w:color w:val="auto"/>
              </w:rPr>
              <w:t>4.1</w:t>
            </w:r>
          </w:p>
        </w:tc>
        <w:tc>
          <w:tcPr>
            <w:tcW w:w="3120" w:type="dxa"/>
            <w:vAlign w:val="bottom"/>
            <w:tcBorders>
              <w:bottom w:val="single" w:sz="8" w:color="0000FF"/>
            </w:tcBorders>
            <w:gridSpan w:val="26"/>
          </w:tcPr>
          <w:p>
            <w:pPr>
              <w:spacing w:after="0"/>
              <w:rPr>
                <w:rFonts w:ascii="Arial" w:cs="Arial" w:eastAsia="Arial" w:hAnsi="Arial"/>
                <w:sz w:val="14"/>
                <w:szCs w:val="14"/>
                <w:color w:val="0000FF"/>
              </w:rPr>
            </w:pPr>
            <w:hyperlink r:id="rId54">
              <w:r>
                <w:rPr>
                  <w:rFonts w:ascii="Arial" w:cs="Arial" w:eastAsia="Arial" w:hAnsi="Arial"/>
                  <w:sz w:val="14"/>
                  <w:szCs w:val="14"/>
                  <w:color w:val="0000FF"/>
                </w:rPr>
                <w:t>Specimen stock certificate evidencing the shares</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4.1</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3120" w:type="dxa"/>
            <w:vAlign w:val="bottom"/>
            <w:gridSpan w:val="26"/>
          </w:tcPr>
          <w:p>
            <w:pPr>
              <w:spacing w:after="0" w:line="129" w:lineRule="exact"/>
              <w:rPr>
                <w:rFonts w:ascii="Arial" w:cs="Arial" w:eastAsia="Arial" w:hAnsi="Arial"/>
                <w:sz w:val="14"/>
                <w:szCs w:val="14"/>
                <w:color w:val="0000FF"/>
              </w:rPr>
            </w:pPr>
            <w:hyperlink r:id="rId54">
              <w:r>
                <w:rPr>
                  <w:rFonts w:ascii="Arial" w:cs="Arial" w:eastAsia="Arial" w:hAnsi="Arial"/>
                  <w:sz w:val="14"/>
                  <w:szCs w:val="14"/>
                  <w:color w:val="0000FF"/>
                </w:rPr>
                <w:t>of common stock.</w:t>
              </w:r>
            </w:hyperlink>
          </w:p>
        </w:tc>
        <w:tc>
          <w:tcPr>
            <w:tcW w:w="9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120" w:type="dxa"/>
            <w:vAlign w:val="bottom"/>
            <w:gridSpan w:val="26"/>
          </w:tcPr>
          <w:p>
            <w:pPr>
              <w:spacing w:after="0"/>
              <w:rPr>
                <w:rFonts w:ascii="Arial" w:cs="Arial" w:eastAsia="Arial" w:hAnsi="Arial"/>
                <w:sz w:val="14"/>
                <w:szCs w:val="14"/>
                <w:color w:val="0000FF"/>
              </w:rPr>
            </w:pPr>
            <w:hyperlink r:id="rId55">
              <w:r>
                <w:rPr>
                  <w:rFonts w:ascii="Arial" w:cs="Arial" w:eastAsia="Arial" w:hAnsi="Arial"/>
                  <w:sz w:val="14"/>
                  <w:szCs w:val="14"/>
                  <w:color w:val="0000FF"/>
                </w:rPr>
                <w:t>Amended and Restated Investors' Rights</w:t>
              </w:r>
            </w:hyperlink>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4.2</w:t>
            </w:r>
          </w:p>
        </w:tc>
        <w:tc>
          <w:tcPr>
            <w:tcW w:w="260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55">
              <w:r>
                <w:rPr>
                  <w:rFonts w:ascii="Arial" w:cs="Arial" w:eastAsia="Arial" w:hAnsi="Arial"/>
                  <w:sz w:val="14"/>
                  <w:szCs w:val="14"/>
                  <w:color w:val="0000FF"/>
                </w:rPr>
                <w:t>Agreement, dated July 12, 2019, by and</w:t>
              </w:r>
            </w:hyperlink>
          </w:p>
        </w:tc>
        <w:tc>
          <w:tcPr>
            <w:tcW w:w="520" w:type="dxa"/>
            <w:vAlign w:val="bottom"/>
            <w:gridSpan w:val="12"/>
          </w:tcPr>
          <w:p>
            <w:pPr>
              <w:spacing w:after="0" w:line="129" w:lineRule="exact"/>
              <w:rPr>
                <w:rFonts w:ascii="Arial" w:cs="Arial" w:eastAsia="Arial" w:hAnsi="Arial"/>
                <w:sz w:val="14"/>
                <w:szCs w:val="14"/>
                <w:color w:val="0000FF"/>
              </w:rPr>
            </w:pPr>
            <w:hyperlink r:id="rId55">
              <w:r>
                <w:rPr>
                  <w:rFonts w:ascii="Arial" w:cs="Arial" w:eastAsia="Arial" w:hAnsi="Arial"/>
                  <w:sz w:val="14"/>
                  <w:szCs w:val="14"/>
                  <w:color w:val="0000FF"/>
                </w:rPr>
                <w:t>among</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4.2</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840" w:type="dxa"/>
            <w:vAlign w:val="bottom"/>
            <w:tcBorders>
              <w:top w:val="single" w:sz="8" w:color="0000FF"/>
              <w:bottom w:val="single" w:sz="8" w:color="0000FF"/>
            </w:tcBorders>
            <w:gridSpan w:val="18"/>
          </w:tcPr>
          <w:p>
            <w:pPr>
              <w:spacing w:after="0" w:line="115" w:lineRule="exact"/>
              <w:rPr>
                <w:rFonts w:ascii="Arial" w:cs="Arial" w:eastAsia="Arial" w:hAnsi="Arial"/>
                <w:sz w:val="13"/>
                <w:szCs w:val="13"/>
                <w:color w:val="0000FF"/>
              </w:rPr>
            </w:pPr>
            <w:hyperlink r:id="rId55">
              <w:r>
                <w:rPr>
                  <w:rFonts w:ascii="Arial" w:cs="Arial" w:eastAsia="Arial" w:hAnsi="Arial"/>
                  <w:sz w:val="13"/>
                  <w:szCs w:val="13"/>
                  <w:color w:val="0000FF"/>
                </w:rPr>
                <w:t>the Company and certain of its stockholders.</w:t>
              </w:r>
            </w:hyperlink>
          </w:p>
        </w:tc>
        <w:tc>
          <w:tcPr>
            <w:tcW w:w="200" w:type="dxa"/>
            <w:vAlign w:val="bottom"/>
            <w:tcBorders>
              <w:top w:val="single" w:sz="8" w:color="0000FF"/>
            </w:tcBorders>
            <w:gridSpan w:val="6"/>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120" w:type="dxa"/>
            <w:vAlign w:val="bottom"/>
            <w:gridSpan w:val="26"/>
          </w:tcPr>
          <w:p>
            <w:pPr>
              <w:spacing w:after="0"/>
              <w:rPr>
                <w:rFonts w:ascii="Arial" w:cs="Arial" w:eastAsia="Arial" w:hAnsi="Arial"/>
                <w:sz w:val="14"/>
                <w:szCs w:val="14"/>
                <w:color w:val="0000FF"/>
              </w:rPr>
            </w:pPr>
            <w:hyperlink r:id="rId56">
              <w:r>
                <w:rPr>
                  <w:rFonts w:ascii="Arial" w:cs="Arial" w:eastAsia="Arial" w:hAnsi="Arial"/>
                  <w:sz w:val="14"/>
                  <w:szCs w:val="14"/>
                  <w:color w:val="0000FF"/>
                </w:rPr>
                <w:t>Amended and Restated Stockholders'</w:t>
              </w:r>
            </w:hyperlink>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4.3</w:t>
            </w:r>
          </w:p>
        </w:tc>
        <w:tc>
          <w:tcPr>
            <w:tcW w:w="3120" w:type="dxa"/>
            <w:vAlign w:val="bottom"/>
            <w:gridSpan w:val="26"/>
          </w:tcPr>
          <w:p>
            <w:pPr>
              <w:spacing w:after="0" w:line="129" w:lineRule="exact"/>
              <w:rPr>
                <w:rFonts w:ascii="Arial" w:cs="Arial" w:eastAsia="Arial" w:hAnsi="Arial"/>
                <w:sz w:val="14"/>
                <w:szCs w:val="14"/>
                <w:color w:val="0000FF"/>
              </w:rPr>
            </w:pPr>
            <w:hyperlink r:id="rId56">
              <w:r>
                <w:rPr>
                  <w:rFonts w:ascii="Arial" w:cs="Arial" w:eastAsia="Arial" w:hAnsi="Arial"/>
                  <w:sz w:val="14"/>
                  <w:szCs w:val="14"/>
                  <w:color w:val="0000FF"/>
                </w:rPr>
                <w:t>Agreement, dated July 12, 2019, by and among</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4.3</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840" w:type="dxa"/>
            <w:vAlign w:val="bottom"/>
            <w:tcBorders>
              <w:top w:val="single" w:sz="8" w:color="0000FF"/>
              <w:bottom w:val="single" w:sz="8" w:color="0000FF"/>
            </w:tcBorders>
            <w:gridSpan w:val="18"/>
          </w:tcPr>
          <w:p>
            <w:pPr>
              <w:spacing w:after="0" w:line="115" w:lineRule="exact"/>
              <w:rPr>
                <w:rFonts w:ascii="Arial" w:cs="Arial" w:eastAsia="Arial" w:hAnsi="Arial"/>
                <w:sz w:val="13"/>
                <w:szCs w:val="13"/>
                <w:color w:val="0000FF"/>
              </w:rPr>
            </w:pPr>
            <w:hyperlink r:id="rId56">
              <w:r>
                <w:rPr>
                  <w:rFonts w:ascii="Arial" w:cs="Arial" w:eastAsia="Arial" w:hAnsi="Arial"/>
                  <w:sz w:val="13"/>
                  <w:szCs w:val="13"/>
                  <w:color w:val="0000FF"/>
                </w:rPr>
                <w:t>the Company and certain of its stockholders.</w:t>
              </w:r>
            </w:hyperlink>
          </w:p>
        </w:tc>
        <w:tc>
          <w:tcPr>
            <w:tcW w:w="200" w:type="dxa"/>
            <w:vAlign w:val="bottom"/>
            <w:tcBorders>
              <w:top w:val="single" w:sz="8" w:color="0000FF"/>
            </w:tcBorders>
            <w:gridSpan w:val="6"/>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120" w:type="dxa"/>
            <w:vAlign w:val="bottom"/>
            <w:gridSpan w:val="26"/>
          </w:tcPr>
          <w:p>
            <w:pPr>
              <w:spacing w:after="0"/>
              <w:rPr>
                <w:rFonts w:ascii="Arial" w:cs="Arial" w:eastAsia="Arial" w:hAnsi="Arial"/>
                <w:sz w:val="14"/>
                <w:szCs w:val="14"/>
                <w:color w:val="0000FF"/>
              </w:rPr>
            </w:pPr>
            <w:hyperlink r:id="rId57">
              <w:r>
                <w:rPr>
                  <w:rFonts w:ascii="Arial" w:cs="Arial" w:eastAsia="Arial" w:hAnsi="Arial"/>
                  <w:sz w:val="14"/>
                  <w:szCs w:val="14"/>
                  <w:color w:val="0000FF"/>
                </w:rPr>
                <w:t>Form of Common Stock Purchase Warrant</w:t>
              </w:r>
            </w:hyperlink>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4.4</w:t>
            </w:r>
          </w:p>
        </w:tc>
        <w:tc>
          <w:tcPr>
            <w:tcW w:w="2700" w:type="dxa"/>
            <w:vAlign w:val="bottom"/>
            <w:tcBorders>
              <w:top w:val="single" w:sz="8" w:color="0000FF"/>
            </w:tcBorders>
            <w:gridSpan w:val="16"/>
          </w:tcPr>
          <w:p>
            <w:pPr>
              <w:spacing w:after="0" w:line="129" w:lineRule="exact"/>
              <w:rPr>
                <w:rFonts w:ascii="Arial" w:cs="Arial" w:eastAsia="Arial" w:hAnsi="Arial"/>
                <w:sz w:val="14"/>
                <w:szCs w:val="14"/>
                <w:color w:val="0000FF"/>
              </w:rPr>
            </w:pPr>
            <w:hyperlink r:id="rId57">
              <w:r>
                <w:rPr>
                  <w:rFonts w:ascii="Arial" w:cs="Arial" w:eastAsia="Arial" w:hAnsi="Arial"/>
                  <w:sz w:val="14"/>
                  <w:szCs w:val="14"/>
                  <w:color w:val="0000FF"/>
                </w:rPr>
                <w:t>issued to investors by the Company in</w:t>
              </w:r>
            </w:hyperlink>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4.4</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20" w:type="dxa"/>
            <w:vAlign w:val="bottom"/>
            <w:gridSpan w:val="26"/>
          </w:tcPr>
          <w:p>
            <w:pPr>
              <w:spacing w:after="0" w:line="115" w:lineRule="exact"/>
              <w:rPr>
                <w:rFonts w:ascii="Arial" w:cs="Arial" w:eastAsia="Arial" w:hAnsi="Arial"/>
                <w:sz w:val="13"/>
                <w:szCs w:val="13"/>
                <w:color w:val="0000FF"/>
              </w:rPr>
            </w:pPr>
            <w:hyperlink r:id="rId57">
              <w:r>
                <w:rPr>
                  <w:rFonts w:ascii="Arial" w:cs="Arial" w:eastAsia="Arial" w:hAnsi="Arial"/>
                  <w:sz w:val="13"/>
                  <w:szCs w:val="13"/>
                  <w:color w:val="0000FF"/>
                </w:rPr>
                <w:t>connection with private placement financings.</w:t>
              </w:r>
            </w:hyperlink>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880" w:type="dxa"/>
            <w:vAlign w:val="bottom"/>
            <w:tcBorders>
              <w:top w:val="single" w:sz="8" w:color="0000FF"/>
            </w:tcBorders>
            <w:gridSpan w:val="20"/>
          </w:tcPr>
          <w:p>
            <w:pPr>
              <w:spacing w:after="0"/>
              <w:rPr>
                <w:rFonts w:ascii="Arial" w:cs="Arial" w:eastAsia="Arial" w:hAnsi="Arial"/>
                <w:sz w:val="14"/>
                <w:szCs w:val="14"/>
                <w:color w:val="0000FF"/>
              </w:rPr>
            </w:pPr>
            <w:hyperlink r:id="rId58">
              <w:r>
                <w:rPr>
                  <w:rFonts w:ascii="Arial" w:cs="Arial" w:eastAsia="Arial" w:hAnsi="Arial"/>
                  <w:sz w:val="14"/>
                  <w:szCs w:val="14"/>
                  <w:color w:val="0000FF"/>
                </w:rPr>
                <w:t>Form of Common Stock Purchase Warrant to</w:t>
              </w:r>
            </w:hyperlink>
          </w:p>
        </w:tc>
        <w:tc>
          <w:tcPr>
            <w:tcW w:w="240" w:type="dxa"/>
            <w:vAlign w:val="bottom"/>
            <w:gridSpan w:val="6"/>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4.5</w:t>
            </w:r>
          </w:p>
        </w:tc>
        <w:tc>
          <w:tcPr>
            <w:tcW w:w="3120" w:type="dxa"/>
            <w:vAlign w:val="bottom"/>
            <w:gridSpan w:val="26"/>
          </w:tcPr>
          <w:p>
            <w:pPr>
              <w:spacing w:after="0" w:line="129" w:lineRule="exact"/>
              <w:rPr>
                <w:rFonts w:ascii="Arial" w:cs="Arial" w:eastAsia="Arial" w:hAnsi="Arial"/>
                <w:sz w:val="14"/>
                <w:szCs w:val="14"/>
                <w:color w:val="0000FF"/>
              </w:rPr>
            </w:pPr>
            <w:hyperlink r:id="rId58">
              <w:r>
                <w:rPr>
                  <w:rFonts w:ascii="Arial" w:cs="Arial" w:eastAsia="Arial" w:hAnsi="Arial"/>
                  <w:sz w:val="14"/>
                  <w:szCs w:val="14"/>
                  <w:color w:val="0000FF"/>
                </w:rPr>
                <w:t>purchase common stock issued to investors by</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4.8</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98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58">
              <w:r>
                <w:rPr>
                  <w:rFonts w:ascii="Arial" w:cs="Arial" w:eastAsia="Arial" w:hAnsi="Arial"/>
                  <w:sz w:val="13"/>
                  <w:szCs w:val="13"/>
                  <w:color w:val="0000FF"/>
                </w:rPr>
                <w:t>the Company in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4.6</w:t>
            </w:r>
          </w:p>
        </w:tc>
        <w:tc>
          <w:tcPr>
            <w:tcW w:w="1720" w:type="dxa"/>
            <w:vAlign w:val="bottom"/>
            <w:tcBorders>
              <w:bottom w:val="single" w:sz="8" w:color="0000FF"/>
            </w:tcBorders>
            <w:gridSpan w:val="5"/>
          </w:tcPr>
          <w:p>
            <w:pPr>
              <w:spacing w:after="0"/>
              <w:rPr>
                <w:rFonts w:ascii="Arial" w:cs="Arial" w:eastAsia="Arial" w:hAnsi="Arial"/>
                <w:sz w:val="14"/>
                <w:szCs w:val="14"/>
                <w:color w:val="0000FF"/>
              </w:rPr>
            </w:pPr>
            <w:hyperlink r:id="rId59">
              <w:r>
                <w:rPr>
                  <w:rFonts w:ascii="Arial" w:cs="Arial" w:eastAsia="Arial" w:hAnsi="Arial"/>
                  <w:sz w:val="14"/>
                  <w:szCs w:val="14"/>
                  <w:color w:val="0000FF"/>
                </w:rPr>
                <w:t>Form of Exchange Warrant</w:t>
              </w:r>
            </w:hyperlink>
          </w:p>
        </w:tc>
        <w:tc>
          <w:tcPr>
            <w:tcW w:w="1400" w:type="dxa"/>
            <w:vAlign w:val="bottom"/>
            <w:gridSpan w:val="21"/>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10-Q</w:t>
            </w:r>
          </w:p>
        </w:tc>
        <w:tc>
          <w:tcPr>
            <w:tcW w:w="136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4.5</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8/9/2021</w:t>
            </w: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0000FF"/>
              </w:rPr>
              <w:t>Certificate of Principal Executive Officer,</w:t>
            </w: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3120" w:type="dxa"/>
            <w:vAlign w:val="bottom"/>
            <w:gridSpan w:val="26"/>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2620" w:type="dxa"/>
            <w:vAlign w:val="bottom"/>
            <w:tcBorders>
              <w:top w:val="single" w:sz="8" w:color="0000FF"/>
            </w:tcBorders>
            <w:gridSpan w:val="15"/>
          </w:tcPr>
          <w:p>
            <w:pPr>
              <w:spacing w:after="0" w:line="115" w:lineRule="exact"/>
              <w:rPr>
                <w:sz w:val="20"/>
                <w:szCs w:val="20"/>
                <w:color w:val="auto"/>
              </w:rPr>
            </w:pPr>
            <w:r>
              <w:rPr>
                <w:rFonts w:ascii="Arial" w:cs="Arial" w:eastAsia="Arial" w:hAnsi="Arial"/>
                <w:sz w:val="13"/>
                <w:szCs w:val="13"/>
                <w:color w:val="0000FF"/>
              </w:rPr>
              <w:t>adopted pursuant to Section 302 of the</w:t>
            </w:r>
          </w:p>
        </w:tc>
        <w:tc>
          <w:tcPr>
            <w:tcW w:w="100" w:type="dxa"/>
            <w:vAlign w:val="bottom"/>
            <w:gridSpan w:val="2"/>
          </w:tcPr>
          <w:p>
            <w:pPr>
              <w:spacing w:after="0"/>
              <w:rPr>
                <w:sz w:val="10"/>
                <w:szCs w:val="10"/>
                <w:color w:val="auto"/>
              </w:rPr>
            </w:pPr>
          </w:p>
        </w:tc>
        <w:tc>
          <w:tcPr>
            <w:tcW w:w="28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1840" w:type="dxa"/>
            <w:vAlign w:val="bottom"/>
            <w:tcBorders>
              <w:top w:val="single" w:sz="8" w:color="0000FF"/>
              <w:bottom w:val="single" w:sz="8" w:color="0000FF"/>
            </w:tcBorders>
            <w:gridSpan w:val="6"/>
          </w:tcPr>
          <w:p>
            <w:pPr>
              <w:spacing w:after="0" w:line="129" w:lineRule="exact"/>
              <w:rPr>
                <w:sz w:val="20"/>
                <w:szCs w:val="20"/>
                <w:color w:val="auto"/>
              </w:rPr>
            </w:pPr>
            <w:r>
              <w:rPr>
                <w:rFonts w:ascii="Arial" w:cs="Arial" w:eastAsia="Arial" w:hAnsi="Arial"/>
                <w:sz w:val="14"/>
                <w:szCs w:val="14"/>
                <w:color w:val="0000FF"/>
              </w:rPr>
              <w:t>Sarbanes-Oxley Act of 2002.</w:t>
            </w:r>
          </w:p>
        </w:tc>
        <w:tc>
          <w:tcPr>
            <w:tcW w:w="70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4"/>
          </w:tcPr>
          <w:p>
            <w:pPr>
              <w:spacing w:after="0"/>
              <w:rPr>
                <w:sz w:val="11"/>
                <w:szCs w:val="11"/>
                <w:color w:val="auto"/>
              </w:rPr>
            </w:pPr>
          </w:p>
        </w:tc>
        <w:tc>
          <w:tcPr>
            <w:tcW w:w="28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0000FF"/>
              </w:rPr>
              <w:t>Certificate of Principal Financial Officer, pursuant</w:t>
            </w: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100" w:type="dxa"/>
            <w:vAlign w:val="bottom"/>
            <w:tcBorders>
              <w:top w:val="single" w:sz="8" w:color="0000FF"/>
            </w:tcBorders>
            <w:gridSpan w:val="25"/>
          </w:tcPr>
          <w:p>
            <w:pPr>
              <w:spacing w:after="0" w:line="115" w:lineRule="exact"/>
              <w:rPr>
                <w:sz w:val="20"/>
                <w:szCs w:val="20"/>
                <w:color w:val="auto"/>
              </w:rPr>
            </w:pPr>
            <w:r>
              <w:rPr>
                <w:rFonts w:ascii="Arial" w:cs="Arial" w:eastAsia="Arial" w:hAnsi="Arial"/>
                <w:sz w:val="13"/>
                <w:szCs w:val="13"/>
                <w:color w:val="0000FF"/>
              </w:rPr>
              <w:t>to Rule 13a-14(a)/15d-14(a), as adopted</w:t>
            </w: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12"/>
          </w:tcPr>
          <w:p>
            <w:pPr>
              <w:spacing w:after="0" w:line="122" w:lineRule="exact"/>
              <w:rPr>
                <w:sz w:val="20"/>
                <w:szCs w:val="20"/>
                <w:color w:val="auto"/>
              </w:rPr>
            </w:pPr>
            <w:r>
              <w:rPr>
                <w:rFonts w:ascii="Arial" w:cs="Arial" w:eastAsia="Arial" w:hAnsi="Arial"/>
                <w:sz w:val="14"/>
                <w:szCs w:val="14"/>
                <w:color w:val="0000FF"/>
              </w:rPr>
              <w:t>pursuant to Section 302 of the Sarbanes</w:t>
            </w:r>
          </w:p>
        </w:tc>
        <w:tc>
          <w:tcPr>
            <w:tcW w:w="560" w:type="dxa"/>
            <w:vAlign w:val="bottom"/>
            <w:gridSpan w:val="14"/>
          </w:tcPr>
          <w:p>
            <w:pPr>
              <w:spacing w:after="0" w:line="122" w:lineRule="exact"/>
              <w:rPr>
                <w:sz w:val="20"/>
                <w:szCs w:val="20"/>
                <w:color w:val="auto"/>
              </w:rPr>
            </w:pPr>
            <w:r>
              <w:rPr>
                <w:rFonts w:ascii="Arial" w:cs="Arial" w:eastAsia="Arial" w:hAnsi="Arial"/>
                <w:sz w:val="14"/>
                <w:szCs w:val="14"/>
                <w:color w:val="0000FF"/>
              </w:rPr>
              <w:t>-Oxley</w:t>
            </w: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3020" w:type="dxa"/>
            <w:vAlign w:val="bottom"/>
            <w:tcBorders>
              <w:top w:val="single" w:sz="8" w:color="0000FF"/>
            </w:tcBorders>
            <w:gridSpan w:val="23"/>
          </w:tcPr>
          <w:p>
            <w:pPr>
              <w:spacing w:after="0" w:line="129" w:lineRule="exact"/>
              <w:rPr>
                <w:sz w:val="20"/>
                <w:szCs w:val="20"/>
                <w:color w:val="auto"/>
              </w:rPr>
            </w:pPr>
            <w:r>
              <w:rPr>
                <w:rFonts w:ascii="Arial" w:cs="Arial" w:eastAsia="Arial" w:hAnsi="Arial"/>
                <w:sz w:val="14"/>
                <w:szCs w:val="14"/>
                <w:color w:val="0000FF"/>
              </w:rPr>
              <w:t>Act of 2002.</w:t>
            </w:r>
          </w:p>
        </w:tc>
        <w:tc>
          <w:tcPr>
            <w:tcW w:w="100" w:type="dxa"/>
            <w:vAlign w:val="bottom"/>
            <w:gridSpan w:val="3"/>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0000FF"/>
              </w:rPr>
              <w:t>Certifications Pursuant to U.S.C. Section 1350,</w:t>
            </w: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000" w:type="dxa"/>
            <w:vAlign w:val="bottom"/>
            <w:tcBorders>
              <w:top w:val="single" w:sz="8" w:color="0000FF"/>
            </w:tcBorders>
            <w:gridSpan w:val="22"/>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120" w:type="dxa"/>
            <w:vAlign w:val="bottom"/>
            <w:gridSpan w:val="4"/>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17"/>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400" w:type="dxa"/>
            <w:vAlign w:val="bottom"/>
            <w:gridSpan w:val="9"/>
          </w:tcPr>
          <w:p>
            <w:pPr>
              <w:spacing w:after="0"/>
              <w:rPr>
                <w:sz w:val="10"/>
                <w:szCs w:val="10"/>
                <w:color w:val="auto"/>
              </w:rPr>
            </w:pP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580" w:type="dxa"/>
            <w:vAlign w:val="bottom"/>
            <w:tcBorders>
              <w:top w:val="single" w:sz="8" w:color="0000FF"/>
            </w:tcBorders>
            <w:gridSpan w:val="13"/>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540" w:type="dxa"/>
            <w:vAlign w:val="bottom"/>
            <w:gridSpan w:val="13"/>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1120" w:type="dxa"/>
            <w:vAlign w:val="bottom"/>
            <w:gridSpan w:val="1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20" w:type="dxa"/>
            <w:vAlign w:val="bottom"/>
          </w:tcPr>
          <w:p>
            <w:pPr>
              <w:spacing w:after="0"/>
              <w:rPr>
                <w:sz w:val="15"/>
                <w:szCs w:val="15"/>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Inline XBRL Instance Document - the instance</w:t>
            </w: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3120" w:type="dxa"/>
            <w:vAlign w:val="bottom"/>
            <w:gridSpan w:val="26"/>
          </w:tcPr>
          <w:p>
            <w:pPr>
              <w:spacing w:after="0" w:line="145" w:lineRule="exact"/>
              <w:rPr>
                <w:sz w:val="20"/>
                <w:szCs w:val="20"/>
                <w:color w:val="auto"/>
              </w:rPr>
            </w:pPr>
            <w:r>
              <w:rPr>
                <w:rFonts w:ascii="Arial" w:cs="Arial" w:eastAsia="Arial" w:hAnsi="Arial"/>
                <w:sz w:val="14"/>
                <w:szCs w:val="14"/>
                <w:color w:val="auto"/>
              </w:rPr>
              <w:t>document does not appear in the Interactive</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20" w:type="dxa"/>
            <w:vAlign w:val="bottom"/>
            <w:vMerge w:val="restart"/>
          </w:tcPr>
          <w:p>
            <w:pPr>
              <w:spacing w:after="0"/>
              <w:rPr>
                <w:sz w:val="20"/>
                <w:szCs w:val="20"/>
                <w:color w:val="auto"/>
              </w:rPr>
            </w:pPr>
            <w:r>
              <w:rPr>
                <w:rFonts w:ascii="Arial" w:cs="Arial" w:eastAsia="Arial" w:hAnsi="Arial"/>
                <w:sz w:val="14"/>
                <w:szCs w:val="14"/>
                <w:color w:val="auto"/>
              </w:rPr>
              <w:t>101.INS</w:t>
            </w:r>
          </w:p>
        </w:tc>
        <w:tc>
          <w:tcPr>
            <w:tcW w:w="3120" w:type="dxa"/>
            <w:vAlign w:val="bottom"/>
            <w:gridSpan w:val="26"/>
          </w:tcPr>
          <w:p>
            <w:pPr>
              <w:spacing w:after="0" w:line="139" w:lineRule="exact"/>
              <w:rPr>
                <w:sz w:val="20"/>
                <w:szCs w:val="20"/>
                <w:color w:val="auto"/>
              </w:rPr>
            </w:pPr>
            <w:r>
              <w:rPr>
                <w:rFonts w:ascii="Arial" w:cs="Arial" w:eastAsia="Arial" w:hAnsi="Arial"/>
                <w:sz w:val="14"/>
                <w:szCs w:val="14"/>
                <w:color w:val="auto"/>
              </w:rPr>
              <w:t>Data File because its XBRL tags are embedded</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within the Inline XBRL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101.SCH</w:t>
            </w:r>
          </w:p>
        </w:tc>
        <w:tc>
          <w:tcPr>
            <w:tcW w:w="3120" w:type="dxa"/>
            <w:vAlign w:val="bottom"/>
            <w:gridSpan w:val="26"/>
          </w:tcPr>
          <w:p>
            <w:pPr>
              <w:spacing w:after="0"/>
              <w:rPr>
                <w:sz w:val="20"/>
                <w:szCs w:val="20"/>
                <w:color w:val="auto"/>
              </w:rPr>
            </w:pPr>
            <w:r>
              <w:rPr>
                <w:rFonts w:ascii="Arial" w:cs="Arial" w:eastAsia="Arial" w:hAnsi="Arial"/>
                <w:sz w:val="14"/>
                <w:szCs w:val="14"/>
                <w:color w:val="auto"/>
              </w:rPr>
              <w:t>Inline XBRL Taxonomy Extension Schema</w:t>
            </w: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101.CAL</w:t>
            </w:r>
          </w:p>
        </w:tc>
        <w:tc>
          <w:tcPr>
            <w:tcW w:w="3120" w:type="dxa"/>
            <w:vAlign w:val="bottom"/>
            <w:gridSpan w:val="26"/>
          </w:tcPr>
          <w:p>
            <w:pPr>
              <w:spacing w:after="0" w:line="149" w:lineRule="exact"/>
              <w:rPr>
                <w:sz w:val="20"/>
                <w:szCs w:val="20"/>
                <w:color w:val="auto"/>
              </w:rPr>
            </w:pPr>
            <w:r>
              <w:rPr>
                <w:rFonts w:ascii="Arial" w:cs="Arial" w:eastAsia="Arial" w:hAnsi="Arial"/>
                <w:sz w:val="14"/>
                <w:szCs w:val="14"/>
                <w:color w:val="auto"/>
              </w:rPr>
              <w:t>Inline XBRL Taxonomy Extension Calculation</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Linkbase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101.DEF</w:t>
            </w:r>
          </w:p>
        </w:tc>
        <w:tc>
          <w:tcPr>
            <w:tcW w:w="3120" w:type="dxa"/>
            <w:vAlign w:val="bottom"/>
            <w:gridSpan w:val="26"/>
          </w:tcPr>
          <w:p>
            <w:pPr>
              <w:spacing w:after="0" w:line="149" w:lineRule="exact"/>
              <w:rPr>
                <w:sz w:val="20"/>
                <w:szCs w:val="20"/>
                <w:color w:val="auto"/>
              </w:rPr>
            </w:pPr>
            <w:r>
              <w:rPr>
                <w:rFonts w:ascii="Arial" w:cs="Arial" w:eastAsia="Arial" w:hAnsi="Arial"/>
                <w:sz w:val="14"/>
                <w:szCs w:val="14"/>
                <w:color w:val="auto"/>
              </w:rPr>
              <w:t>Inline XBRL Taxonomy Extension Definition</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Linkbase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101.LAB</w:t>
            </w:r>
          </w:p>
        </w:tc>
        <w:tc>
          <w:tcPr>
            <w:tcW w:w="3120" w:type="dxa"/>
            <w:vAlign w:val="bottom"/>
            <w:gridSpan w:val="26"/>
          </w:tcPr>
          <w:p>
            <w:pPr>
              <w:spacing w:after="0" w:line="149" w:lineRule="exact"/>
              <w:rPr>
                <w:sz w:val="20"/>
                <w:szCs w:val="20"/>
                <w:color w:val="auto"/>
              </w:rPr>
            </w:pPr>
            <w:r>
              <w:rPr>
                <w:rFonts w:ascii="Arial" w:cs="Arial" w:eastAsia="Arial" w:hAnsi="Arial"/>
                <w:sz w:val="14"/>
                <w:szCs w:val="14"/>
                <w:color w:val="auto"/>
              </w:rPr>
              <w:t>Inline XBRL Taxonomy Extension Labels</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Linkbase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101.PRE</w:t>
            </w:r>
          </w:p>
        </w:tc>
        <w:tc>
          <w:tcPr>
            <w:tcW w:w="3120" w:type="dxa"/>
            <w:vAlign w:val="bottom"/>
            <w:gridSpan w:val="26"/>
          </w:tcPr>
          <w:p>
            <w:pPr>
              <w:spacing w:after="0" w:line="149" w:lineRule="exact"/>
              <w:rPr>
                <w:sz w:val="20"/>
                <w:szCs w:val="20"/>
                <w:color w:val="auto"/>
              </w:rPr>
            </w:pPr>
            <w:r>
              <w:rPr>
                <w:rFonts w:ascii="Arial" w:cs="Arial" w:eastAsia="Arial" w:hAnsi="Arial"/>
                <w:sz w:val="14"/>
                <w:szCs w:val="14"/>
                <w:color w:val="auto"/>
              </w:rPr>
              <w:t>Inline XBRL Taxonomy Extension Presentation</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Linkbase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120" w:type="dxa"/>
            <w:vAlign w:val="bottom"/>
            <w:gridSpan w:val="26"/>
          </w:tcPr>
          <w:p>
            <w:pPr>
              <w:spacing w:after="0" w:line="149" w:lineRule="exact"/>
              <w:rPr>
                <w:sz w:val="20"/>
                <w:szCs w:val="20"/>
                <w:color w:val="auto"/>
              </w:rPr>
            </w:pPr>
            <w:r>
              <w:rPr>
                <w:rFonts w:ascii="Arial" w:cs="Arial" w:eastAsia="Arial" w:hAnsi="Arial"/>
                <w:sz w:val="14"/>
                <w:szCs w:val="14"/>
                <w:color w:val="auto"/>
              </w:rPr>
              <w:t>The cover page from the Company's Quarterly</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3120" w:type="dxa"/>
            <w:vAlign w:val="bottom"/>
            <w:gridSpan w:val="26"/>
          </w:tcPr>
          <w:p>
            <w:pPr>
              <w:spacing w:after="0" w:line="145" w:lineRule="exact"/>
              <w:rPr>
                <w:sz w:val="20"/>
                <w:szCs w:val="20"/>
                <w:color w:val="auto"/>
              </w:rPr>
            </w:pPr>
            <w:r>
              <w:rPr>
                <w:rFonts w:ascii="Arial" w:cs="Arial" w:eastAsia="Arial" w:hAnsi="Arial"/>
                <w:sz w:val="14"/>
                <w:szCs w:val="14"/>
                <w:color w:val="auto"/>
              </w:rPr>
              <w:t>Report on Form 10-Q for the quarter ended June</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0" w:type="dxa"/>
            <w:vAlign w:val="bottom"/>
            <w:vMerge w:val="continue"/>
          </w:tcPr>
          <w:p>
            <w:pPr>
              <w:spacing w:after="0"/>
              <w:rPr>
                <w:sz w:val="16"/>
                <w:szCs w:val="16"/>
                <w:color w:val="auto"/>
              </w:rPr>
            </w:pPr>
          </w:p>
        </w:tc>
        <w:tc>
          <w:tcPr>
            <w:tcW w:w="3120" w:type="dxa"/>
            <w:vAlign w:val="bottom"/>
            <w:gridSpan w:val="26"/>
          </w:tcPr>
          <w:p>
            <w:pPr>
              <w:spacing w:after="0"/>
              <w:rPr>
                <w:sz w:val="20"/>
                <w:szCs w:val="20"/>
                <w:color w:val="auto"/>
              </w:rPr>
            </w:pPr>
            <w:r>
              <w:rPr>
                <w:rFonts w:ascii="Arial" w:cs="Arial" w:eastAsia="Arial" w:hAnsi="Arial"/>
                <w:sz w:val="14"/>
                <w:szCs w:val="14"/>
                <w:color w:val="auto"/>
              </w:rPr>
              <w:t>30, 2022, has been formatted in Inline XBRL.</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72" w:lineRule="exact"/>
        <w:rPr>
          <w:sz w:val="20"/>
          <w:szCs w:val="20"/>
          <w:color w:val="auto"/>
        </w:rPr>
      </w:pPr>
    </w:p>
    <w:p>
      <w:pPr>
        <w:sectPr>
          <w:pgSz w:w="11900" w:h="16838" w:orient="portrait"/>
          <w:cols w:equalWidth="0" w:num="2">
            <w:col w:w="8223" w:space="720"/>
            <w:col w:w="1220"/>
          </w:cols>
          <w:pgMar w:left="1057" w:top="1133" w:right="679" w:bottom="1440" w:gutter="0" w:footer="0" w:header="0"/>
          <w:type w:val="continuous"/>
        </w:sectPr>
      </w:pPr>
    </w:p>
    <w:p>
      <w:pPr>
        <w:spacing w:after="0" w:line="117" w:lineRule="exact"/>
        <w:rPr>
          <w:sz w:val="20"/>
          <w:szCs w:val="20"/>
          <w:color w:val="auto"/>
        </w:rPr>
      </w:pPr>
    </w:p>
    <w:p>
      <w:pPr>
        <w:ind w:left="643" w:hanging="643"/>
        <w:spacing w:after="0" w:line="287" w:lineRule="auto"/>
        <w:tabs>
          <w:tab w:leader="none" w:pos="315"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91"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1133" w:right="679" w:bottom="1440" w:gutter="0" w:footer="0" w:header="0"/>
          <w:type w:val="continuous"/>
        </w:sectPr>
      </w:pPr>
    </w:p>
    <w:bookmarkStart w:id="42" w:name="page43"/>
    <w:bookmarkEnd w:id="4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8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5"/>
        </w:trPr>
        <w:tc>
          <w:tcPr>
            <w:tcW w:w="3840" w:type="dxa"/>
            <w:vAlign w:val="bottom"/>
          </w:tcPr>
          <w:p>
            <w:pPr>
              <w:spacing w:after="0"/>
              <w:rPr>
                <w:sz w:val="20"/>
                <w:szCs w:val="20"/>
                <w:color w:val="auto"/>
              </w:rPr>
            </w:pPr>
            <w:r>
              <w:rPr>
                <w:rFonts w:ascii="Arial" w:cs="Arial" w:eastAsia="Arial" w:hAnsi="Arial"/>
                <w:sz w:val="18"/>
                <w:szCs w:val="18"/>
                <w:color w:val="auto"/>
              </w:rPr>
              <w:t>Date: August 4, 2022</w:t>
            </w:r>
          </w:p>
        </w:tc>
        <w:tc>
          <w:tcPr>
            <w:tcW w:w="2760" w:type="dxa"/>
            <w:vAlign w:val="bottom"/>
          </w:tcPr>
          <w:p>
            <w:pPr>
              <w:ind w:left="2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Fortunato Ron Rocca</w:t>
            </w:r>
          </w:p>
        </w:tc>
      </w:tr>
      <w:tr>
        <w:trPr>
          <w:trHeight w:val="218"/>
        </w:trPr>
        <w:tc>
          <w:tcPr>
            <w:tcW w:w="3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Fortunato Ron Rocca</w:t>
            </w:r>
          </w:p>
        </w:tc>
      </w:tr>
      <w:tr>
        <w:trPr>
          <w:trHeight w:val="230"/>
        </w:trPr>
        <w:tc>
          <w:tcPr>
            <w:tcW w:w="38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38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3840" w:type="dxa"/>
            <w:vAlign w:val="bottom"/>
          </w:tcPr>
          <w:p>
            <w:pPr>
              <w:spacing w:after="0"/>
              <w:rPr>
                <w:sz w:val="20"/>
                <w:szCs w:val="20"/>
                <w:color w:val="auto"/>
              </w:rPr>
            </w:pPr>
            <w:r>
              <w:rPr>
                <w:rFonts w:ascii="Arial" w:cs="Arial" w:eastAsia="Arial" w:hAnsi="Arial"/>
                <w:sz w:val="18"/>
                <w:szCs w:val="18"/>
                <w:color w:val="auto"/>
              </w:rPr>
              <w:t>Date: August 4, 2022</w:t>
            </w:r>
          </w:p>
        </w:tc>
        <w:tc>
          <w:tcPr>
            <w:tcW w:w="2760" w:type="dxa"/>
            <w:vAlign w:val="bottom"/>
          </w:tcPr>
          <w:p>
            <w:pPr>
              <w:ind w:left="214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18"/>
        </w:trPr>
        <w:tc>
          <w:tcPr>
            <w:tcW w:w="3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229"/>
        </w:trPr>
        <w:tc>
          <w:tcPr>
            <w:tcW w:w="38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38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1133" w:right="4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Fortunato Ron Rocca, certify that:</w:t>
      </w:r>
    </w:p>
    <w:p>
      <w:pPr>
        <w:spacing w:after="0" w:line="306"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sz w:val="20"/>
          <w:szCs w:val="20"/>
          <w:color w:val="auto"/>
        </w:rPr>
      </w:pPr>
    </w:p>
    <w:p>
      <w:pPr>
        <w:ind w:right="260" w:firstLine="332"/>
        <w:spacing w:after="0" w:line="362" w:lineRule="auto"/>
        <w:tabs>
          <w:tab w:leader="none" w:pos="7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44" w:name="page45"/>
    <w:bookmarkEnd w:id="44"/>
    <w:p>
      <w:pPr>
        <w:ind w:left="-20" w:firstLine="332"/>
        <w:spacing w:after="0" w:line="396" w:lineRule="auto"/>
        <w:tabs>
          <w:tab w:leader="none" w:pos="7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August 4,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Fortunato Ron Rocca</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Fortunato Ron Rocca</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093" w:right="4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sz w:val="20"/>
          <w:szCs w:val="20"/>
          <w:color w:val="auto"/>
        </w:rPr>
      </w:pPr>
    </w:p>
    <w:p>
      <w:pPr>
        <w:ind w:right="260" w:firstLine="332"/>
        <w:spacing w:after="0" w:line="362" w:lineRule="auto"/>
        <w:tabs>
          <w:tab w:leader="none" w:pos="7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46" w:name="page47"/>
    <w:bookmarkEnd w:id="46"/>
    <w:p>
      <w:pPr>
        <w:ind w:left="-20" w:firstLine="332"/>
        <w:spacing w:after="0" w:line="396" w:lineRule="auto"/>
        <w:tabs>
          <w:tab w:leader="none" w:pos="7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August 4,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093" w:right="4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100" w:hanging="4"/>
        <w:spacing w:after="0" w:line="362" w:lineRule="auto"/>
        <w:tabs>
          <w:tab w:leader="none" w:pos="11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2022 (the "Report") fully complies with the requirements of Section 13(a) or 15(d), as applicable, of the Securities Exchange Act of 1934, as amended; and</w:t>
      </w:r>
    </w:p>
    <w:p>
      <w:pPr>
        <w:spacing w:after="0" w:line="129"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2022</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Fortunato Ron Rocca</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right="20"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660" w:right="100" w:hanging="4"/>
        <w:spacing w:after="0" w:line="370" w:lineRule="auto"/>
        <w:tabs>
          <w:tab w:leader="none" w:pos="11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2022 (the "Report") fully complies with the requirements of Section 13(a) or 15(d), as applicable, of the Securities Exchange Act of 1934, as amended; and</w:t>
      </w:r>
    </w:p>
    <w:p>
      <w:pPr>
        <w:spacing w:after="0" w:line="109"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2022</w:t>
      </w:r>
    </w:p>
    <w:p>
      <w:pPr>
        <w:sectPr>
          <w:pgSz w:w="11900" w:h="16838" w:orient="portrait"/>
          <w:cols w:equalWidth="0" w:num="1">
            <w:col w:w="11240"/>
          </w:cols>
          <w:pgMar w:left="320" w:top="958" w:right="339" w:bottom="1440" w:gutter="0" w:footer="0" w:header="0"/>
        </w:sectPr>
      </w:pPr>
    </w:p>
    <w:bookmarkStart w:id="48" w:name="page49"/>
    <w:bookmarkEnd w:id="48"/>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18" w:lineRule="exact"/>
        <w:rPr>
          <w:sz w:val="20"/>
          <w:szCs w:val="20"/>
          <w:color w:val="auto"/>
        </w:rPr>
      </w:pPr>
    </w:p>
    <w:p>
      <w:pPr>
        <w:ind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Roman"/>
      <w:start w:val="2"/>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lvl w:ilvl="1">
      <w:lvlJc w:val="left"/>
      <w:lvlText w:val="(%2)"/>
      <w:numFmt w:val="lowerLetter"/>
      <w:start w:val="1"/>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52" Type="http://schemas.openxmlformats.org/officeDocument/2006/relationships/hyperlink" Target="http://www.sec.gov/Archives/edgar/data/1274737/000119312519252366/d769261dex31.htm" TargetMode="External"/><Relationship Id="rId53" Type="http://schemas.openxmlformats.org/officeDocument/2006/relationships/hyperlink" Target="http://www.sec.gov/Archives/edgar/data/1274737/000127473721000017/ex31-amendedandrestatedbyl.htm" TargetMode="External"/><Relationship Id="rId54" Type="http://schemas.openxmlformats.org/officeDocument/2006/relationships/hyperlink" Target="http://www.sec.gov/Archives/edgar/data/1274737/000119312519240403/d692844dex41.htm" TargetMode="External"/><Relationship Id="rId55" Type="http://schemas.openxmlformats.org/officeDocument/2006/relationships/hyperlink" Target="http://www.sec.gov/Archives/edgar/data/1274737/000119312519228011/d692844dex42.htm" TargetMode="External"/><Relationship Id="rId56" Type="http://schemas.openxmlformats.org/officeDocument/2006/relationships/hyperlink" Target="http://www.sec.gov/Archives/edgar/data/1274737/000119312519228011/d692844dex43.htm" TargetMode="External"/><Relationship Id="rId57" Type="http://schemas.openxmlformats.org/officeDocument/2006/relationships/hyperlink" Target="http://www.sec.gov/Archives/edgar/data/1274737/000119312519228011/d692844dex44.htm" TargetMode="External"/><Relationship Id="rId58" Type="http://schemas.openxmlformats.org/officeDocument/2006/relationships/hyperlink" Target="http://www.sec.gov/Archives/edgar/data/1274737/000119312519228011/d692844dex48.htm" TargetMode="External"/><Relationship Id="rId59" Type="http://schemas.openxmlformats.org/officeDocument/2006/relationships/hyperlink" Target="http://www.sec.gov/Archives/edgar/data/1274737/000127473721000094/ex45-formofprexfundedwar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2022-08-04T17:01:16Z</dcterms:created>
  <dcterms:modified xsi:type="dcterms:W3CDTF">2022-08-04T17:01:16Z</dcterms:modified>
</cp:coreProperties>
</file>