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ind w:right="20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43"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80" w:type="dxa"/>
            <w:vAlign w:val="bottom"/>
            <w:gridSpan w:val="3"/>
          </w:tcPr>
          <w:p>
            <w:pPr>
              <w:jc w:val="center"/>
              <w:ind w:right="3068"/>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r>
      <w:tr>
        <w:trPr>
          <w:trHeight w:val="689"/>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80" w:type="dxa"/>
            <w:vAlign w:val="bottom"/>
            <w:gridSpan w:val="3"/>
          </w:tcPr>
          <w:p>
            <w:pPr>
              <w:jc w:val="center"/>
              <w:ind w:right="3048"/>
              <w:spacing w:after="0"/>
              <w:rPr>
                <w:sz w:val="20"/>
                <w:szCs w:val="20"/>
                <w:color w:val="auto"/>
              </w:rPr>
            </w:pPr>
            <w:r>
              <w:rPr>
                <w:rFonts w:ascii="Arial" w:cs="Arial" w:eastAsia="Arial" w:hAnsi="Arial"/>
                <w:sz w:val="40"/>
                <w:szCs w:val="40"/>
                <w:b w:val="1"/>
                <w:bCs w:val="1"/>
                <w:color w:val="auto"/>
                <w:w w:val="99"/>
              </w:rPr>
              <w:t>EXAGEN INC.</w:t>
            </w:r>
          </w:p>
        </w:tc>
      </w:tr>
      <w:tr>
        <w:trPr>
          <w:trHeight w:val="190"/>
        </w:trPr>
        <w:tc>
          <w:tcPr>
            <w:tcW w:w="3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500" w:type="dxa"/>
            <w:vAlign w:val="bottom"/>
            <w:gridSpan w:val="5"/>
          </w:tcPr>
          <w:p>
            <w:pPr>
              <w:jc w:val="center"/>
              <w:ind w:right="2728"/>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201"/>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Pr>
          <w:p>
            <w:pPr>
              <w:jc w:val="right"/>
              <w:ind w:right="868"/>
              <w:spacing w:after="0"/>
              <w:rPr>
                <w:sz w:val="20"/>
                <w:szCs w:val="20"/>
                <w:color w:val="auto"/>
              </w:rPr>
            </w:pPr>
            <w:r>
              <w:rPr>
                <w:rFonts w:ascii="Arial" w:cs="Arial" w:eastAsia="Arial" w:hAnsi="Arial"/>
                <w:sz w:val="14"/>
                <w:szCs w:val="14"/>
                <w:b w:val="1"/>
                <w:bCs w:val="1"/>
                <w:color w:val="auto"/>
              </w:rPr>
              <w:t>20-0434866</w:t>
            </w:r>
          </w:p>
        </w:tc>
      </w:tr>
      <w:tr>
        <w:trPr>
          <w:trHeight w:val="148"/>
        </w:trPr>
        <w:tc>
          <w:tcPr>
            <w:tcW w:w="4100" w:type="dxa"/>
            <w:vAlign w:val="bottom"/>
            <w:gridSpan w:val="4"/>
          </w:tcPr>
          <w:p>
            <w:pPr>
              <w:jc w:val="center"/>
              <w:ind w:left="1168"/>
              <w:spacing w:after="0" w:line="148" w:lineRule="exact"/>
              <w:rPr>
                <w:sz w:val="20"/>
                <w:szCs w:val="20"/>
                <w:color w:val="auto"/>
              </w:rPr>
            </w:pPr>
            <w:r>
              <w:rPr>
                <w:rFonts w:ascii="Arial" w:cs="Arial" w:eastAsia="Arial" w:hAnsi="Arial"/>
                <w:sz w:val="14"/>
                <w:szCs w:val="14"/>
                <w:b w:val="1"/>
                <w:bCs w:val="1"/>
                <w:color w:val="auto"/>
              </w:rPr>
              <w:t>(State or other jurisdiction of</w:t>
            </w: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jc w:val="center"/>
              <w:ind w:left="1108"/>
              <w:spacing w:after="0" w:line="148" w:lineRule="exact"/>
              <w:rPr>
                <w:sz w:val="20"/>
                <w:szCs w:val="20"/>
                <w:color w:val="auto"/>
              </w:rPr>
            </w:pPr>
            <w:r>
              <w:rPr>
                <w:rFonts w:ascii="Arial" w:cs="Arial" w:eastAsia="Arial" w:hAnsi="Arial"/>
                <w:sz w:val="14"/>
                <w:szCs w:val="14"/>
                <w:b w:val="1"/>
                <w:bCs w:val="1"/>
                <w:color w:val="auto"/>
              </w:rPr>
              <w:t>(I.R.S. Employer</w:t>
            </w:r>
          </w:p>
        </w:tc>
      </w:tr>
      <w:tr>
        <w:trPr>
          <w:trHeight w:val="190"/>
        </w:trPr>
        <w:tc>
          <w:tcPr>
            <w:tcW w:w="4100" w:type="dxa"/>
            <w:vAlign w:val="bottom"/>
            <w:gridSpan w:val="4"/>
          </w:tcPr>
          <w:p>
            <w:pPr>
              <w:jc w:val="center"/>
              <w:ind w:left="1168"/>
              <w:spacing w:after="0"/>
              <w:rPr>
                <w:sz w:val="20"/>
                <w:szCs w:val="20"/>
                <w:color w:val="auto"/>
              </w:rPr>
            </w:pPr>
            <w:r>
              <w:rPr>
                <w:rFonts w:ascii="Arial" w:cs="Arial" w:eastAsia="Arial" w:hAnsi="Arial"/>
                <w:sz w:val="14"/>
                <w:szCs w:val="14"/>
                <w:b w:val="1"/>
                <w:bCs w:val="1"/>
                <w:color w:val="auto"/>
              </w:rPr>
              <w:t>incorporation or organization)</w:t>
            </w: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jc w:val="center"/>
              <w:ind w:left="1108"/>
              <w:spacing w:after="0"/>
              <w:rPr>
                <w:sz w:val="20"/>
                <w:szCs w:val="20"/>
                <w:color w:val="auto"/>
              </w:rPr>
            </w:pPr>
            <w:r>
              <w:rPr>
                <w:rFonts w:ascii="Arial" w:cs="Arial" w:eastAsia="Arial" w:hAnsi="Arial"/>
                <w:sz w:val="14"/>
                <w:szCs w:val="14"/>
                <w:b w:val="1"/>
                <w:bCs w:val="1"/>
                <w:color w:val="auto"/>
              </w:rPr>
              <w:t>Identification No.)</w:t>
            </w:r>
          </w:p>
        </w:tc>
      </w:tr>
      <w:tr>
        <w:trPr>
          <w:trHeight w:val="283"/>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89"/>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California</w:t>
            </w: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jc w:val="right"/>
              <w:ind w:right="1048"/>
              <w:spacing w:after="0"/>
              <w:rPr>
                <w:sz w:val="20"/>
                <w:szCs w:val="20"/>
                <w:color w:val="auto"/>
              </w:rPr>
            </w:pPr>
            <w:r>
              <w:rPr>
                <w:rFonts w:ascii="Arial" w:cs="Arial" w:eastAsia="Arial" w:hAnsi="Arial"/>
                <w:sz w:val="14"/>
                <w:szCs w:val="14"/>
                <w:b w:val="1"/>
                <w:bCs w:val="1"/>
                <w:color w:val="auto"/>
              </w:rPr>
              <w:t>92081</w:t>
            </w:r>
          </w:p>
        </w:tc>
      </w:tr>
      <w:tr>
        <w:trPr>
          <w:trHeight w:val="190"/>
        </w:trPr>
        <w:tc>
          <w:tcPr>
            <w:tcW w:w="4100" w:type="dxa"/>
            <w:vAlign w:val="bottom"/>
            <w:gridSpan w:val="4"/>
          </w:tcPr>
          <w:p>
            <w:pPr>
              <w:jc w:val="center"/>
              <w:ind w:left="1168"/>
              <w:spacing w:after="0"/>
              <w:rPr>
                <w:sz w:val="20"/>
                <w:szCs w:val="20"/>
                <w:color w:val="auto"/>
              </w:rPr>
            </w:pPr>
            <w:r>
              <w:rPr>
                <w:rFonts w:ascii="Arial" w:cs="Arial" w:eastAsia="Arial" w:hAnsi="Arial"/>
                <w:sz w:val="14"/>
                <w:szCs w:val="14"/>
                <w:b w:val="1"/>
                <w:bCs w:val="1"/>
                <w:color w:val="auto"/>
              </w:rPr>
              <w:t>(Address of Principal Executive Offices)</w:t>
            </w: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tcPr>
          <w:p>
            <w:pPr>
              <w:jc w:val="center"/>
              <w:ind w:left="1088"/>
              <w:spacing w:after="0"/>
              <w:rPr>
                <w:sz w:val="20"/>
                <w:szCs w:val="20"/>
                <w:color w:val="auto"/>
              </w:rPr>
            </w:pPr>
            <w:r>
              <w:rPr>
                <w:rFonts w:ascii="Arial" w:cs="Arial" w:eastAsia="Arial" w:hAnsi="Arial"/>
                <w:sz w:val="14"/>
                <w:szCs w:val="14"/>
                <w:b w:val="1"/>
                <w:bCs w:val="1"/>
                <w:color w:val="auto"/>
              </w:rPr>
              <w:t>(Zip Code)</w:t>
            </w:r>
          </w:p>
        </w:tc>
      </w:tr>
      <w:tr>
        <w:trPr>
          <w:trHeight w:val="296"/>
        </w:trPr>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jc w:val="right"/>
              <w:ind w:right="21"/>
              <w:spacing w:after="0"/>
              <w:rPr>
                <w:sz w:val="20"/>
                <w:szCs w:val="20"/>
                <w:color w:val="auto"/>
              </w:rPr>
            </w:pPr>
            <w:r>
              <w:rPr>
                <w:rFonts w:ascii="Arial" w:cs="Arial" w:eastAsia="Arial" w:hAnsi="Arial"/>
                <w:sz w:val="14"/>
                <w:szCs w:val="14"/>
                <w:b w:val="1"/>
                <w:bCs w:val="1"/>
                <w:color w:val="auto"/>
              </w:rPr>
              <w:t>(760) 560-1501</w:t>
            </w: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0"/>
        </w:trPr>
        <w:tc>
          <w:tcPr>
            <w:tcW w:w="3020" w:type="dxa"/>
            <w:vAlign w:val="bottom"/>
          </w:tcPr>
          <w:p>
            <w:pPr>
              <w:spacing w:after="0"/>
              <w:rPr>
                <w:sz w:val="16"/>
                <w:szCs w:val="16"/>
                <w:color w:val="auto"/>
              </w:rPr>
            </w:pPr>
          </w:p>
        </w:tc>
        <w:tc>
          <w:tcPr>
            <w:tcW w:w="7260" w:type="dxa"/>
            <w:vAlign w:val="bottom"/>
            <w:gridSpan w:val="6"/>
          </w:tcPr>
          <w:p>
            <w:pPr>
              <w:jc w:val="center"/>
              <w:ind w:right="1988"/>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297"/>
        </w:trPr>
        <w:tc>
          <w:tcPr>
            <w:tcW w:w="4100" w:type="dxa"/>
            <w:vAlign w:val="bottom"/>
            <w:gridSpan w:val="4"/>
          </w:tcPr>
          <w:p>
            <w:pPr>
              <w:jc w:val="center"/>
              <w:ind w:right="340"/>
              <w:spacing w:after="0"/>
              <w:rPr>
                <w:sz w:val="20"/>
                <w:szCs w:val="20"/>
                <w:color w:val="auto"/>
              </w:rPr>
            </w:pPr>
            <w:r>
              <w:rPr>
                <w:rFonts w:ascii="Arial" w:cs="Arial" w:eastAsia="Arial" w:hAnsi="Arial"/>
                <w:sz w:val="14"/>
                <w:szCs w:val="14"/>
                <w:color w:val="auto"/>
              </w:rPr>
              <w:t>Securities registered pursuant to Section 12(b) of the Act:</w:t>
            </w: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8"/>
        </w:trPr>
        <w:tc>
          <w:tcPr>
            <w:tcW w:w="3020" w:type="dxa"/>
            <w:vAlign w:val="bottom"/>
            <w:tcBorders>
              <w:bottom w:val="single" w:sz="8" w:color="auto"/>
            </w:tcBorders>
          </w:tcPr>
          <w:p>
            <w:pPr>
              <w:jc w:val="center"/>
              <w:ind w:left="708"/>
              <w:spacing w:after="0"/>
              <w:rPr>
                <w:sz w:val="20"/>
                <w:szCs w:val="20"/>
                <w:color w:val="auto"/>
              </w:rPr>
            </w:pPr>
            <w:r>
              <w:rPr>
                <w:rFonts w:ascii="Arial" w:cs="Arial" w:eastAsia="Arial" w:hAnsi="Arial"/>
                <w:sz w:val="14"/>
                <w:szCs w:val="14"/>
                <w:b w:val="1"/>
                <w:bCs w:val="1"/>
                <w:color w:val="auto"/>
              </w:rPr>
              <w:t>Title of each class</w:t>
            </w: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19"/>
                <w:szCs w:val="19"/>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Common Stock, par value $0.001 per share</w:t>
            </w:r>
          </w:p>
        </w:tc>
        <w:tc>
          <w:tcPr>
            <w:tcW w:w="2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XGN</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60" w:lineRule="exact"/>
        <w:rPr>
          <w:sz w:val="24"/>
          <w:szCs w:val="24"/>
          <w:color w:val="auto"/>
        </w:rPr>
      </w:pPr>
    </w:p>
    <w:p>
      <w:pPr>
        <w:ind w:right="6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48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0"/>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2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73" w:lineRule="exact"/>
        <w:rPr>
          <w:sz w:val="24"/>
          <w:szCs w:val="24"/>
          <w:color w:val="auto"/>
        </w:rPr>
      </w:pPr>
    </w:p>
    <w:p>
      <w:pPr>
        <w:ind w:right="3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58" w:lineRule="exact"/>
        <w:rPr>
          <w:sz w:val="24"/>
          <w:szCs w:val="24"/>
          <w:color w:val="auto"/>
        </w:rPr>
      </w:pPr>
    </w:p>
    <w:p>
      <w:pPr>
        <w:ind w:right="3200"/>
        <w:spacing w:after="0" w:line="24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May 7, 2021 was 16,928,278.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60" w:type="dxa"/>
            <w:vAlign w:val="bottom"/>
            <w:gridSpan w:val="9"/>
          </w:tcPr>
          <w:p>
            <w:pPr>
              <w:ind w:left="8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40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300" w:type="dxa"/>
            <w:vAlign w:val="bottom"/>
            <w:vMerge w:val="continue"/>
          </w:tcPr>
          <w:p>
            <w:pPr>
              <w:spacing w:after="0"/>
              <w:rPr>
                <w:sz w:val="19"/>
                <w:szCs w:val="19"/>
                <w:color w:val="auto"/>
              </w:rPr>
            </w:pPr>
          </w:p>
        </w:tc>
        <w:tc>
          <w:tcPr>
            <w:tcW w:w="8400" w:type="dxa"/>
            <w:vAlign w:val="bottom"/>
            <w:gridSpan w:val="17"/>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400" w:type="dxa"/>
            <w:vAlign w:val="bottom"/>
            <w:gridSpan w:val="1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Financial Statements (unaudited)</w:t>
              </w:r>
            </w:hyperlink>
          </w:p>
        </w:tc>
        <w:tc>
          <w:tcPr>
            <w:tcW w:w="380" w:type="dxa"/>
            <w:vAlign w:val="bottom"/>
            <w:gridSpan w:val="2"/>
          </w:tcPr>
          <w:p>
            <w:pPr>
              <w:ind w:left="280"/>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Balance Sheets as of March 31, 2021 and December 31, 2020</w:t>
              </w:r>
            </w:hyperlink>
          </w:p>
        </w:tc>
        <w:tc>
          <w:tcPr>
            <w:tcW w:w="380" w:type="dxa"/>
            <w:vAlign w:val="bottom"/>
            <w:gridSpan w:val="2"/>
          </w:tcPr>
          <w:p>
            <w:pPr>
              <w:ind w:left="28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380" w:type="dxa"/>
            <w:vAlign w:val="bottom"/>
            <w:gridSpan w:val="15"/>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Statements of Operations for the Three Months ended March 31, 2021 and 2020</w:t>
              </w:r>
            </w:hyperlink>
          </w:p>
        </w:tc>
        <w:tc>
          <w:tcPr>
            <w:tcW w:w="1020" w:type="dxa"/>
            <w:vAlign w:val="bottom"/>
            <w:gridSpan w:val="2"/>
          </w:tcPr>
          <w:p>
            <w:pPr>
              <w:spacing w:after="0"/>
              <w:rPr>
                <w:sz w:val="18"/>
                <w:szCs w:val="18"/>
                <w:color w:val="auto"/>
              </w:rPr>
            </w:pPr>
          </w:p>
        </w:tc>
        <w:tc>
          <w:tcPr>
            <w:tcW w:w="380" w:type="dxa"/>
            <w:vAlign w:val="bottom"/>
            <w:gridSpan w:val="2"/>
          </w:tcPr>
          <w:p>
            <w:pPr>
              <w:ind w:left="28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Statements of Stockholders' Equity for the Three Months ended March 31, 2021 and 2020</w:t>
              </w:r>
            </w:hyperlink>
          </w:p>
        </w:tc>
        <w:tc>
          <w:tcPr>
            <w:tcW w:w="380" w:type="dxa"/>
            <w:vAlign w:val="bottom"/>
            <w:gridSpan w:val="2"/>
          </w:tcPr>
          <w:p>
            <w:pPr>
              <w:ind w:left="28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7380" w:type="dxa"/>
            <w:vAlign w:val="bottom"/>
            <w:gridSpan w:val="15"/>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Condensed Statements of Cash Flows for the Three Months ended March 31, 2021 and 2020</w:t>
              </w:r>
            </w:hyperlink>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gridSpan w:val="2"/>
          </w:tcPr>
          <w:p>
            <w:pPr>
              <w:ind w:left="28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4240" w:type="dxa"/>
            <w:vAlign w:val="bottom"/>
            <w:gridSpan w:val="1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Notes to Unaudited Condensed Financial Statements</w:t>
              </w:r>
            </w:hyperlink>
          </w:p>
        </w:tc>
        <w:tc>
          <w:tcPr>
            <w:tcW w:w="3140" w:type="dxa"/>
            <w:vAlign w:val="bottom"/>
            <w:gridSpan w:val="5"/>
          </w:tcPr>
          <w:p>
            <w:pPr>
              <w:spacing w:after="0"/>
              <w:rPr>
                <w:sz w:val="18"/>
                <w:szCs w:val="18"/>
                <w:color w:val="auto"/>
              </w:rPr>
            </w:pPr>
          </w:p>
        </w:tc>
        <w:tc>
          <w:tcPr>
            <w:tcW w:w="1020" w:type="dxa"/>
            <w:vAlign w:val="bottom"/>
            <w:gridSpan w:val="2"/>
          </w:tcPr>
          <w:p>
            <w:pPr>
              <w:spacing w:after="0"/>
              <w:rPr>
                <w:sz w:val="18"/>
                <w:szCs w:val="18"/>
                <w:color w:val="auto"/>
              </w:rPr>
            </w:pPr>
          </w:p>
        </w:tc>
        <w:tc>
          <w:tcPr>
            <w:tcW w:w="380" w:type="dxa"/>
            <w:vAlign w:val="bottom"/>
            <w:gridSpan w:val="2"/>
          </w:tcPr>
          <w:p>
            <w:pPr>
              <w:ind w:left="28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4"/>
          </w:tcPr>
          <w:p>
            <w:pPr>
              <w:spacing w:after="0"/>
              <w:rPr>
                <w:rFonts w:ascii="Arial" w:cs="Arial" w:eastAsia="Arial" w:hAnsi="Arial"/>
                <w:sz w:val="18"/>
                <w:szCs w:val="18"/>
                <w:color w:val="0000FF"/>
                <w:w w:val="99"/>
              </w:rPr>
            </w:pPr>
            <w:hyperlink w:anchor="page20">
              <w:r>
                <w:rPr>
                  <w:rFonts w:ascii="Arial" w:cs="Arial" w:eastAsia="Arial" w:hAnsi="Arial"/>
                  <w:sz w:val="18"/>
                  <w:szCs w:val="18"/>
                  <w:color w:val="0000FF"/>
                  <w:w w:val="99"/>
                </w:rPr>
                <w:t>Management's Discussion and Analysis of Financial Condition and Results of Operations</w:t>
              </w:r>
            </w:hyperlink>
          </w:p>
        </w:tc>
        <w:tc>
          <w:tcPr>
            <w:tcW w:w="1320" w:type="dxa"/>
            <w:vAlign w:val="bottom"/>
            <w:gridSpan w:val="3"/>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20">
              <w:r>
                <w:rPr>
                  <w:rFonts w:ascii="Arial" w:cs="Arial" w:eastAsia="Arial" w:hAnsi="Arial"/>
                  <w:sz w:val="18"/>
                  <w:szCs w:val="18"/>
                  <w:color w:val="0000FF"/>
                </w:rPr>
                <w:t>19</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320" w:type="dxa"/>
            <w:vAlign w:val="bottom"/>
            <w:gridSpan w:val="3"/>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3700" w:type="dxa"/>
            <w:vAlign w:val="bottom"/>
            <w:gridSpan w:val="6"/>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507"/>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64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8400" w:type="dxa"/>
            <w:vAlign w:val="bottom"/>
            <w:gridSpan w:val="17"/>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Legal Proceedings</w:t>
              </w:r>
            </w:hyperlink>
          </w:p>
        </w:tc>
        <w:tc>
          <w:tcPr>
            <w:tcW w:w="1540" w:type="dxa"/>
            <w:vAlign w:val="bottom"/>
            <w:gridSpan w:val="4"/>
          </w:tcPr>
          <w:p>
            <w:pPr>
              <w:ind w:left="280"/>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rFonts w:ascii="Arial" w:cs="Arial" w:eastAsia="Arial" w:hAnsi="Arial"/>
                <w:sz w:val="18"/>
                <w:szCs w:val="18"/>
                <w:color w:val="0000FF"/>
                <w:w w:val="97"/>
              </w:rPr>
            </w:pPr>
            <w:hyperlink w:anchor="page33">
              <w:r>
                <w:rPr>
                  <w:rFonts w:ascii="Arial" w:cs="Arial" w:eastAsia="Arial" w:hAnsi="Arial"/>
                  <w:sz w:val="18"/>
                  <w:szCs w:val="18"/>
                  <w:color w:val="0000FF"/>
                  <w:w w:val="97"/>
                </w:rPr>
                <w:t>Risk Factors</w:t>
              </w:r>
            </w:hyperlink>
          </w:p>
        </w:tc>
        <w:tc>
          <w:tcPr>
            <w:tcW w:w="480" w:type="dxa"/>
            <w:vAlign w:val="bottom"/>
            <w:gridSpan w:val="2"/>
          </w:tcPr>
          <w:p>
            <w:pPr>
              <w:spacing w:after="0"/>
              <w:rPr>
                <w:sz w:val="18"/>
                <w:szCs w:val="18"/>
                <w:color w:val="auto"/>
              </w:rPr>
            </w:pPr>
          </w:p>
        </w:tc>
        <w:tc>
          <w:tcPr>
            <w:tcW w:w="6920" w:type="dxa"/>
            <w:vAlign w:val="bottom"/>
            <w:gridSpan w:val="12"/>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40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Unregistered Sales of Equity Securities and Use of Proceeds</w:t>
              </w:r>
            </w:hyperlink>
          </w:p>
        </w:tc>
        <w:tc>
          <w:tcPr>
            <w:tcW w:w="1540" w:type="dxa"/>
            <w:vAlign w:val="bottom"/>
            <w:gridSpan w:val="4"/>
          </w:tcPr>
          <w:p>
            <w:pPr>
              <w:ind w:left="28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Defaults Upon Senior Securities</w:t>
              </w:r>
            </w:hyperlink>
          </w:p>
        </w:tc>
        <w:tc>
          <w:tcPr>
            <w:tcW w:w="3560" w:type="dxa"/>
            <w:vAlign w:val="bottom"/>
            <w:gridSpan w:val="5"/>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Mine Safety Disclosures</w:t>
              </w:r>
            </w:hyperlink>
          </w:p>
        </w:tc>
        <w:tc>
          <w:tcPr>
            <w:tcW w:w="5860" w:type="dxa"/>
            <w:vAlign w:val="bottom"/>
            <w:gridSpan w:val="9"/>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Other Information</w:t>
              </w:r>
            </w:hyperlink>
          </w:p>
        </w:tc>
        <w:tc>
          <w:tcPr>
            <w:tcW w:w="520" w:type="dxa"/>
            <w:vAlign w:val="bottom"/>
            <w:gridSpan w:val="2"/>
          </w:tcPr>
          <w:p>
            <w:pPr>
              <w:spacing w:after="0"/>
              <w:rPr>
                <w:sz w:val="18"/>
                <w:szCs w:val="18"/>
                <w:color w:val="auto"/>
              </w:rPr>
            </w:pPr>
          </w:p>
        </w:tc>
        <w:tc>
          <w:tcPr>
            <w:tcW w:w="6480" w:type="dxa"/>
            <w:vAlign w:val="bottom"/>
            <w:gridSpan w:val="11"/>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Exhibits</w:t>
              </w:r>
            </w:hyperlink>
          </w:p>
        </w:tc>
        <w:tc>
          <w:tcPr>
            <w:tcW w:w="7000" w:type="dxa"/>
            <w:vAlign w:val="bottom"/>
            <w:gridSpan w:val="13"/>
          </w:tcPr>
          <w:p>
            <w:pPr>
              <w:spacing w:after="0"/>
              <w:rPr>
                <w:sz w:val="18"/>
                <w:szCs w:val="18"/>
                <w:color w:val="auto"/>
              </w:rPr>
            </w:pPr>
          </w:p>
        </w:tc>
        <w:tc>
          <w:tcPr>
            <w:tcW w:w="1540" w:type="dxa"/>
            <w:vAlign w:val="bottom"/>
            <w:gridSpan w:val="4"/>
          </w:tcPr>
          <w:p>
            <w:pPr>
              <w:ind w:left="280"/>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40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1540" w:type="dxa"/>
            <w:vAlign w:val="bottom"/>
            <w:gridSpan w:val="4"/>
          </w:tcPr>
          <w:p>
            <w:pPr>
              <w:ind w:left="280"/>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57,448</w:t>
            </w:r>
          </w:p>
        </w:tc>
        <w:tc>
          <w:tcPr>
            <w:tcW w:w="0" w:type="dxa"/>
            <w:vAlign w:val="bottom"/>
          </w:tcPr>
          <w:p>
            <w:pPr>
              <w:spacing w:after="0"/>
              <w:rPr>
                <w:sz w:val="1"/>
                <w:szCs w:val="1"/>
                <w:color w:val="auto"/>
              </w:rPr>
            </w:pPr>
          </w:p>
        </w:tc>
      </w:tr>
      <w:tr>
        <w:trPr>
          <w:trHeight w:val="189"/>
        </w:trPr>
        <w:tc>
          <w:tcPr>
            <w:tcW w:w="85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8,910</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4,159</w:t>
            </w:r>
          </w:p>
        </w:tc>
        <w:tc>
          <w:tcPr>
            <w:tcW w:w="0" w:type="dxa"/>
            <w:vAlign w:val="bottom"/>
          </w:tcPr>
          <w:p>
            <w:pPr>
              <w:spacing w:after="0"/>
              <w:rPr>
                <w:sz w:val="1"/>
                <w:szCs w:val="1"/>
                <w:color w:val="auto"/>
              </w:rPr>
            </w:pPr>
          </w:p>
        </w:tc>
      </w:tr>
      <w:tr>
        <w:trPr>
          <w:trHeight w:val="183"/>
        </w:trPr>
        <w:tc>
          <w:tcPr>
            <w:tcW w:w="85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129,369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70,517</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3"/>
        </w:trPr>
        <w:tc>
          <w:tcPr>
            <w:tcW w:w="8580" w:type="dxa"/>
            <w:vAlign w:val="bottom"/>
          </w:tcPr>
          <w:p>
            <w:pPr>
              <w:ind w:left="68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137,522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26,659</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183"/>
        </w:trPr>
        <w:tc>
          <w:tcPr>
            <w:tcW w:w="85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36,536</w:t>
            </w:r>
          </w:p>
        </w:tc>
        <w:tc>
          <w:tcPr>
            <w:tcW w:w="0" w:type="dxa"/>
            <w:vAlign w:val="bottom"/>
          </w:tcPr>
          <w:p>
            <w:pPr>
              <w:spacing w:after="0"/>
              <w:rPr>
                <w:sz w:val="1"/>
                <w:szCs w:val="1"/>
                <w:color w:val="auto"/>
              </w:rPr>
            </w:pPr>
          </w:p>
        </w:tc>
      </w:tr>
      <w:tr>
        <w:trPr>
          <w:trHeight w:val="189"/>
        </w:trPr>
        <w:tc>
          <w:tcPr>
            <w:tcW w:w="8580" w:type="dxa"/>
            <w:vAlign w:val="bottom"/>
          </w:tcPr>
          <w:p>
            <w:pPr>
              <w:ind w:left="20"/>
              <w:spacing w:after="0"/>
              <w:rPr>
                <w:sz w:val="20"/>
                <w:szCs w:val="20"/>
                <w:color w:val="auto"/>
              </w:rPr>
            </w:pPr>
            <w:r>
              <w:rPr>
                <w:rFonts w:ascii="Arial" w:cs="Arial" w:eastAsia="Arial" w:hAnsi="Arial"/>
                <w:sz w:val="14"/>
                <w:szCs w:val="14"/>
                <w:color w:val="auto"/>
              </w:rPr>
              <w:t>Commitments and contingencies (Note 5)</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5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10,000,000 shares authorized, no shares issued or outstanding at March 31, 2021 and</w:t>
            </w:r>
          </w:p>
        </w:tc>
        <w:tc>
          <w:tcPr>
            <w:tcW w:w="16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580" w:type="dxa"/>
            <w:vAlign w:val="bottom"/>
          </w:tcPr>
          <w:p>
            <w:pPr>
              <w:ind w:left="360"/>
              <w:spacing w:after="0"/>
              <w:rPr>
                <w:sz w:val="20"/>
                <w:szCs w:val="20"/>
                <w:color w:val="auto"/>
              </w:rPr>
            </w:pPr>
            <w:r>
              <w:rPr>
                <w:rFonts w:ascii="Arial" w:cs="Arial" w:eastAsia="Arial" w:hAnsi="Arial"/>
                <w:sz w:val="14"/>
                <w:szCs w:val="14"/>
                <w:color w:val="auto"/>
              </w:rPr>
              <w:t>December 31, 2020</w:t>
            </w: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5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March 31, 2021 and December 31, 2020; 16,925,680 and</w:t>
            </w:r>
          </w:p>
        </w:tc>
        <w:tc>
          <w:tcPr>
            <w:tcW w:w="1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12,652,308 shares issued and outstanding at March 31, 2021 and December 31, 2020, respectively</w:t>
            </w:r>
          </w:p>
        </w:tc>
        <w:tc>
          <w:tcPr>
            <w:tcW w:w="16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288,951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223,115</w:t>
            </w:r>
          </w:p>
        </w:tc>
        <w:tc>
          <w:tcPr>
            <w:tcW w:w="0" w:type="dxa"/>
            <w:vAlign w:val="bottom"/>
          </w:tcPr>
          <w:p>
            <w:pPr>
              <w:spacing w:after="0"/>
              <w:rPr>
                <w:sz w:val="1"/>
                <w:szCs w:val="1"/>
                <w:color w:val="auto"/>
              </w:rPr>
            </w:pPr>
          </w:p>
        </w:tc>
      </w:tr>
      <w:tr>
        <w:trPr>
          <w:trHeight w:val="189"/>
        </w:trPr>
        <w:tc>
          <w:tcPr>
            <w:tcW w:w="8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101,470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78,375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9" w:right="4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9"/>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9,584</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w:t>
            </w:r>
          </w:p>
        </w:tc>
        <w:tc>
          <w:tcPr>
            <w:tcW w:w="0" w:type="dxa"/>
            <w:vAlign w:val="bottom"/>
          </w:tcPr>
          <w:p>
            <w:pPr>
              <w:spacing w:after="0"/>
              <w:rPr>
                <w:sz w:val="1"/>
                <w:szCs w:val="1"/>
                <w:color w:val="auto"/>
              </w:rPr>
            </w:pPr>
          </w:p>
        </w:tc>
      </w:tr>
      <w:tr>
        <w:trPr>
          <w:trHeight w:val="189"/>
        </w:trPr>
        <w:tc>
          <w:tcPr>
            <w:tcW w:w="83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9,626</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83"/>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14,805</w:t>
            </w: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w:t>
            </w:r>
          </w:p>
        </w:tc>
        <w:tc>
          <w:tcPr>
            <w:tcW w:w="0" w:type="dxa"/>
            <w:vAlign w:val="bottom"/>
          </w:tcPr>
          <w:p>
            <w:pPr>
              <w:spacing w:after="0"/>
              <w:rPr>
                <w:sz w:val="1"/>
                <w:szCs w:val="1"/>
                <w:color w:val="auto"/>
              </w:rPr>
            </w:pP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3"/>
        </w:trPr>
        <w:tc>
          <w:tcPr>
            <w:tcW w:w="836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(5,681)</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w:t>
            </w:r>
          </w:p>
        </w:tc>
        <w:tc>
          <w:tcPr>
            <w:tcW w:w="2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6"/>
        </w:trPr>
        <w:tc>
          <w:tcPr>
            <w:tcW w:w="836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(6,209)</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per share, basic and diluted (Note 2)</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 (Note 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12,943,237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12,595,715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Additional</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3"/>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restart"/>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Paid-In</w:t>
            </w:r>
          </w:p>
        </w:tc>
        <w:tc>
          <w:tcPr>
            <w:tcW w:w="320" w:type="dxa"/>
            <w:vAlign w:val="bottom"/>
          </w:tcPr>
          <w:p>
            <w:pPr>
              <w:spacing w:after="0"/>
              <w:rPr>
                <w:sz w:val="4"/>
                <w:szCs w:val="4"/>
                <w:color w:val="auto"/>
              </w:rPr>
            </w:pPr>
          </w:p>
        </w:tc>
        <w:tc>
          <w:tcPr>
            <w:tcW w:w="1500" w:type="dxa"/>
            <w:vAlign w:val="bottom"/>
            <w:gridSpan w:val="2"/>
            <w:vMerge w:val="restart"/>
          </w:tcPr>
          <w:p>
            <w:pPr>
              <w:ind w:left="200"/>
              <w:spacing w:after="0" w:line="108" w:lineRule="exact"/>
              <w:rPr>
                <w:sz w:val="20"/>
                <w:szCs w:val="20"/>
                <w:color w:val="auto"/>
              </w:rPr>
            </w:pPr>
            <w:r>
              <w:rPr>
                <w:rFonts w:ascii="Arial" w:cs="Arial" w:eastAsia="Arial" w:hAnsi="Arial"/>
                <w:sz w:val="11"/>
                <w:szCs w:val="11"/>
                <w:b w:val="1"/>
                <w:bCs w:val="1"/>
                <w:color w:val="auto"/>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3"/>
              <w:spacing w:after="0" w:line="108"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52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Capital</w:t>
            </w:r>
          </w:p>
        </w:tc>
        <w:tc>
          <w:tcPr>
            <w:tcW w:w="320" w:type="dxa"/>
            <w:vAlign w:val="bottom"/>
          </w:tcPr>
          <w:p>
            <w:pPr>
              <w:spacing w:after="0"/>
              <w:rPr>
                <w:sz w:val="12"/>
                <w:szCs w:val="12"/>
                <w:color w:val="auto"/>
              </w:rPr>
            </w:pPr>
          </w:p>
        </w:tc>
        <w:tc>
          <w:tcPr>
            <w:tcW w:w="1500" w:type="dxa"/>
            <w:vAlign w:val="bottom"/>
            <w:gridSpan w:val="2"/>
          </w:tcPr>
          <w:p>
            <w:pPr>
              <w:ind w:left="380"/>
              <w:spacing w:after="0"/>
              <w:rPr>
                <w:sz w:val="20"/>
                <w:szCs w:val="20"/>
                <w:color w:val="auto"/>
              </w:rPr>
            </w:pPr>
            <w:r>
              <w:rPr>
                <w:rFonts w:ascii="Arial" w:cs="Arial" w:eastAsia="Arial" w:hAnsi="Arial"/>
                <w:sz w:val="11"/>
                <w:szCs w:val="11"/>
                <w:b w:val="1"/>
                <w:bCs w:val="1"/>
                <w:color w:val="auto"/>
              </w:rPr>
              <w:t>Deficit</w:t>
            </w:r>
          </w:p>
        </w:tc>
        <w:tc>
          <w:tcPr>
            <w:tcW w:w="280" w:type="dxa"/>
            <w:vAlign w:val="bottom"/>
          </w:tcPr>
          <w:p>
            <w:pPr>
              <w:spacing w:after="0"/>
              <w:rPr>
                <w:sz w:val="12"/>
                <w:szCs w:val="12"/>
                <w:color w:val="auto"/>
              </w:rPr>
            </w:pPr>
          </w:p>
        </w:tc>
        <w:tc>
          <w:tcPr>
            <w:tcW w:w="1360" w:type="dxa"/>
            <w:vAlign w:val="bottom"/>
          </w:tcPr>
          <w:p>
            <w:pPr>
              <w:jc w:val="center"/>
              <w:ind w:right="213"/>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12,652,308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223,115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in public offering, net of issuance</w:t>
            </w:r>
          </w:p>
        </w:tc>
        <w:tc>
          <w:tcPr>
            <w:tcW w:w="1420" w:type="dxa"/>
            <w:vAlign w:val="bottom"/>
            <w:vMerge w:val="restart"/>
          </w:tcPr>
          <w:p>
            <w:pPr>
              <w:jc w:val="right"/>
              <w:ind w:right="12"/>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vMerge w:val="restart"/>
          </w:tcPr>
          <w:p>
            <w:pPr>
              <w:jc w:val="right"/>
              <w:ind w:right="13"/>
              <w:spacing w:after="0"/>
              <w:rPr>
                <w:sz w:val="20"/>
                <w:szCs w:val="20"/>
                <w:color w:val="auto"/>
              </w:rPr>
            </w:pPr>
            <w:r>
              <w:rPr>
                <w:rFonts w:ascii="Arial" w:cs="Arial" w:eastAsia="Arial" w:hAnsi="Arial"/>
                <w:sz w:val="14"/>
                <w:szCs w:val="14"/>
                <w:color w:val="auto"/>
              </w:rPr>
              <w:t>64,705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12"/>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140" w:type="dxa"/>
            <w:vAlign w:val="bottom"/>
            <w:vMerge w:val="restart"/>
          </w:tcPr>
          <w:p>
            <w:pPr>
              <w:jc w:val="right"/>
              <w:ind w:right="13"/>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71"/>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0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2021</w:t>
            </w:r>
          </w:p>
        </w:tc>
        <w:tc>
          <w:tcPr>
            <w:tcW w:w="14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16,925,680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288,951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101,470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1700" w:type="dxa"/>
            <w:vAlign w:val="bottom"/>
            <w:gridSpan w:val="3"/>
          </w:tcPr>
          <w:p>
            <w:pPr>
              <w:jc w:val="right"/>
              <w:ind w:right="8"/>
              <w:spacing w:after="0"/>
              <w:rPr>
                <w:sz w:val="20"/>
                <w:szCs w:val="20"/>
                <w:color w:val="auto"/>
              </w:rPr>
            </w:pPr>
            <w:r>
              <w:rPr>
                <w:rFonts w:ascii="Arial" w:cs="Arial" w:eastAsia="Arial" w:hAnsi="Arial"/>
                <w:sz w:val="11"/>
                <w:szCs w:val="11"/>
                <w:b w:val="1"/>
                <w:bCs w:val="1"/>
                <w:color w:val="auto"/>
              </w:rPr>
              <w:t>Common Stock</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Additional</w:t>
            </w: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ind w:right="214"/>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2"/>
            <w:vMerge w:val="restart"/>
          </w:tcPr>
          <w:p>
            <w:pPr>
              <w:jc w:val="center"/>
              <w:ind w:right="360"/>
              <w:spacing w:after="0" w:line="108" w:lineRule="exact"/>
              <w:rPr>
                <w:sz w:val="20"/>
                <w:szCs w:val="20"/>
                <w:color w:val="auto"/>
              </w:rPr>
            </w:pPr>
            <w:r>
              <w:rPr>
                <w:rFonts w:ascii="Arial" w:cs="Arial" w:eastAsia="Arial" w:hAnsi="Arial"/>
                <w:sz w:val="11"/>
                <w:szCs w:val="11"/>
                <w:b w:val="1"/>
                <w:bCs w:val="1"/>
                <w:color w:val="auto"/>
                <w:w w:val="98"/>
              </w:rPr>
              <w:t>Paid-In</w:t>
            </w:r>
          </w:p>
        </w:tc>
        <w:tc>
          <w:tcPr>
            <w:tcW w:w="320" w:type="dxa"/>
            <w:vAlign w:val="bottom"/>
          </w:tcPr>
          <w:p>
            <w:pPr>
              <w:spacing w:after="0"/>
              <w:rPr>
                <w:sz w:val="4"/>
                <w:szCs w:val="4"/>
                <w:color w:val="auto"/>
              </w:rPr>
            </w:pPr>
          </w:p>
        </w:tc>
        <w:tc>
          <w:tcPr>
            <w:tcW w:w="1500" w:type="dxa"/>
            <w:vAlign w:val="bottom"/>
            <w:gridSpan w:val="2"/>
            <w:vMerge w:val="restart"/>
          </w:tcPr>
          <w:p>
            <w:pPr>
              <w:jc w:val="center"/>
              <w:ind w:right="42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280" w:type="dxa"/>
            <w:vAlign w:val="bottom"/>
          </w:tcPr>
          <w:p>
            <w:pPr>
              <w:spacing w:after="0"/>
              <w:rPr>
                <w:sz w:val="4"/>
                <w:szCs w:val="4"/>
                <w:color w:val="auto"/>
              </w:rPr>
            </w:pPr>
          </w:p>
        </w:tc>
        <w:tc>
          <w:tcPr>
            <w:tcW w:w="1360" w:type="dxa"/>
            <w:vAlign w:val="bottom"/>
            <w:vMerge w:val="restart"/>
          </w:tcPr>
          <w:p>
            <w:pPr>
              <w:jc w:val="center"/>
              <w:ind w:right="214"/>
              <w:spacing w:after="0" w:line="108" w:lineRule="exact"/>
              <w:rPr>
                <w:sz w:val="20"/>
                <w:szCs w:val="20"/>
                <w:color w:val="auto"/>
              </w:rPr>
            </w:pPr>
            <w:r>
              <w:rPr>
                <w:rFonts w:ascii="Arial" w:cs="Arial" w:eastAsia="Arial" w:hAnsi="Arial"/>
                <w:sz w:val="11"/>
                <w:szCs w:val="11"/>
                <w:b w:val="1"/>
                <w:bCs w:val="1"/>
                <w:color w:val="auto"/>
                <w:w w:val="99"/>
              </w:rPr>
              <w:t>Stockholders'</w:t>
            </w:r>
          </w:p>
        </w:tc>
        <w:tc>
          <w:tcPr>
            <w:tcW w:w="0" w:type="dxa"/>
            <w:vAlign w:val="bottom"/>
          </w:tcPr>
          <w:p>
            <w:pPr>
              <w:spacing w:after="0"/>
              <w:rPr>
                <w:sz w:val="1"/>
                <w:szCs w:val="1"/>
                <w:color w:val="auto"/>
              </w:rPr>
            </w:pPr>
          </w:p>
        </w:tc>
      </w:tr>
      <w:tr>
        <w:trPr>
          <w:trHeight w:val="34"/>
        </w:trPr>
        <w:tc>
          <w:tcPr>
            <w:tcW w:w="3740" w:type="dxa"/>
            <w:vAlign w:val="bottom"/>
          </w:tcPr>
          <w:p>
            <w:pPr>
              <w:spacing w:after="0"/>
              <w:rPr>
                <w:sz w:val="2"/>
                <w:szCs w:val="2"/>
                <w:color w:val="auto"/>
              </w:rPr>
            </w:pPr>
          </w:p>
        </w:tc>
        <w:tc>
          <w:tcPr>
            <w:tcW w:w="152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2"/>
                <w:szCs w:val="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7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8"/>
              </w:rPr>
              <w:t>Capital</w:t>
            </w:r>
          </w:p>
        </w:tc>
        <w:tc>
          <w:tcPr>
            <w:tcW w:w="320" w:type="dxa"/>
            <w:vAlign w:val="bottom"/>
          </w:tcPr>
          <w:p>
            <w:pPr>
              <w:spacing w:after="0"/>
              <w:rPr>
                <w:sz w:val="12"/>
                <w:szCs w:val="12"/>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Deficit</w:t>
            </w:r>
          </w:p>
        </w:tc>
        <w:tc>
          <w:tcPr>
            <w:tcW w:w="280" w:type="dxa"/>
            <w:vAlign w:val="bottom"/>
          </w:tcPr>
          <w:p>
            <w:pPr>
              <w:spacing w:after="0"/>
              <w:rPr>
                <w:sz w:val="12"/>
                <w:szCs w:val="12"/>
                <w:color w:val="auto"/>
              </w:rPr>
            </w:pPr>
          </w:p>
        </w:tc>
        <w:tc>
          <w:tcPr>
            <w:tcW w:w="1360" w:type="dxa"/>
            <w:vAlign w:val="bottom"/>
          </w:tcPr>
          <w:p>
            <w:pPr>
              <w:jc w:val="center"/>
              <w:ind w:right="214"/>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2019</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12,560,990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220,248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55,659</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tcPr>
          <w:p>
            <w:pPr>
              <w:jc w:val="right"/>
              <w:ind w:right="13"/>
              <w:spacing w:after="0"/>
              <w:rPr>
                <w:sz w:val="20"/>
                <w:szCs w:val="20"/>
                <w:color w:val="auto"/>
              </w:rPr>
            </w:pPr>
            <w:r>
              <w:rPr>
                <w:rFonts w:ascii="Arial" w:cs="Arial" w:eastAsia="Arial" w:hAnsi="Arial"/>
                <w:sz w:val="14"/>
                <w:szCs w:val="14"/>
                <w:color w:val="auto"/>
              </w:rPr>
              <w:t>43,700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40" w:type="dxa"/>
            <w:vAlign w:val="bottom"/>
          </w:tcPr>
          <w:p>
            <w:pPr>
              <w:jc w:val="right"/>
              <w:ind w:right="14"/>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Net exercise of common stock warrants</w:t>
            </w:r>
          </w:p>
        </w:tc>
        <w:tc>
          <w:tcPr>
            <w:tcW w:w="1420" w:type="dxa"/>
            <w:vAlign w:val="bottom"/>
          </w:tcPr>
          <w:p>
            <w:pPr>
              <w:jc w:val="right"/>
              <w:ind w:right="13"/>
              <w:spacing w:after="0"/>
              <w:rPr>
                <w:sz w:val="20"/>
                <w:szCs w:val="20"/>
                <w:color w:val="auto"/>
              </w:rPr>
            </w:pPr>
            <w:r>
              <w:rPr>
                <w:rFonts w:ascii="Arial" w:cs="Arial" w:eastAsia="Arial" w:hAnsi="Arial"/>
                <w:sz w:val="14"/>
                <w:szCs w:val="14"/>
                <w:color w:val="auto"/>
              </w:rPr>
              <w:t>22,366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50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2020</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12,627,056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220,689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(170,165)</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50,537</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8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69"/>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(5,563)</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89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431</w:t>
            </w:r>
          </w:p>
        </w:tc>
      </w:tr>
      <w:tr>
        <w:trPr>
          <w:trHeight w:val="189"/>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r>
      <w:tr>
        <w:trPr>
          <w:trHeight w:val="189"/>
        </w:trPr>
        <w:tc>
          <w:tcPr>
            <w:tcW w:w="890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r>
      <w:tr>
        <w:trPr>
          <w:trHeight w:val="189"/>
        </w:trPr>
        <w:tc>
          <w:tcPr>
            <w:tcW w:w="890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Accrued and other current liabilities</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(3,301)</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3"/>
        </w:trPr>
        <w:tc>
          <w:tcPr>
            <w:tcW w:w="8900" w:type="dxa"/>
            <w:vAlign w:val="bottom"/>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Pan</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Principal payment on capital lease obligations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65,081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83"/>
        </w:trPr>
        <w:tc>
          <w:tcPr>
            <w:tcW w:w="89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60,602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(3,436)</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57,548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72,184</w:t>
            </w:r>
          </w:p>
        </w:tc>
      </w:tr>
      <w:tr>
        <w:trPr>
          <w:trHeight w:val="183"/>
        </w:trPr>
        <w:tc>
          <w:tcPr>
            <w:tcW w:w="8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118,150</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68,748</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6"/>
        </w:trPr>
        <w:tc>
          <w:tcPr>
            <w:tcW w:w="89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Cash paid for interest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Equipment purchased under capital lease obligations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9"/>
        </w:trPr>
        <w:tc>
          <w:tcPr>
            <w:tcW w:w="8900" w:type="dxa"/>
            <w:vAlign w:val="bottom"/>
          </w:tcPr>
          <w:p>
            <w:pPr>
              <w:ind w:left="20"/>
              <w:spacing w:after="0"/>
              <w:rPr>
                <w:sz w:val="20"/>
                <w:szCs w:val="20"/>
                <w:color w:val="auto"/>
              </w:rPr>
            </w:pPr>
            <w:r>
              <w:rPr>
                <w:rFonts w:ascii="Arial" w:cs="Arial" w:eastAsia="Arial" w:hAnsi="Arial"/>
                <w:sz w:val="14"/>
                <w:szCs w:val="14"/>
                <w:color w:val="auto"/>
              </w:rPr>
              <w:t>Issuance costs included in accounts payable and accrued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Exagen Inc. (the Company) is dedicated to transforming the care continuum for patients suffering from debilitating and chronic autoimmune diseases by enabling timely differential diagnosis and optimizing therapeutic intervention.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March 31, 2021, the Company had cash and cash equivalents of $118.1 million and had an accumulated deficit of $187.5 million. Since inception, the Company has financed its operations primarily through a combination of equity financings of common stock and private placements of preferred securities,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accompanying interim condensed balance sheet as of March 31, 2021, the condensed statements of operations and the condensed statements of stockholders' equity for the three months ended March 31, 2021 and 2020 and cash flows for the three months ended March 31, 2021 and 2020 and the related footnote disclosure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 necessary for the fair presentation of the Company's financial position as of March 31, 2021 and its results of operations for the three month periods presented. The results for the three months ended March 31, 2021 are not necessarily indicative of the results expected for the full fiscal year or any other interim period. The year-end condensed balance sheet data was derived from audited financial statements, but does not include all disclosures required by accounting principles generally accepted in the United States of America. These unaudited condensed financial statements should be read in conjunction with the Company’s audited financial statements for the year ended December 31, 2020, included in its Annual Report on Form 10-K filed with the SEC on March 16, 2021.</w:t>
      </w:r>
    </w:p>
    <w:p>
      <w:pPr>
        <w:spacing w:after="0" w:line="21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9" w:right="399" w:bottom="1440" w:gutter="0" w:footer="0" w:header="0"/>
        </w:sectPr>
      </w:pPr>
    </w:p>
    <w:bookmarkStart w:id="7" w:name="page8"/>
    <w:bookmarkEnd w:id="7"/>
    <w:p>
      <w:pPr>
        <w:ind w:right="60"/>
        <w:spacing w:after="0" w:line="253"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the fair value of financial instruments measured at fair value,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4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70" w:lineRule="exact"/>
        <w:rPr>
          <w:sz w:val="20"/>
          <w:szCs w:val="20"/>
          <w:color w:val="auto"/>
        </w:rPr>
      </w:pPr>
    </w:p>
    <w:p>
      <w:pPr>
        <w:jc w:val="center"/>
        <w:ind w:left="784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17780</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jc w:val="center"/>
        <w:ind w:left="7840"/>
        <w:spacing w:after="0"/>
        <w:rPr>
          <w:sz w:val="20"/>
          <w:szCs w:val="20"/>
          <w:color w:val="auto"/>
        </w:rPr>
      </w:pPr>
      <w:r>
        <w:rPr>
          <w:rFonts w:ascii="Arial" w:cs="Arial" w:eastAsia="Arial" w:hAnsi="Arial"/>
          <w:sz w:val="13"/>
          <w:szCs w:val="13"/>
          <w:b w:val="1"/>
          <w:bCs w:val="1"/>
          <w:color w:val="auto"/>
        </w:rPr>
        <w:t>Three Months Ended</w:t>
      </w:r>
    </w:p>
    <w:p>
      <w:pPr>
        <w:jc w:val="center"/>
        <w:ind w:left="7840"/>
        <w:spacing w:after="0"/>
        <w:rPr>
          <w:sz w:val="20"/>
          <w:szCs w:val="20"/>
          <w:color w:val="auto"/>
        </w:rPr>
      </w:pPr>
      <w:r>
        <w:rPr>
          <w:rFonts w:ascii="Arial" w:cs="Arial" w:eastAsia="Arial" w:hAnsi="Arial"/>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60" w:type="dxa"/>
            <w:vAlign w:val="bottom"/>
            <w:tcBorders>
              <w:bottom w:val="single" w:sz="8" w:color="CCEEFF"/>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6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2020</w:t>
            </w:r>
          </w:p>
        </w:tc>
      </w:tr>
      <w:tr>
        <w:trPr>
          <w:trHeight w:val="22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Blue Shield</w:t>
            </w:r>
          </w:p>
        </w:tc>
        <w:tc>
          <w:tcPr>
            <w:tcW w:w="5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Medicare Advantage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940" w:type="dxa"/>
            <w:vAlign w:val="bottom"/>
            <w:gridSpan w:val="2"/>
          </w:tcPr>
          <w:p>
            <w:pPr>
              <w:ind w:left="20"/>
              <w:spacing w:after="0"/>
              <w:rPr>
                <w:sz w:val="20"/>
                <w:szCs w:val="20"/>
                <w:color w:val="auto"/>
              </w:rPr>
            </w:pPr>
            <w:r>
              <w:rPr>
                <w:rFonts w:ascii="Arial" w:cs="Arial" w:eastAsia="Arial" w:hAnsi="Arial"/>
                <w:sz w:val="18"/>
                <w:szCs w:val="18"/>
                <w:color w:val="auto"/>
              </w:rPr>
              <w:t>United Healthcare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625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19" w:lineRule="exact"/>
        <w:rPr>
          <w:sz w:val="20"/>
          <w:szCs w:val="20"/>
          <w:color w:val="auto"/>
        </w:rPr>
      </w:pPr>
    </w:p>
    <w:p>
      <w:pPr>
        <w:ind w:left="1020" w:hanging="994"/>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860" w:type="dxa"/>
            <w:vAlign w:val="bottom"/>
          </w:tcPr>
          <w:p>
            <w:pPr>
              <w:spacing w:after="0"/>
              <w:rPr>
                <w:sz w:val="15"/>
                <w:szCs w:val="15"/>
                <w:color w:val="auto"/>
              </w:rPr>
            </w:pPr>
          </w:p>
        </w:tc>
        <w:tc>
          <w:tcPr>
            <w:tcW w:w="33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3"/>
                <w:szCs w:val="13"/>
                <w:b w:val="1"/>
                <w:bCs w:val="1"/>
                <w:color w:val="auto"/>
              </w:rPr>
              <w:t>Accounts Receivable</w:t>
            </w:r>
          </w:p>
        </w:tc>
      </w:tr>
      <w:tr>
        <w:trPr>
          <w:trHeight w:val="412"/>
        </w:trPr>
        <w:tc>
          <w:tcPr>
            <w:tcW w:w="7860" w:type="dxa"/>
            <w:vAlign w:val="bottom"/>
          </w:tcPr>
          <w:p>
            <w:pPr>
              <w:spacing w:after="0"/>
              <w:rPr>
                <w:sz w:val="24"/>
                <w:szCs w:val="24"/>
                <w:color w:val="auto"/>
              </w:rPr>
            </w:pPr>
          </w:p>
        </w:tc>
        <w:tc>
          <w:tcPr>
            <w:tcW w:w="1740" w:type="dxa"/>
            <w:vAlign w:val="bottom"/>
            <w:gridSpan w:val="2"/>
          </w:tcPr>
          <w:p>
            <w:pPr>
              <w:ind w:left="360"/>
              <w:spacing w:after="0"/>
              <w:rPr>
                <w:sz w:val="20"/>
                <w:szCs w:val="20"/>
                <w:color w:val="auto"/>
              </w:rPr>
            </w:pPr>
            <w:r>
              <w:rPr>
                <w:rFonts w:ascii="Arial" w:cs="Arial" w:eastAsia="Arial" w:hAnsi="Arial"/>
                <w:sz w:val="13"/>
                <w:szCs w:val="13"/>
                <w:b w:val="1"/>
                <w:bCs w:val="1"/>
                <w:color w:val="auto"/>
              </w:rPr>
              <w:t>March 31, 2021</w:t>
            </w:r>
          </w:p>
        </w:tc>
        <w:tc>
          <w:tcPr>
            <w:tcW w:w="1640" w:type="dxa"/>
            <w:vAlign w:val="bottom"/>
          </w:tcPr>
          <w:p>
            <w:pPr>
              <w:jc w:val="right"/>
              <w:ind w:right="179"/>
              <w:spacing w:after="0"/>
              <w:rPr>
                <w:sz w:val="20"/>
                <w:szCs w:val="20"/>
                <w:color w:val="auto"/>
              </w:rPr>
            </w:pPr>
            <w:r>
              <w:rPr>
                <w:rFonts w:ascii="Arial" w:cs="Arial" w:eastAsia="Arial" w:hAnsi="Arial"/>
                <w:sz w:val="13"/>
                <w:szCs w:val="13"/>
                <w:b w:val="1"/>
                <w:bCs w:val="1"/>
                <w:color w:val="auto"/>
              </w:rPr>
              <w:t>December 31, 2020</w:t>
            </w:r>
          </w:p>
        </w:tc>
      </w:tr>
      <w:tr>
        <w:trPr>
          <w:trHeight w:val="230"/>
        </w:trPr>
        <w:tc>
          <w:tcPr>
            <w:tcW w:w="7860" w:type="dxa"/>
            <w:vAlign w:val="bottom"/>
            <w:tcBorders>
              <w:top w:val="single" w:sz="8" w:color="CCEEFF"/>
            </w:tcBorders>
            <w:shd w:val="clear" w:color="auto" w:fill="CCEEFF"/>
          </w:tcPr>
          <w:p>
            <w:pPr>
              <w:ind w:left="20"/>
              <w:spacing w:after="0" w:line="230" w:lineRule="exact"/>
              <w:rPr>
                <w:sz w:val="20"/>
                <w:szCs w:val="20"/>
                <w:color w:val="auto"/>
              </w:rPr>
            </w:pPr>
            <w:r>
              <w:rPr>
                <w:rFonts w:ascii="Arial" w:cs="Arial" w:eastAsia="Arial" w:hAnsi="Arial"/>
                <w:sz w:val="18"/>
                <w:szCs w:val="18"/>
                <w:color w:val="auto"/>
              </w:rPr>
              <w:t>Janssen (SIMPONI</w:t>
            </w:r>
            <w:r>
              <w:rPr>
                <w:rFonts w:ascii="Arial" w:cs="Arial" w:eastAsia="Arial" w:hAnsi="Arial"/>
                <w:sz w:val="23"/>
                <w:szCs w:val="23"/>
                <w:color w:val="auto"/>
                <w:vertAlign w:val="superscript"/>
              </w:rPr>
              <w:t>®</w:t>
            </w:r>
            <w:r>
              <w:rPr>
                <w:rFonts w:ascii="Arial" w:cs="Arial" w:eastAsia="Arial" w:hAnsi="Arial"/>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Blue Shield</w:t>
            </w:r>
          </w:p>
        </w:tc>
        <w:tc>
          <w:tcPr>
            <w:tcW w:w="1620" w:type="dxa"/>
            <w:vAlign w:val="bottom"/>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625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19" w:lineRule="exact"/>
        <w:rPr>
          <w:sz w:val="20"/>
          <w:szCs w:val="20"/>
          <w:color w:val="auto"/>
        </w:rPr>
      </w:pPr>
    </w:p>
    <w:p>
      <w:pPr>
        <w:ind w:left="1020" w:hanging="994"/>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Less than 10%.</w:t>
      </w:r>
    </w:p>
    <w:p>
      <w:pPr>
        <w:spacing w:after="0" w:line="326"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For the three months ended March 31, 2021 and 2020, approximately 81%, and 83%,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March 31, 2021 and 2020, approximately 98% and 96%, respectively, of the Company's diagnostic testing supplies were purchased from two suppliers. An interruption in the supply of these materials would impact the Company's ability to perform testing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r>
      <w:tr>
        <w:trPr>
          <w:trHeight w:val="172"/>
        </w:trPr>
        <w:tc>
          <w:tcPr>
            <w:tcW w:w="8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r>
      <w:tr>
        <w:trPr>
          <w:trHeight w:val="17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6,027</w:t>
            </w:r>
          </w:p>
        </w:tc>
        <w:tc>
          <w:tcPr>
            <w:tcW w:w="120" w:type="dxa"/>
            <w:vAlign w:val="bottom"/>
          </w:tcPr>
          <w:p>
            <w:pPr>
              <w:spacing w:after="0"/>
              <w:rPr>
                <w:sz w:val="16"/>
                <w:szCs w:val="16"/>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6,062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w:t>
            </w:r>
          </w:p>
        </w:tc>
      </w:tr>
      <w:tr>
        <w:trPr>
          <w:trHeight w:val="189"/>
        </w:trPr>
        <w:tc>
          <w:tcPr>
            <w:tcW w:w="8240" w:type="dxa"/>
            <w:vAlign w:val="bottom"/>
          </w:tcPr>
          <w:p>
            <w:pPr>
              <w:ind w:left="20"/>
              <w:spacing w:after="0"/>
              <w:rPr>
                <w:sz w:val="20"/>
                <w:szCs w:val="20"/>
                <w:color w:val="auto"/>
              </w:rPr>
            </w:pPr>
            <w:r>
              <w:rPr>
                <w:rFonts w:ascii="Arial" w:cs="Arial" w:eastAsia="Arial" w:hAnsi="Arial"/>
                <w:sz w:val="14"/>
                <w:szCs w:val="14"/>
                <w:color w:val="auto"/>
              </w:rPr>
              <w:t>Client(1)</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1,965</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1,082</w:t>
            </w:r>
          </w:p>
        </w:tc>
      </w:tr>
      <w:tr>
        <w:trPr>
          <w:trHeight w:val="189"/>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189"/>
        </w:trPr>
        <w:tc>
          <w:tcPr>
            <w:tcW w:w="824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10,587</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11" w:lineRule="exact"/>
        <w:rPr>
          <w:rFonts w:ascii="Arial" w:cs="Arial" w:eastAsia="Arial" w:hAnsi="Arial"/>
          <w:sz w:val="14"/>
          <w:szCs w:val="14"/>
          <w:color w:val="auto"/>
        </w:rPr>
      </w:pPr>
    </w:p>
    <w:p>
      <w:pPr>
        <w:ind w:left="560" w:hanging="309"/>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patient self-pay that is immaterial</w:t>
      </w:r>
      <w:r>
        <w:rPr>
          <w:rFonts w:ascii="Arial" w:cs="Arial" w:eastAsia="Arial" w:hAnsi="Arial"/>
          <w:sz w:val="17"/>
          <w:szCs w:val="17"/>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Based on the borrowing rates currently available to the Company for debt with similar terms and consideration of default and credit risk, the carrying value of the Company's long-term borrowings approximates its fair value, which is considered a Level 2 input.</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56"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02"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20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600" w:type="dxa"/>
            <w:vAlign w:val="bottom"/>
          </w:tcPr>
          <w:p>
            <w:pPr>
              <w:jc w:val="right"/>
              <w:ind w:right="155"/>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118,050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57,448</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Payors)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2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is recorded upon settlement. The transaction price is estimated using an expected value method on a portfolio basis. The Company's portfolios are grouped per payor (i.e. each individual third-party insurance, Medicare, client payors, patient self-pay, etc.) and per test basis.</w:t>
      </w:r>
    </w:p>
    <w:p>
      <w:pPr>
        <w:spacing w:after="0" w:line="20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4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December 2018, the Company entered into a co-promotion agreement (the Janssen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The Company is responsible for the costs associated with its sales force over the course of such co-promotion. Janssen is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is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quarter ended March 31, 2020, the tiered promotion fee ranged from $750 to $1,250 per prescription over a predetermined baseline. Due in part to COVID-19, in June 2020, the Janssen Agreement was amended (June Amended Janssen Agreement) to adjust the predetermined average baseline for the third and fourth quarters of 2020, and for each of the third and fourth quarters of 2020, the Company received a minimum promotion fee of $0.3 million and the fee was capped at 5% above the adjusted predetermined baseline. In December 2020, the Janssen Agreement was further amended. The Janssen Agreement, as amended in June 2020 and December 2020 is collectively referred to as the Amended Janssen Agreement. In accordance with the Amended Janssen Agreement, the predetermined average baseline for prescribed units for the quarters ending December 31, 2020, March 31, 2021 and June 30, 2021, was adjusted to approximately 28,750 prescribed units per quarter, subject to adjustment under certain circumstances. For the first and second quarter of 2021, the Company will be entitled to an amended tiered promotion fee ranging from $500 to $1,000 per prescription based on the incremental increase in total prescribed units. Pursuant to the Amended Janssen Agreement, for the first and second quarters of 2021, the Company will receive a minimum promotion fee of $0.3 million and the fee will be capped at 10% above the adjusted predetermined baseline. The quarterly tiered promotion fee for the remaining term of the Janssen Promotion Agreement beginning on July 1, 2021 will revert to the terms set forth in the Janssen Agreement prior to amendment, with no minimum promotion fee and no cap on predetermined baseline units. In addition, during the term of the Janssen Agreement, the Company is restricted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10" w:name="page11"/>
    <w:bookmarkEnd w:id="10"/>
    <w:p>
      <w:pPr>
        <w:ind w:right="460"/>
        <w:spacing w:after="0" w:line="261" w:lineRule="auto"/>
        <w:rPr>
          <w:sz w:val="20"/>
          <w:szCs w:val="20"/>
          <w:color w:val="auto"/>
        </w:rPr>
      </w:pPr>
      <w:r>
        <w:rPr>
          <w:rFonts w:ascii="Arial" w:cs="Arial" w:eastAsia="Arial" w:hAnsi="Arial"/>
          <w:sz w:val="18"/>
          <w:szCs w:val="18"/>
          <w:color w:val="auto"/>
        </w:rPr>
        <w:t>from promoting any other biologic or Janus kinase inhibitor, or JAK inhibitor, used for treatment of indications covered by the agreement without first obtaining Janssen's written consent.</w:t>
      </w:r>
    </w:p>
    <w:p>
      <w:pPr>
        <w:spacing w:after="0" w:line="14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Janssen Agreement expires on December 31, 2021, unless extended by the Company for an additional 12 months upon 180 days written notice prior to the end of the current term. If the Company elects to extend the term, the predetermined baseline for 2022 will be subject to future agreement by the Company and Janssen. Janssen may terminate the Amended Janssen Agreement at any time for any reason upon 30 days' notice to the Company, and the Company may terminate the Amended Janssen Agreement for any reason at the end of any calendar quarter upon 30 days' notice to Janssen. Either party may terminate the Amended Janssen Agreement in the event of the other party's default of any of its material obligations under the agreement if such default remains uncured for a specified period of time following receipt of written notice of such default.</w:t>
      </w:r>
    </w:p>
    <w:p>
      <w:pPr>
        <w:spacing w:after="0" w:line="14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Company's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a series of single performance obligations since Janssen simultaneously receives and consumes benefits provided by the Company's sales and co-promotional services. The method for measuring progress towards satisfying the performance obligations is based on prescribed units in excess of the contractual baseline at the contractual rate earned per unit since the agreement is cancelable. The Company recognized co-promotion revenue of approximately $0.3 million and no co-promotion revenue during the three months ended March 31, 2021 and 2020,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$0.3 million and $0.4 million for the three months ended March 31, 2021 and 2020, respectively, and are included in selling, general and administrative expenses in the accompanying condensed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$0.5 million and $0.4 million for the three months ended March 31, 2021 and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2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20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annually from the grant date in four equal installments subject to the holder's continued service with the Company. The Company issues new shares to satisfy RSUs upon vesting.</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1" w:name="page12"/>
    <w:bookmarkEnd w:id="11"/>
    <w:p>
      <w:pPr>
        <w:ind w:right="320"/>
        <w:spacing w:after="0" w:line="261" w:lineRule="auto"/>
        <w:rPr>
          <w:sz w:val="20"/>
          <w:szCs w:val="20"/>
          <w:color w:val="auto"/>
        </w:rPr>
      </w:pPr>
      <w:r>
        <w:rPr>
          <w:rFonts w:ascii="Arial" w:cs="Arial" w:eastAsia="Arial" w:hAnsi="Arial"/>
          <w:sz w:val="18"/>
          <w:szCs w:val="18"/>
          <w:color w:val="auto"/>
        </w:rPr>
        <w:t>During the three months ended March 31, 2021, the Company awarded 185,000 RSUs to certain employees, all of which are outstanding and unvested as of March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common stock is determined by using the closing price of its common stock on the corresponding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4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47"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warrants for the purchase of common stock, options and restricted stock units outstanding under the Company's 2019 Incentive Award Plan and shares of the Company's common stock pursuant to Employee Stock Purchase Plan. For the three months ended March 31, 2021 and 2020, there is no difference in the number of shares used to calculate basic and diluted shares outstanding as the inclusion of the potentially dilutive securities would be antidilutive.</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34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82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r>
      <w:tr>
        <w:trPr>
          <w:trHeight w:val="183"/>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426,827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436,581</w:t>
            </w:r>
          </w:p>
        </w:tc>
      </w:tr>
      <w:tr>
        <w:trPr>
          <w:trHeight w:val="189"/>
        </w:trPr>
        <w:tc>
          <w:tcPr>
            <w:tcW w:w="782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2,041,580</w:t>
            </w: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1,630,014</w:t>
            </w: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2,869</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2,656,276</w:t>
            </w:r>
          </w:p>
        </w:tc>
        <w:tc>
          <w:tcPr>
            <w:tcW w:w="10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2,068,616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47"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90"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The new topic supersedes Topic 840, </w:t>
      </w:r>
      <w:r>
        <w:rPr>
          <w:rFonts w:ascii="Arial" w:cs="Arial" w:eastAsia="Arial" w:hAnsi="Arial"/>
          <w:sz w:val="18"/>
          <w:szCs w:val="18"/>
          <w:i w:val="1"/>
          <w:iCs w:val="1"/>
          <w:color w:val="auto"/>
        </w:rPr>
        <w:t>Leases</w:t>
      </w:r>
      <w:r>
        <w:rPr>
          <w:rFonts w:ascii="Arial" w:cs="Arial" w:eastAsia="Arial" w:hAnsi="Arial"/>
          <w:sz w:val="18"/>
          <w:szCs w:val="18"/>
          <w:color w:val="auto"/>
        </w:rPr>
        <w:t>, and increases transparency and comparability among organizations by recognizing lease assets and lease liabilities on the balance sheet and requires disclosures of key information about</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ind w:right="40"/>
        <w:spacing w:after="0" w:line="270" w:lineRule="auto"/>
        <w:rPr>
          <w:sz w:val="20"/>
          <w:szCs w:val="20"/>
          <w:color w:val="auto"/>
        </w:rPr>
      </w:pPr>
      <w:r>
        <w:rPr>
          <w:rFonts w:ascii="Arial" w:cs="Arial" w:eastAsia="Arial" w:hAnsi="Arial"/>
          <w:sz w:val="17"/>
          <w:szCs w:val="17"/>
          <w:color w:val="auto"/>
        </w:rPr>
        <w:t xml:space="preserve">leasing arrangements. In July 2018, the FASB issued ASU 2018-10, </w:t>
      </w:r>
      <w:r>
        <w:rPr>
          <w:rFonts w:ascii="Arial" w:cs="Arial" w:eastAsia="Arial" w:hAnsi="Arial"/>
          <w:sz w:val="17"/>
          <w:szCs w:val="17"/>
          <w:i w:val="1"/>
          <w:iCs w:val="1"/>
          <w:color w:val="auto"/>
        </w:rPr>
        <w:t>Codification Improvements to Topic 842</w:t>
      </w:r>
      <w:r>
        <w:rPr>
          <w:rFonts w:ascii="Arial" w:cs="Arial" w:eastAsia="Arial" w:hAnsi="Arial"/>
          <w:sz w:val="17"/>
          <w:szCs w:val="17"/>
          <w:color w:val="auto"/>
        </w:rPr>
        <w:t xml:space="preserve">, which provides narrow amendments to clarify how to apply certain aspects of the new lease standard, and ASU 2018-11, </w:t>
      </w:r>
      <w:r>
        <w:rPr>
          <w:rFonts w:ascii="Arial" w:cs="Arial" w:eastAsia="Arial" w:hAnsi="Arial"/>
          <w:sz w:val="17"/>
          <w:szCs w:val="17"/>
          <w:i w:val="1"/>
          <w:iCs w:val="1"/>
          <w:color w:val="auto"/>
        </w:rPr>
        <w:t>Leases: Targeted Improvements</w:t>
      </w:r>
      <w:r>
        <w:rPr>
          <w:rFonts w:ascii="Arial" w:cs="Arial" w:eastAsia="Arial" w:hAnsi="Arial"/>
          <w:sz w:val="17"/>
          <w:szCs w:val="17"/>
          <w:color w:val="auto"/>
        </w:rPr>
        <w:t>, which was issued to provide relief to companies from restating comparative periods. Pursuant to this ASU, in the period of adoption the Company will not restate comparative periods presented in its condensed financial statements. The effective date of this guidance for public companies is for reporting periods beginning after December 15, 2018. In June 2020, the FASB issued ASU 2020-05, which delays the adoption of ASU 2016-02 for non-public entities to fiscal years beginning after December 15, 2021, and interim periods beginning after December 15, 2022. As an emerging growth company as defined in the JOBS Act, the Company has elected to delay adoption of this ASU until January 1, 2022. Topic 842 mandates a modified retrospective transition method. The Company intends to adopt the new lease standard using a cumulative effect to accumulated deficit and will elect the package of practical expedients, which among other things will allow the Company to carry forward its historical lease classification. The Company is currently evaluating the impact of Topic 842 on its condensed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new guidance removes certain exceptions to the general principles of ASC 740 in order to simplify the complexities of its application. These changes include eliminations to the exceptions for intraperiod tax allocation, recognizing deferred tax liabilities related to outside basis differences, and year-to-date losses in interim periods, among others. The effective date of this guidance for public companies is for fiscal years, and interim period within those fiscal years, beginning after December 15, 2020. The Company adopted this guidance on January 1, 2021, and the adoption did not have a material impact on its condensed financial statements.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2021</w:t>
            </w:r>
          </w:p>
        </w:tc>
        <w:tc>
          <w:tcPr>
            <w:tcW w:w="220" w:type="dxa"/>
            <w:vAlign w:val="bottom"/>
          </w:tcPr>
          <w:p>
            <w:pPr>
              <w:spacing w:after="0"/>
              <w:rPr>
                <w:sz w:val="15"/>
                <w:szCs w:val="15"/>
                <w:color w:val="auto"/>
              </w:rPr>
            </w:pPr>
          </w:p>
        </w:tc>
        <w:tc>
          <w:tcPr>
            <w:tcW w:w="1560" w:type="dxa"/>
            <w:vAlign w:val="bottom"/>
          </w:tcPr>
          <w:p>
            <w:pPr>
              <w:jc w:val="right"/>
              <w:ind w:right="242"/>
              <w:spacing w:after="0"/>
              <w:rPr>
                <w:sz w:val="20"/>
                <w:szCs w:val="20"/>
                <w:color w:val="auto"/>
              </w:rPr>
            </w:pPr>
            <w:r>
              <w:rPr>
                <w:rFonts w:ascii="Arial" w:cs="Arial" w:eastAsia="Arial" w:hAnsi="Arial"/>
                <w:sz w:val="13"/>
                <w:szCs w:val="13"/>
                <w:b w:val="1"/>
                <w:bCs w:val="1"/>
                <w:color w:val="auto"/>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Diagnostic testing supplies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1,203</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Prepaid product royalties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68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maintenance and insurance contracts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2,229</w:t>
            </w:r>
          </w:p>
        </w:tc>
      </w:tr>
      <w:tr>
        <w:trPr>
          <w:trHeight w:val="21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prepaid and other current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659</w:t>
            </w:r>
          </w:p>
        </w:tc>
      </w:tr>
      <w:tr>
        <w:trPr>
          <w:trHeight w:val="234"/>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and other current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4,159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2021</w:t>
            </w:r>
          </w:p>
        </w:tc>
        <w:tc>
          <w:tcPr>
            <w:tcW w:w="200" w:type="dxa"/>
            <w:vAlign w:val="bottom"/>
          </w:tcPr>
          <w:p>
            <w:pPr>
              <w:spacing w:after="0"/>
              <w:rPr>
                <w:sz w:val="15"/>
                <w:szCs w:val="15"/>
                <w:color w:val="auto"/>
              </w:rPr>
            </w:pPr>
          </w:p>
        </w:tc>
        <w:tc>
          <w:tcPr>
            <w:tcW w:w="1560" w:type="dxa"/>
            <w:vAlign w:val="bottom"/>
          </w:tcPr>
          <w:p>
            <w:pPr>
              <w:jc w:val="right"/>
              <w:ind w:right="249"/>
              <w:spacing w:after="0"/>
              <w:rPr>
                <w:sz w:val="20"/>
                <w:szCs w:val="20"/>
                <w:color w:val="auto"/>
              </w:rPr>
            </w:pPr>
            <w:r>
              <w:rPr>
                <w:rFonts w:ascii="Arial" w:cs="Arial" w:eastAsia="Arial" w:hAnsi="Arial"/>
                <w:sz w:val="13"/>
                <w:szCs w:val="13"/>
                <w:b w:val="1"/>
                <w:bCs w:val="1"/>
                <w:color w:val="auto"/>
              </w:rPr>
              <w:t>December 31, 2020</w:t>
            </w:r>
          </w:p>
        </w:tc>
      </w:tr>
      <w:tr>
        <w:trPr>
          <w:trHeight w:val="18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3,148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2,679</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w:t>
            </w:r>
          </w:p>
        </w:tc>
      </w:tr>
      <w:tr>
        <w:trPr>
          <w:trHeight w:val="189"/>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1,072</w:t>
            </w:r>
          </w:p>
        </w:tc>
      </w:tr>
      <w:tr>
        <w:trPr>
          <w:trHeight w:val="189"/>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5,043</w:t>
            </w:r>
          </w:p>
        </w:tc>
      </w:tr>
      <w:tr>
        <w:trPr>
          <w:trHeight w:val="189"/>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(3,128)</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(2,941)</w:t>
            </w:r>
          </w:p>
        </w:tc>
      </w:tr>
      <w:tr>
        <w:trPr>
          <w:trHeight w:val="183"/>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2,378</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p>
      <w:pPr>
        <w:ind w:right="360"/>
        <w:spacing w:after="0" w:line="256" w:lineRule="auto"/>
        <w:rPr>
          <w:sz w:val="20"/>
          <w:szCs w:val="20"/>
          <w:color w:val="auto"/>
        </w:rPr>
      </w:pPr>
      <w:r>
        <w:rPr>
          <w:rFonts w:ascii="Arial" w:cs="Arial" w:eastAsia="Arial" w:hAnsi="Arial"/>
          <w:sz w:val="18"/>
          <w:szCs w:val="18"/>
          <w:color w:val="auto"/>
        </w:rPr>
        <w:t>Depreciation and amortization expense for the three months ended March 31, 2021 and 2020 was approximately $0.2 million and $0.1 million, respectively. At March 31, 2021 and December 31, 2020, the gross book value of assets under capital lease was $1.6 million and $1.2 million, respectively, and is classified in "Laboratory equipment" in the table above.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2021</w:t>
            </w:r>
          </w:p>
        </w:tc>
        <w:tc>
          <w:tcPr>
            <w:tcW w:w="200" w:type="dxa"/>
            <w:vAlign w:val="bottom"/>
          </w:tcPr>
          <w:p>
            <w:pPr>
              <w:spacing w:after="0"/>
              <w:rPr>
                <w:sz w:val="15"/>
                <w:szCs w:val="15"/>
                <w:color w:val="auto"/>
              </w:rPr>
            </w:pPr>
          </w:p>
        </w:tc>
        <w:tc>
          <w:tcPr>
            <w:tcW w:w="1560" w:type="dxa"/>
            <w:vAlign w:val="bottom"/>
          </w:tcPr>
          <w:p>
            <w:pPr>
              <w:jc w:val="right"/>
              <w:ind w:right="241"/>
              <w:spacing w:after="0"/>
              <w:rPr>
                <w:sz w:val="20"/>
                <w:szCs w:val="20"/>
                <w:color w:val="auto"/>
              </w:rPr>
            </w:pPr>
            <w:r>
              <w:rPr>
                <w:rFonts w:ascii="Arial" w:cs="Arial" w:eastAsia="Arial" w:hAnsi="Arial"/>
                <w:sz w:val="13"/>
                <w:szCs w:val="13"/>
                <w:b w:val="1"/>
                <w:bCs w:val="1"/>
                <w:color w:val="auto"/>
              </w:rPr>
              <w:t>December 31, 2020</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payroll and related expenses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3,589</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147</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purchases of goods and services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Accrued royalties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221</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clinical study activity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Capital lease obligations, current portion</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color w:val="auto"/>
              </w:rPr>
              <w:t>308</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953</w:t>
            </w:r>
          </w:p>
        </w:tc>
      </w:tr>
      <w:tr>
        <w:trPr>
          <w:trHeight w:val="206"/>
        </w:trPr>
        <w:tc>
          <w:tcPr>
            <w:tcW w:w="7600" w:type="dxa"/>
            <w:vAlign w:val="bottom"/>
          </w:tcPr>
          <w:p>
            <w:pPr>
              <w:ind w:left="20"/>
              <w:spacing w:after="0"/>
              <w:rPr>
                <w:sz w:val="20"/>
                <w:szCs w:val="20"/>
                <w:color w:val="auto"/>
              </w:rPr>
            </w:pPr>
            <w:r>
              <w:rPr>
                <w:rFonts w:ascii="Arial" w:cs="Arial" w:eastAsia="Arial" w:hAnsi="Arial"/>
                <w:sz w:val="16"/>
                <w:szCs w:val="16"/>
                <w:color w:val="auto"/>
              </w:rPr>
              <w:t>Accrued and other current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5,757</w:t>
            </w:r>
          </w:p>
        </w:tc>
      </w:tr>
      <w:tr>
        <w:trPr>
          <w:trHeight w:val="24"/>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At March 31, 2021, no additional amounts remain available to borrow under the 2017 Term Loan.</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November 2019, the Company executed the First Amendment to the Loan and Security Agreement (the 2017 Loan Amendment). The interest rate on all borrowings under the Loan Amendment is 8.5%, of which 2.0% is paid in-kind in the form of additional term loans (PIK Loans) until December of 2022, after which interest accrues at an annual rate of 8.5%. The Company has estimated the effective interest rate of this loan to be approximately 10%. Accrued interest is due and payable monthly, unless the Company elects to pay paid-in-kind interest. The outstanding principal and accrued interest on the Loan Amendment will be repaid in twenty-four equal monthly installments commencing in December 2022. Upon repayment of the final installment under the Loan Amendment, the Company is required to pay an additional fee of $1.0 million. This obligation is being accreted into interest expense over the term of Loan Amendment using the effective interest method. For each of the three months ended March 31, 2021 and 2020, the Company issued PIK Loans totaling $0.1 million.</w:t>
      </w:r>
    </w:p>
    <w:p>
      <w:pPr>
        <w:spacing w:after="0" w:line="2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Loan Amendment requires a prepayment premium of 3% of the aggregate outstanding principal. The prepayment premium decreases by 1% during each subsequent twelve-month period after November 19, 2020.</w:t>
      </w:r>
    </w:p>
    <w:p>
      <w:pPr>
        <w:spacing w:after="0" w:line="19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Loan Amendment is collateralized by a first priority security interest in substantially all of the Company's assets, including intellectual property. The affirmative covenants of the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20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affirmative covenants require that the Company achieve a specified level of revenue, as measured quarterly on a rolling twelve-month basis. The consequences of failing to achieve the performance covenant may be cured if, within sixty days of failing to achieve the performance covenant, the Company issues additional equity securities 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 w:name="page15"/>
    <w:bookmarkEnd w:id="14"/>
    <w:p>
      <w:pPr>
        <w:ind w:right="20"/>
        <w:spacing w:after="0" w:line="291" w:lineRule="auto"/>
        <w:rPr>
          <w:sz w:val="20"/>
          <w:szCs w:val="20"/>
          <w:color w:val="auto"/>
        </w:rPr>
      </w:pPr>
      <w:r>
        <w:rPr>
          <w:rFonts w:ascii="Arial" w:cs="Arial" w:eastAsia="Arial" w:hAnsi="Arial"/>
          <w:sz w:val="17"/>
          <w:szCs w:val="17"/>
          <w:color w:val="auto"/>
        </w:rPr>
        <w:t>subordinated debt with net proceeds sufficient to fund any cash flow deficiency generated from operations, as defined. The Loan Amendment requires that the Company maintain certain levels of minimum liquidity and maintains an unrestricted cash balance of $2.0 million.</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Loan Amendment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the Company was in compliance with all covenants of the Loan Amendment.</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an event of default in any of the Loan Amendment covenants, the repayment of the Loan Amendment may be accelerated, and the applicable interest rate will be increased by 4.0% until the default is cured. Although repayment of the Loan Amendment can be accelerated under certain circumstances, the Company believes acceleration of this loan is not probable as of the date of these condensed financial statements. Accordingly, the Company has reflected the amounts of the Loan Amendment due beyond twelve months of the balance sheet date as non-current.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43"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March 31, 2021, future minimum aggregate payments, including interest, for outstanding borrowings under the Loan Amendment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March 31, 2021</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 (remaining)</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w:t>
            </w:r>
          </w:p>
        </w:tc>
      </w:tr>
      <w:tr>
        <w:trPr>
          <w:trHeight w:val="189"/>
        </w:trPr>
        <w:tc>
          <w:tcPr>
            <w:tcW w:w="9440" w:type="dxa"/>
            <w:vAlign w:val="bottom"/>
          </w:tcPr>
          <w:p>
            <w:pPr>
              <w:ind w:left="20"/>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2,996</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r>
      <w:tr>
        <w:trPr>
          <w:trHeight w:val="189"/>
        </w:trPr>
        <w:tc>
          <w:tcPr>
            <w:tcW w:w="9440" w:type="dxa"/>
            <w:vAlign w:val="bottom"/>
          </w:tcPr>
          <w:p>
            <w:pPr>
              <w:ind w:left="20"/>
              <w:spacing w:after="0"/>
              <w:rPr>
                <w:sz w:val="20"/>
                <w:szCs w:val="20"/>
                <w:color w:val="auto"/>
              </w:rPr>
            </w:pPr>
            <w:r>
              <w:rPr>
                <w:rFonts w:ascii="Arial" w:cs="Arial" w:eastAsia="Arial" w:hAnsi="Arial"/>
                <w:sz w:val="14"/>
                <w:szCs w:val="14"/>
                <w:color w:val="auto"/>
              </w:rPr>
              <w:t>2024</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14,280</w:t>
            </w:r>
          </w:p>
        </w:tc>
      </w:tr>
      <w:tr>
        <w:trPr>
          <w:trHeight w:val="189"/>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34,221</w:t>
            </w:r>
          </w:p>
        </w:tc>
      </w:tr>
      <w:tr>
        <w:trPr>
          <w:trHeight w:val="189"/>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9"/>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2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189"/>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2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w:t>
            </w:r>
          </w:p>
        </w:tc>
      </w:tr>
      <w:tr>
        <w:trPr>
          <w:trHeight w:val="183"/>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26,864</w:t>
            </w:r>
          </w:p>
        </w:tc>
      </w:tr>
      <w:tr>
        <w:trPr>
          <w:trHeight w:val="21"/>
        </w:trPr>
        <w:tc>
          <w:tcPr>
            <w:tcW w:w="9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March 31, 2021, the Company leases office and laboratory space in Vista, California, under leases that expire in January 2026, with an option to extend a portion of the lease for an additional 5-year period. In addition, the Company also leases additional office space in Vista, California, under a lease that expires in January 2026 with an option to extend the lease for an additional 5-year period. The Company's lease payments under each of these leases are subject to escalation clauses.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and 2020, rent expense was $0.2 million and $0.1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5" w:name="page16"/>
    <w:bookmarkEnd w:id="15"/>
    <w:p>
      <w:pPr>
        <w:ind w:right="140"/>
        <w:spacing w:after="0" w:line="253"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As of March 31, 2021 and December 31, 2020, the remaining milestone obligation is for an additional $2.0 million payment due to Prometheus Laboratories, Inc. (Prometheus) for which the fair value was determined to be zero at March 31, 2021 and December 31, 2020.</w:t>
      </w:r>
    </w:p>
    <w:p>
      <w:pPr>
        <w:spacing w:after="0" w:line="20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the Company has ongoing royalty payment obligations on net sales of products which incorporate certain acquired technologies of 2.5%. Future royalties payable under these arrangements are limited to the lesser of an aggregate of $1.2 million (including an upfront payment of $100,000) or the total royalties earned through January 1,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2.0% to 3.0%. Royalties are accrued when earned and recorded in costs of revenue in the accompanying condensed statement of operations.</w:t>
      </w:r>
    </w:p>
    <w:p>
      <w:pPr>
        <w:spacing w:after="0" w:line="20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Subsequent to the first quarter of 2021, the Company entered into an exclusive license agreement with Allegheny Health Network Research Institute, or AHN, to obtain an exclusive license to AHN's patent rights in certain inventions, or the AGN Patent Rights, in May 2021, pursuant to which the Company is required to pay AHN an initial license fee of $0.4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September 2020, the Company entered into an amended supply agreement with one supplier for reagents which includes minimum annual purchase commitments of $ 4.1 million and $6.0 million for the years ended December 31, 2021 and 2022, respectively, with a 15% annual increase thereafter through the year ended December 31,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4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Subsequent to the first quarter 2021, the Company entered into a master research collaboration agreement with AHN in May 2021, pursuant to which the Company is required to pay AGN a collaboration fee of $0.4 million for each year during the initial term of the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of which of the Company believes to be immaterial. The Company accrues a liability for such matters when it is probable that future expenditures will be made and such expenditures can be reasonably estimated.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may be subject to various legal proceedings that arise in the ordinary course of business activities.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left="8260"/>
        <w:spacing w:after="0"/>
        <w:rPr>
          <w:sz w:val="20"/>
          <w:szCs w:val="20"/>
          <w:color w:val="auto"/>
        </w:rPr>
      </w:pPr>
      <w:r>
        <w:rPr>
          <w:rFonts w:ascii="Arial" w:cs="Arial" w:eastAsia="Arial" w:hAnsi="Arial"/>
          <w:sz w:val="13"/>
          <w:szCs w:val="13"/>
          <w:b w:val="1"/>
          <w:bCs w:val="1"/>
          <w:color w:val="auto"/>
        </w:rPr>
        <w:t>March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1300" w:type="dxa"/>
            <w:vAlign w:val="bottom"/>
            <w:tcBorders>
              <w:top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Level 1</w:t>
            </w: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Level 2</w:t>
            </w: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72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107,983</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107,983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7"/>
        </w:trPr>
        <w:tc>
          <w:tcPr>
            <w:tcW w:w="4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w w:val="95"/>
              </w:rPr>
              <w:t>December 31, 2020</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w:t>
            </w:r>
          </w:p>
        </w:tc>
        <w:tc>
          <w:tcPr>
            <w:tcW w:w="1600" w:type="dxa"/>
            <w:vAlign w:val="bottom"/>
            <w:gridSpan w:val="3"/>
          </w:tcPr>
          <w:p>
            <w:pPr>
              <w:ind w:left="800"/>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b w:val="1"/>
                <w:bCs w:val="1"/>
                <w:color w:val="auto"/>
              </w:rPr>
              <w:t>Level 2</w:t>
            </w:r>
          </w:p>
        </w:tc>
        <w:tc>
          <w:tcPr>
            <w:tcW w:w="30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3"/>
        </w:trPr>
        <w:tc>
          <w:tcPr>
            <w:tcW w:w="46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80" w:type="dxa"/>
            <w:vAlign w:val="bottom"/>
          </w:tcPr>
          <w:p>
            <w:pPr>
              <w:ind w:left="800"/>
              <w:spacing w:after="0" w:line="153" w:lineRule="exact"/>
              <w:rPr>
                <w:sz w:val="20"/>
                <w:szCs w:val="20"/>
                <w:color w:val="auto"/>
              </w:rPr>
            </w:pPr>
            <w:r>
              <w:rPr>
                <w:rFonts w:ascii="Arial" w:cs="Arial" w:eastAsia="Arial" w:hAnsi="Arial"/>
                <w:sz w:val="14"/>
                <w:szCs w:val="14"/>
                <w:color w:val="auto"/>
              </w:rPr>
              <w:t>Money market funds, included in cash and cash</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34,507</w:t>
            </w:r>
          </w:p>
        </w:tc>
        <w:tc>
          <w:tcPr>
            <w:tcW w:w="120" w:type="dxa"/>
            <w:vAlign w:val="bottom"/>
          </w:tcPr>
          <w:p>
            <w:pPr>
              <w:spacing w:after="0"/>
              <w:rPr>
                <w:sz w:val="13"/>
                <w:szCs w:val="13"/>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color w:val="auto"/>
              </w:rPr>
              <w:t>34,507</w:t>
            </w:r>
          </w:p>
        </w:tc>
        <w:tc>
          <w:tcPr>
            <w:tcW w:w="7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0" w:type="dxa"/>
            <w:vAlign w:val="bottom"/>
            <w:gridSpan w:val="4"/>
            <w:vMerge w:val="restart"/>
          </w:tcPr>
          <w:p>
            <w:pPr>
              <w:ind w:left="54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4680" w:type="dxa"/>
            <w:vAlign w:val="bottom"/>
          </w:tcPr>
          <w:p>
            <w:pPr>
              <w:ind w:left="360"/>
              <w:spacing w:after="0"/>
              <w:rPr>
                <w:sz w:val="20"/>
                <w:szCs w:val="20"/>
                <w:color w:val="auto"/>
              </w:rPr>
            </w:pPr>
            <w:r>
              <w:rPr>
                <w:rFonts w:ascii="Arial" w:cs="Arial" w:eastAsia="Arial" w:hAnsi="Arial"/>
                <w:sz w:val="14"/>
                <w:szCs w:val="14"/>
                <w:color w:val="auto"/>
              </w:rPr>
              <w:t>equivalents</w:t>
            </w:r>
          </w:p>
        </w:tc>
        <w:tc>
          <w:tcPr>
            <w:tcW w:w="72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20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On March 25, 2021, the Company completed a public offering of 4,255,000 shares of its common stock at a public offering price of $16.25 per share. Net proceeds from the offering were approximately $64.7 million, after deducting underwriting discounts and commissions and offering expenses of $4.4 million. The shares were registered pursuant to the Company's Shelf Registration Statement discussed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March 31,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Shares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83"/>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69,176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6"/>
                <w:szCs w:val="16"/>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18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84"/>
        </w:trPr>
        <w:tc>
          <w:tcPr>
            <w:tcW w:w="32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426,827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 Option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4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Incentive Award Plan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As of March 31, 2021, 1,391,215 shares remained available for future awards.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7" w:name="page18"/>
    <w:bookmarkEnd w:id="17"/>
    <w:p>
      <w:pPr>
        <w:ind w:right="20"/>
        <w:spacing w:after="0" w:line="254" w:lineRule="auto"/>
        <w:rPr>
          <w:sz w:val="20"/>
          <w:szCs w:val="20"/>
          <w:color w:val="auto"/>
        </w:rPr>
      </w:pPr>
      <w:r>
        <w:rPr>
          <w:rFonts w:ascii="Arial" w:cs="Arial" w:eastAsia="Arial" w:hAnsi="Arial"/>
          <w:sz w:val="18"/>
          <w:szCs w:val="18"/>
          <w:color w:val="auto"/>
        </w:rPr>
        <w:t>In September 2019, the Board of Directors adopted, and the Company's stockholders approved, the Employee Stock Purchase Plan (the ESPP). The ESPP became effective on the day the ESPP was adopted by the Company's Board of Directors. The ESPP permits participants to purchase common stock through payroll deductions of up to 20% of their eligible compensation. As of March 31, 2021, 345,493 shares remained available for issuance under the ESPP.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3"/>
              </w:rPr>
              <w:t>Average</w:t>
            </w:r>
          </w:p>
        </w:tc>
        <w:tc>
          <w:tcPr>
            <w:tcW w:w="200" w:type="dxa"/>
            <w:vAlign w:val="bottom"/>
          </w:tcPr>
          <w:p>
            <w:pPr>
              <w:spacing w:after="0"/>
              <w:rPr>
                <w:sz w:val="10"/>
                <w:szCs w:val="10"/>
                <w:color w:val="auto"/>
              </w:rPr>
            </w:pPr>
          </w:p>
        </w:tc>
        <w:tc>
          <w:tcPr>
            <w:tcW w:w="106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1"/>
        </w:trPr>
        <w:tc>
          <w:tcPr>
            <w:tcW w:w="5400" w:type="dxa"/>
            <w:vAlign w:val="bottom"/>
          </w:tcPr>
          <w:p>
            <w:pPr>
              <w:spacing w:after="0"/>
              <w:rPr>
                <w:sz w:val="10"/>
                <w:szCs w:val="10"/>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640" w:type="dxa"/>
            <w:vAlign w:val="bottom"/>
            <w:gridSpan w:val="2"/>
          </w:tcPr>
          <w:p>
            <w:pPr>
              <w:jc w:val="center"/>
              <w:ind w:right="120"/>
              <w:spacing w:after="0" w:line="122" w:lineRule="exact"/>
              <w:rPr>
                <w:sz w:val="20"/>
                <w:szCs w:val="20"/>
                <w:color w:val="auto"/>
              </w:rPr>
            </w:pPr>
            <w:r>
              <w:rPr>
                <w:rFonts w:ascii="Arial" w:cs="Arial" w:eastAsia="Arial" w:hAnsi="Arial"/>
                <w:sz w:val="13"/>
                <w:szCs w:val="13"/>
                <w:b w:val="1"/>
                <w:bCs w:val="1"/>
                <w:color w:val="auto"/>
                <w:w w:val="96"/>
              </w:rPr>
              <w:t>Remaining</w:t>
            </w: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4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Average</w:t>
            </w:r>
          </w:p>
        </w:tc>
        <w:tc>
          <w:tcPr>
            <w:tcW w:w="16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6"/>
              </w:rPr>
              <w:t>Contractual</w:t>
            </w:r>
          </w:p>
        </w:tc>
        <w:tc>
          <w:tcPr>
            <w:tcW w:w="200" w:type="dxa"/>
            <w:vAlign w:val="bottom"/>
          </w:tcPr>
          <w:p>
            <w:pPr>
              <w:spacing w:after="0"/>
              <w:rPr>
                <w:sz w:val="10"/>
                <w:szCs w:val="10"/>
                <w:color w:val="auto"/>
              </w:rPr>
            </w:pPr>
          </w:p>
        </w:tc>
        <w:tc>
          <w:tcPr>
            <w:tcW w:w="1060" w:type="dxa"/>
            <w:vAlign w:val="bottom"/>
          </w:tcPr>
          <w:p>
            <w:pPr>
              <w:jc w:val="center"/>
              <w:ind w:right="132"/>
              <w:spacing w:after="0" w:line="122"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2"/>
        </w:trPr>
        <w:tc>
          <w:tcPr>
            <w:tcW w:w="54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Options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6"/>
              </w:rPr>
              <w:t>Exercise Price</w:t>
            </w:r>
          </w:p>
        </w:tc>
        <w:tc>
          <w:tcPr>
            <w:tcW w:w="1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Term (Years)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86"/>
        </w:trPr>
        <w:tc>
          <w:tcPr>
            <w:tcW w:w="5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1,975,761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6,750</w:t>
            </w: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88,750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18.20</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60" w:type="dxa"/>
            <w:vAlign w:val="bottom"/>
          </w:tcPr>
          <w:p>
            <w:pPr>
              <w:jc w:val="right"/>
              <w:spacing w:after="0"/>
              <w:rPr>
                <w:sz w:val="20"/>
                <w:szCs w:val="20"/>
                <w:color w:val="auto"/>
              </w:rPr>
            </w:pPr>
            <w:r>
              <w:rPr>
                <w:rFonts w:ascii="Arial" w:cs="Arial" w:eastAsia="Arial" w:hAnsi="Arial"/>
                <w:sz w:val="14"/>
                <w:szCs w:val="14"/>
                <w:color w:val="auto"/>
              </w:rPr>
              <w:t>(17,197)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w:t>
            </w: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Outstanding, March 31, 2021</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2,041,580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13,247</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Vested and expected to vest, March 31, 2021</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2,041,580</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1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13,247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March 31, 2021</w:t>
            </w: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0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665,878</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6,013</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As of March 31, 2021, total unrecognized compensation cost related to option awards was $8.8 million, which is expected to be recognized over a remaining weighted-average vesting period of 2.6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40" w:type="dxa"/>
            <w:vAlign w:val="bottom"/>
          </w:tcPr>
          <w:p>
            <w:pPr>
              <w:spacing w:after="0"/>
              <w:rPr>
                <w:sz w:val="12"/>
                <w:szCs w:val="12"/>
                <w:color w:val="auto"/>
              </w:rPr>
            </w:pPr>
          </w:p>
        </w:tc>
        <w:tc>
          <w:tcPr>
            <w:tcW w:w="1620" w:type="dxa"/>
            <w:vAlign w:val="bottom"/>
            <w:vMerge w:val="restart"/>
          </w:tcPr>
          <w:p>
            <w:pPr>
              <w:jc w:val="right"/>
              <w:ind w:right="431"/>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Weighted-</w:t>
            </w:r>
          </w:p>
        </w:tc>
        <w:tc>
          <w:tcPr>
            <w:tcW w:w="300" w:type="dxa"/>
            <w:vAlign w:val="bottom"/>
          </w:tcPr>
          <w:p>
            <w:pPr>
              <w:spacing w:after="0"/>
              <w:rPr>
                <w:sz w:val="12"/>
                <w:szCs w:val="12"/>
                <w:color w:val="auto"/>
              </w:rPr>
            </w:pPr>
          </w:p>
        </w:tc>
        <w:tc>
          <w:tcPr>
            <w:tcW w:w="1340" w:type="dxa"/>
            <w:vAlign w:val="bottom"/>
          </w:tcPr>
          <w:p>
            <w:pPr>
              <w:jc w:val="center"/>
              <w:ind w:right="213"/>
              <w:spacing w:after="0"/>
              <w:rPr>
                <w:sz w:val="20"/>
                <w:szCs w:val="20"/>
                <w:color w:val="auto"/>
              </w:rPr>
            </w:pPr>
            <w:r>
              <w:rPr>
                <w:rFonts w:ascii="Arial" w:cs="Arial" w:eastAsia="Arial" w:hAnsi="Arial"/>
                <w:sz w:val="13"/>
                <w:szCs w:val="13"/>
                <w:b w:val="1"/>
                <w:bCs w:val="1"/>
                <w:color w:val="auto"/>
                <w:w w:val="96"/>
              </w:rPr>
              <w:t>Aggregate</w:t>
            </w:r>
          </w:p>
        </w:tc>
        <w:tc>
          <w:tcPr>
            <w:tcW w:w="0" w:type="dxa"/>
            <w:vAlign w:val="bottom"/>
          </w:tcPr>
          <w:p>
            <w:pPr>
              <w:spacing w:after="0"/>
              <w:rPr>
                <w:sz w:val="1"/>
                <w:szCs w:val="1"/>
                <w:color w:val="auto"/>
              </w:rPr>
            </w:pPr>
          </w:p>
        </w:tc>
      </w:tr>
      <w:tr>
        <w:trPr>
          <w:trHeight w:val="121"/>
        </w:trPr>
        <w:tc>
          <w:tcPr>
            <w:tcW w:w="624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Average</w:t>
            </w:r>
          </w:p>
        </w:tc>
        <w:tc>
          <w:tcPr>
            <w:tcW w:w="300" w:type="dxa"/>
            <w:vAlign w:val="bottom"/>
          </w:tcPr>
          <w:p>
            <w:pPr>
              <w:spacing w:after="0"/>
              <w:rPr>
                <w:sz w:val="10"/>
                <w:szCs w:val="10"/>
                <w:color w:val="auto"/>
              </w:rPr>
            </w:pPr>
          </w:p>
        </w:tc>
        <w:tc>
          <w:tcPr>
            <w:tcW w:w="1340" w:type="dxa"/>
            <w:vAlign w:val="bottom"/>
          </w:tcPr>
          <w:p>
            <w:pPr>
              <w:jc w:val="center"/>
              <w:ind w:right="233"/>
              <w:spacing w:after="0" w:line="122" w:lineRule="exact"/>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72"/>
        </w:trPr>
        <w:tc>
          <w:tcPr>
            <w:tcW w:w="62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6"/>
              </w:rPr>
              <w:t>Grant Date Fair Value</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2020</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185,000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18.20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March 31, 2021</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quarter ended March 31, 2021, the Company awarded 185,000 RSUs at a weighted-average grant date fair value per share of $18.20 to certain employees, all of which are outstanding and unvested as of March 31, 2021. As of March 31, 2021, total unrecognized compensation cost related to restricted stock units was $3.3 million, which is expected to be recognized over a remaining weighted-average vesting period of 3.9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88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Three Months Ended March 31,</w:t>
            </w:r>
          </w:p>
        </w:tc>
      </w:tr>
      <w:tr>
        <w:trPr>
          <w:trHeight w:val="172"/>
        </w:trPr>
        <w:tc>
          <w:tcPr>
            <w:tcW w:w="8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47%-50%</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0.6%-1.7%</w:t>
            </w: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6.08</w:t>
            </w: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88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Three Months Ended March 31,</w:t>
            </w:r>
          </w:p>
        </w:tc>
      </w:tr>
      <w:tr>
        <w:trPr>
          <w:trHeight w:val="172"/>
        </w:trPr>
        <w:tc>
          <w:tcPr>
            <w:tcW w:w="8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58%</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1.1%</w:t>
            </w: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0.50</w:t>
            </w:r>
          </w:p>
        </w:tc>
      </w:tr>
    </w:tbl>
    <w:p>
      <w:pPr>
        <w:spacing w:after="0" w:line="29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Stock-based compensation expense for the ESPP was immaterial for the three months ended March 31, 2021 and 2020. As of March 31, 2021, total unrecognized compensation cost related to stock purchase rights granted under the ESPP $0.1 million, which is expected to be recognized over a remaining weighted-average vesting period of 0.4 years.</w:t>
      </w:r>
    </w:p>
    <w:p>
      <w:pPr>
        <w:spacing w:after="0" w:line="20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 of operations is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3"/>
                <w:szCs w:val="13"/>
                <w:b w:val="1"/>
                <w:bCs w:val="1"/>
                <w:color w:val="auto"/>
              </w:rPr>
              <w:t>Three Months Ended March 31,</w:t>
            </w:r>
          </w:p>
        </w:tc>
        <w:tc>
          <w:tcPr>
            <w:tcW w:w="420" w:type="dxa"/>
            <w:vAlign w:val="bottom"/>
            <w:tcBorders>
              <w:bottom w:val="single" w:sz="8" w:color="auto"/>
            </w:tcBorders>
          </w:tcPr>
          <w:p>
            <w:pPr>
              <w:spacing w:after="0"/>
              <w:rPr>
                <w:sz w:val="15"/>
                <w:szCs w:val="15"/>
                <w:color w:val="auto"/>
              </w:rPr>
            </w:pPr>
          </w:p>
        </w:tc>
      </w:tr>
      <w:tr>
        <w:trPr>
          <w:trHeight w:val="172"/>
        </w:trPr>
        <w:tc>
          <w:tcPr>
            <w:tcW w:w="83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4"/>
                <w:szCs w:val="14"/>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960" w:type="dxa"/>
            <w:vAlign w:val="bottom"/>
            <w:shd w:val="clear" w:color="auto" w:fill="CCEEFF"/>
          </w:tcPr>
          <w:p>
            <w:pPr>
              <w:jc w:val="right"/>
              <w:ind w:right="813"/>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83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422</w:t>
            </w: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2"/>
        </w:trPr>
        <w:tc>
          <w:tcPr>
            <w:tcW w:w="8360" w:type="dxa"/>
            <w:vAlign w:val="bottom"/>
          </w:tcPr>
          <w:p>
            <w:pPr>
              <w:ind w:left="2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r>
      <w:tr>
        <w:trPr>
          <w:trHeight w:val="21"/>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COVID-19</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2020, due to the worldwide COVID-19 pandemic, the Company experienced a reduction in patient test volumes, delays in patient enrollment in ongoing and planned clinical studies, and delays in the procurement of its testing supplies. In response to the pandemic, the Company has curtailed non-essential employee travel, equipped employees with the ability to work remotely with the exception of clinical laboratory employees, and reduced marketing spend and employee headcount.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and international markets.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On March 27, 2020, the Coronavirus Aid, Relief, and Economic Security Act (CARES Act) was enacted in response to the COVID-19 pandemic. The CARES Act, among other things, permits NOL carryovers and carrybacks to offset 100% of taxable income for taxable years beginning before 2021. The CARES Act did not have a material impact on the Company's effective tax rate or income tax provision for the three months ended March 31, 2020. Under the Tax Cuts and Jobs Act (TCJA), NOLs generated post TCJA were allowed to be carried forward indefinitely but were only allowed to offset 80% of taxable income. As a result of the CARES Act and the change to permit NOLs generated in taxable years 2018, 2019 and 2020 to offset 100% of taxable income, the Company released valuation allowance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8" w:right="339" w:bottom="1440" w:gutter="0" w:footer="0" w:header="0"/>
        </w:sectPr>
      </w:pPr>
    </w:p>
    <w:bookmarkStart w:id="19" w:name="page20"/>
    <w:bookmarkEnd w:id="19"/>
    <w:p>
      <w:pPr>
        <w:ind w:right="840"/>
        <w:spacing w:after="0" w:line="246" w:lineRule="auto"/>
        <w:rPr>
          <w:sz w:val="20"/>
          <w:szCs w:val="20"/>
          <w:color w:val="auto"/>
        </w:rPr>
      </w:pPr>
      <w:r>
        <w:rPr>
          <w:rFonts w:ascii="Arial" w:cs="Arial" w:eastAsia="Arial" w:hAnsi="Arial"/>
          <w:sz w:val="18"/>
          <w:szCs w:val="18"/>
          <w:color w:val="auto"/>
        </w:rPr>
        <w:t>against its deferred tax assets in the amount of $0.1 million. The release of valuation allowance resulted in a discrete tax benefit of $0.1 million in the first quarter of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On December 27, 2020, the Consolidated Appropriations Act, 2021 was signed into law. It provides additional COVID-19 focused relief and extends certain provisions of the CARES Act. At this time, the Company does not believe that the Consolidated Appropriations Act, 2021 has a material impact on its financial statements.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2020 included in our Annual Report on Form 10-K for the year ended December 31, 2020, as amended.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our ability to implement an integrated testing and therapeutics strategy, the expected benefits from our partnerships or promotion arrangements with third-parties,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systemic lupus erythematosus, or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1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81% and 83% of our revenue for the three months ended March 31, 2021 and 2020,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22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In December 2018 we entered into the co-promotion agreement, or the Janssen Agreement, with Janssen Biotech, Inc., or Janssen, to exclusively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order to advance our integrated testing and therapeutics strategy and we began direct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January 2019.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$0.3 million and no revenue for the three months ended March 31, 2021 and 2020, respectively, with our quarterly tiered promotion fee based on the incremental increase in total prescribed units above a predetermined average baseline. See "-</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1" w:name="page22"/>
    <w:bookmarkEnd w:id="21"/>
    <w:p>
      <w:pPr>
        <w:spacing w:after="0" w:line="252" w:lineRule="auto"/>
        <w:rPr>
          <w:sz w:val="20"/>
          <w:szCs w:val="20"/>
          <w:color w:val="auto"/>
        </w:rPr>
      </w:pPr>
      <w:r>
        <w:rPr>
          <w:rFonts w:ascii="Arial" w:cs="Arial" w:eastAsia="Arial" w:hAnsi="Arial"/>
          <w:sz w:val="18"/>
          <w:szCs w:val="18"/>
          <w:color w:val="auto"/>
        </w:rPr>
        <w:t>Janssen Promotion Agreement" below for additional terms of the agreement. We also have agreements with GlaxoSmithKline plc., or GSK, Covance Inc. and Parexel,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Duke University and Emory University as well as the Lupus Foundation of America, to help improve the quality of life for people affected by autoimmune diseases through programs of research, education, support and advocacy. We plan to pursue additional strategic partnerships that are synergistic with our evolving portfolio of testing products.</w:t>
      </w:r>
    </w:p>
    <w:p>
      <w:pPr>
        <w:spacing w:after="0" w:line="1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10,000 square foot clinical laboratory, which is certified under the Clinical Laboratory Improvement Amendments of 1988, or CLIA, by the Centers for Medicare and Medicaid Services, or CMS, and accredited by the College of American Pathologists, or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half of 2021, we expect to begin the conversion of approximately 8,000 square feet of warehouse space into additional clinical laboratory and research and development facility space, which is expected to be completed in the first half of 2022.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w:t>
      </w:r>
    </w:p>
    <w:p>
      <w:pPr>
        <w:spacing w:after="0" w:line="20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market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using our specialized sales force. As of March 31, 2021, we have a sales force of 60 representatives covering a total of 63 territories. Unlike many diagnostic sales forces that are trained only to understand the comparative benefits of their tests, the specialized backgrounds of our sales force 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devoted substantially all our efforts developing and marketing products for the diagnosis, prognosis and monitoring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autoimmune diseases. Although our revenue has increased sequentially year over year, we have never been profitable and,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2021 we had an accumulated deficit of $187.5 million. We incurred net losses of $6.2 million and $5.6 million for the three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2021 and 2020, respectively. We expect to continue to incur operating losses in the near term as our 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increase to support the growth of our business, as well as additional costs associated with being a public company. We have funded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operations primarily through equity and debt financings and revenue from sales of our products. We completed our initial public offering,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IPO, in September 2019, raising net proceeds from the offering of approximately $50.4 million, net of underwriting discounts, commissions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other offering expenses, for aggregate expenses of approximately $7.5 million. In March 2021, we completed a public offering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4,255,000 shares of our common stock at a public offering price of $16.25 per share. Net proceeds from the offering were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$64.7 million, net of underwriting discounts and commissions and offering costs of $4.4 million. As of March 31, 2021, we had $118.1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restricting business functions outside of one's home, restricting gatherings, restricting travel, and mandating social distancing and face coverings. Certain jurisdictions have begun a phased re-opening, although the</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2" w:name="page23"/>
    <w:bookmarkEnd w:id="22"/>
    <w:p>
      <w:pPr>
        <w:spacing w:after="0" w:line="226" w:lineRule="auto"/>
        <w:rPr>
          <w:sz w:val="20"/>
          <w:szCs w:val="20"/>
          <w:color w:val="auto"/>
        </w:rPr>
      </w:pPr>
      <w:r>
        <w:rPr>
          <w:rFonts w:ascii="Arial" w:cs="Arial" w:eastAsia="Arial" w:hAnsi="Arial"/>
          <w:sz w:val="18"/>
          <w:szCs w:val="18"/>
          <w:color w:val="auto"/>
        </w:rPr>
        <w:t>potential to return to prior restrictions remains if there are increases in new COVID-19 cases in the future. Even in areas where "stay-at-home" restrictions have been lifted and the number of COVID-19 cases have declined, many individuals remain cautious about resuming activities such as preventative-care medical visits. As a result of COVID-19 related limitations and reordering of priorities across the U.S. healthcare system, a reduction in patient flow occurred and our test volumes began to 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We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fourth quarter 2020. For the three months ended March 31, 2021 as compared to the same period in 2020, we experienced 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volume increase of approximately 7%. However, the continued spread of COVID-19 may adversely affect testing volumes in future periods, the extent of which is highly uncertain.</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volume-based pricing discounts with our key suppliers and absorb fixed laboratory expenses. For example, we have experienced delays in patient enrollment for ongoing and planned clinical studies involving our tests, which may delay or prevent launch of future test products. We have also experienced delays in procurement of our testing supplies due to suppliers rationing testing supplies and prioritizing COVID-19 testing in the first quarter of 2021, which may continue into the future, and our partners, including Janssen, may also experience a disruption in their ability to readily obtain supply. Our sales force has been, and for an extended period of time may continue to be limited to their in-person interactions with healthcare providers, and therefore, also limited their ability to engage in various types of healthcare provider education activities.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portion of our workforce which has been working remotely in an effort to reduce the spread of COVID-19, may be infected from the virus or otherwise distracted. We may also face increased competition for laboratory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20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response to the COVID-19 pandemic, we initially curtailed non-essential travel and have equipped most of our employees with the ability to work remotely with the exception of our clinical laboratory employees, and implemented measures to protect the health of our employees and to support the functionality of our clinical laboratory, such as providing personal protective equipment (including face masks or shields) and maintaining social distancing. In addition, in the second quarter of 2020, our sales force recommenced certain field-based interactions and scaled marketing spend, although access to healthcare providers remains limited and the use of virtual sales tools has increased. From March 2020 through December 31, 2020, as a result of the COVID-19 pandemic, we terminated our temporary employees and 18 full-time employees, which included three employees at the vice president level. The full extent of which the COVID-19 pandemic will directly or indirectly continue to impact our business, results of operations and financial condition, will depend on future developments that are highly uncertain, including as a result of new information that may emerge concerning COVID-19 and the actions taken to contain it or treat COVID-19, as well as the economic impact on local, regional, national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84" w:lineRule="exact"/>
        <w:rPr>
          <w:sz w:val="20"/>
          <w:szCs w:val="20"/>
          <w:color w:val="auto"/>
        </w:rPr>
      </w:pPr>
    </w:p>
    <w:p>
      <w:pPr>
        <w:ind w:left="660" w:right="40" w:hanging="328"/>
        <w:spacing w:after="0" w:line="230" w:lineRule="auto"/>
        <w:tabs>
          <w:tab w:leader="none" w:pos="65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March 31, 2021,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over 516,000 of these tests. Through the first quarter of 2021, 29,029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7% growth over the same period in 2020. The number of ordering healthcare providers in the first quarter of 2021 was a record 1,763, representing an approximate 4% increase over the same period in 2020, and we had a record 659 adopting healthcare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3" w:name="page24"/>
    <w:bookmarkEnd w:id="23"/>
    <w:p>
      <w:pPr>
        <w:ind w:left="328" w:right="220"/>
        <w:spacing w:after="0" w:line="250" w:lineRule="auto"/>
        <w:rPr>
          <w:sz w:val="20"/>
          <w:szCs w:val="20"/>
          <w:color w:val="auto"/>
        </w:rPr>
      </w:pPr>
      <w:r>
        <w:rPr>
          <w:rFonts w:ascii="Arial" w:cs="Arial" w:eastAsia="Arial" w:hAnsi="Arial"/>
          <w:sz w:val="18"/>
          <w:szCs w:val="18"/>
          <w:color w:val="auto"/>
        </w:rPr>
        <w:t>providers (defined as those who previously prescribed at least 11 diagnostic tests in the corresponding period) compared to 582 in the same period in 2020. A high percentage of adopting healthcare providers continue to order tests in subsequent quarters, as approximately 99% of adopting healthcare providers from the fourth quarter of 2020 ordered at least one diagnostic test in the first quarter of 2021. Revenue growth for our testing products will depend on our ability to continue to expand our base of ordering healthcare providers and increase our penetration with existing healthcare providers.</w:t>
      </w:r>
    </w:p>
    <w:p>
      <w:pPr>
        <w:spacing w:after="0" w:line="2" w:lineRule="exact"/>
        <w:rPr>
          <w:sz w:val="20"/>
          <w:szCs w:val="20"/>
          <w:color w:val="auto"/>
        </w:rPr>
      </w:pPr>
    </w:p>
    <w:p>
      <w:pPr>
        <w:ind w:left="328" w:right="80" w:hanging="328"/>
        <w:spacing w:after="0" w:line="250"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Historically, we have experienced situations where commercial payers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retrospective reimbursement adjustments can negatively impact our revenue and cause our financial results to fluctuate.</w:t>
      </w:r>
    </w:p>
    <w:p>
      <w:pPr>
        <w:spacing w:after="0" w:line="5" w:lineRule="exact"/>
        <w:rPr>
          <w:rFonts w:ascii="Arial" w:cs="Arial" w:eastAsia="Arial" w:hAnsi="Arial"/>
          <w:sz w:val="18"/>
          <w:szCs w:val="18"/>
          <w:color w:val="auto"/>
        </w:rPr>
      </w:pPr>
    </w:p>
    <w:p>
      <w:pPr>
        <w:ind w:left="328" w:right="60" w:hanging="328"/>
        <w:spacing w:after="0" w:line="217"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We began promoting SIMPONI</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 in January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approximately $0.3 million and no revenue for the three months ended March 31, 2021 and 2020, respectively. We may continue to encounter difficulties in successfully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generating significant revenue under the Janssen Agreement. Our ability to effectively 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will require us to be successful in a range of activities, including creating demand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through our own sales activities as well as those of Janssen. In interest of supporting these efforts we plan to continue to evaluate the reach and frequency of our sales force and the dedication of time and resources to supporting the co-promotion efforts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 compared to other aspects of our business. We expect to encounter difficulties being able to maintain meaningful co-promotion revenue based on sales over the predetermined baseline in 2021 and we may not be successful in materially increasing market share, potentially resulting in the recognition of the minimum promotion fee of $0.3 million in the second quarter of 2021, which would cause us to continue to rely on our existing testing products to drive revenue growth. Additionally, there is no minimum promotion fee for the second half of 2021.</w:t>
      </w:r>
    </w:p>
    <w:p>
      <w:pPr>
        <w:spacing w:after="0" w:line="5" w:lineRule="exact"/>
        <w:rPr>
          <w:rFonts w:ascii="Arial" w:cs="Arial" w:eastAsia="Arial" w:hAnsi="Arial"/>
          <w:sz w:val="18"/>
          <w:szCs w:val="18"/>
          <w:color w:val="auto"/>
        </w:rPr>
      </w:pPr>
    </w:p>
    <w:p>
      <w:pPr>
        <w:ind w:left="328" w:right="20" w:hanging="328"/>
        <w:spacing w:after="0" w:line="234"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ind w:left="328" w:right="80" w:hanging="328"/>
        <w:spacing w:after="0" w:line="250"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Maintain Meaningful Margin</w:t>
      </w:r>
      <w:r>
        <w:rPr>
          <w:rFonts w:ascii="Arial" w:cs="Arial" w:eastAsia="Arial" w:hAnsi="Arial"/>
          <w:sz w:val="18"/>
          <w:szCs w:val="18"/>
          <w:color w:val="auto"/>
        </w:rPr>
        <w:t>. We realized an increase to our gross margins beginning in the first quarter of 2020 following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of a 10% annual royalty on our CB-CAPs technology. We believe we are well positioned to maintain meaningful margin through a continued focus on 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 However, our efforts to maintain a meaningful margin may be partially offset by our ability to generate meaningful co-promotion revenue in 2021.</w:t>
      </w:r>
    </w:p>
    <w:p>
      <w:pPr>
        <w:spacing w:after="0" w:line="2" w:lineRule="exact"/>
        <w:rPr>
          <w:rFonts w:ascii="Arial" w:cs="Arial" w:eastAsia="Arial" w:hAnsi="Arial"/>
          <w:sz w:val="18"/>
          <w:szCs w:val="18"/>
          <w:color w:val="auto"/>
        </w:rPr>
      </w:pPr>
    </w:p>
    <w:p>
      <w:pPr>
        <w:ind w:left="328" w:hanging="328"/>
        <w:spacing w:after="0" w:line="242"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34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976" w:right="359" w:bottom="1440" w:gutter="0" w:footer="0" w:header="0"/>
        </w:sectPr>
      </w:pPr>
    </w:p>
    <w:bookmarkStart w:id="24" w:name="page25"/>
    <w:bookmarkEnd w:id="24"/>
    <w:p>
      <w:pPr>
        <w:ind w:left="660" w:right="80" w:hanging="328"/>
        <w:spacing w:after="0" w:line="268" w:lineRule="auto"/>
        <w:tabs>
          <w:tab w:leader="none" w:pos="656"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payor. Changes to such estimates may increase or decrease revenue recognized in future periods.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4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December 2018, we entered into the Janssen Agreement, under which we are responsible for the costs associated with our sales 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are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For the quarter ended March 31, 2020, the tiered promotion fee ranged from $750 to $ 1,250 per prescription over a predetermined baseline. Due in part to COVID-19, in June 2020 we amended the Janssen Agreement, to adjust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 approximately 26,000 prescribed units per quarter. For each of the third and fourth quarters of 2020, we received a minimum promotion fee of $0.3 million and the fee was be capped at 5% above the adjusted predetermined baseline. In December 2020, we further amended the Janssen Agreement, pursuant to which the predetermined average baseline for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quarters ending December 31, 2020, March 31, 2021 and June 30, 2021, was adjusted to approximately 28,750 prescribed units per quarter, subject to further adjustment under certain circumstances. For the first and second quarter of 2021, we will be entitled to an amended quarterly tiered promotion fee ranging from $500 to $1,000 per prescription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the predetermined baseline. Pursuant to the Amended Janssen Agreement, for each of the first and second quarters of 2021, we will receive a minimum promotion fee of $0.3 million and the fee will be capped at 10% above the adjusted predetermined baseline. The quarterly tiered promotion fee for the remaining term of the Amended Janssen Agreement beginning on July 1, 2021 will revert to the terms set forth in the Janssen Agreement prior to the amendment, with no minimum promotion fee and no cap on predetermined baseline units. The Janssen Agreement expires on December 31, 2021, unless extended by us for an additional 12 months upon 180 days written notice prior to the end of the current term. If we elect to extend the term, the predetermined baseline for 2022 will be subject to future agreement by us and Janssen. Janssen may terminate the Janssen Agreement at any time for any reason upon 30 days' notice to us, and we may terminate the Janssen Agreement for any reason at the end of any calendar quarter upon 30 days' notice to Janssen. Either party may terminate the Janssen Agreement in the event of the other party's default of any of its material obligations under the agreement if such default remains uncured for a specified period of time following receipt of written notice of such default.</w:t>
      </w:r>
    </w:p>
    <w:p>
      <w:pPr>
        <w:spacing w:after="0" w:line="228"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We recognized approximately $0.3 million and no revenue for the three months ended March 31, 2021 and 2020, respectively, for our promotional efforts under the Janssen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spacing w:after="0" w:line="254" w:lineRule="auto"/>
        <w:rPr>
          <w:sz w:val="20"/>
          <w:szCs w:val="20"/>
          <w:color w:val="auto"/>
        </w:rPr>
      </w:pPr>
      <w:r>
        <w:rPr>
          <w:rFonts w:ascii="Arial" w:cs="Arial" w:eastAsia="Arial" w:hAnsi="Arial"/>
          <w:sz w:val="18"/>
          <w:szCs w:val="18"/>
          <w:color w:val="auto"/>
        </w:rPr>
        <w:t>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(i.e. hospitals, other laboratories, etc.), and patient self-pay. Our service is completed upon the delivery of test results to the prescribing rheumatologists which triggers billing for the service.</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These assessments require significant judgment by management.</w:t>
      </w:r>
    </w:p>
    <w:p>
      <w:pPr>
        <w:spacing w:after="0" w:line="19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 as well as our ability to continue to generate meaningful co-promotion revenue. We expect to encounter difficulties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above the predetermined baseline potentially resulting in us receiving the minimum promotion fee of $0.3 million in the second quarter of 2021. Additionally, there is no minimum promotion fee for the second half of 2021.</w:t>
      </w:r>
    </w:p>
    <w:p>
      <w:pPr>
        <w:spacing w:after="0" w:line="207"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As discussed above, we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fourth quarter of 2020. However, the continued spread of COVID-19 may adversely affect testing volumes in future periods, the extent of which is highly uncertain.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4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payor, commercial third-party, government, or individual, reimburses us at different amounts. These differences can be significant. As a result, our costs of revenue as a percentage of revenue may vary significantly from period to period due to the composition of payors for each month's billings.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Assuming future testing volumes are not negatively impacted by the spread of COVID-19, 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 As discussed above, the continued spread of COVID-19 may adversely affect testing volumes which may result in an increase in cost per test due to our inability to realize volume efficiencies.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2021 as compared to 2020, as we continue to evaluate the reach and frequency of our sales and sales support functions, expected additions to headcount and increases for personnel costs, including stock-based compensation.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6" w:name="page27"/>
    <w:bookmarkEnd w:id="26"/>
    <w:p>
      <w:pPr>
        <w:ind w:right="160"/>
        <w:spacing w:after="0" w:line="261" w:lineRule="auto"/>
        <w:rPr>
          <w:sz w:val="20"/>
          <w:szCs w:val="20"/>
          <w:color w:val="auto"/>
        </w:rPr>
      </w:pPr>
      <w:r>
        <w:rPr>
          <w:rFonts w:ascii="Arial" w:cs="Arial" w:eastAsia="Arial" w:hAnsi="Arial"/>
          <w:sz w:val="18"/>
          <w:szCs w:val="18"/>
          <w:color w:val="auto"/>
        </w:rPr>
        <w:t>studies and allocated overhead including rent and utilities. We expense all research and development costs in the periods in which they are incurred.</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expect that our research and development expenses will increase in absolute dollars in 2021 as compared to 2020, as we continue to invest in research and development activities related to our existing testing products and product candidates, including the expansion of our clinical research and development facility, expected additions to headcount and increases for personnel costs, including stock-based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 Life Sciences Lending Fund I, LP, or Innovatus.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consistent in 2021 as compared to 2020, and remain consistent thereafter until 2023.</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68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Change</w:t>
            </w:r>
          </w:p>
        </w:tc>
      </w:tr>
      <w:tr>
        <w:trPr>
          <w:trHeight w:val="183"/>
        </w:trPr>
        <w:tc>
          <w:tcPr>
            <w:tcW w:w="6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ind w:left="1020"/>
              <w:spacing w:after="0"/>
              <w:rPr>
                <w:sz w:val="20"/>
                <w:szCs w:val="20"/>
                <w:color w:val="auto"/>
              </w:rPr>
            </w:pPr>
            <w:r>
              <w:rPr>
                <w:rFonts w:ascii="Arial" w:cs="Arial" w:eastAsia="Arial" w:hAnsi="Arial"/>
                <w:sz w:val="14"/>
                <w:szCs w:val="14"/>
                <w:b w:val="1"/>
                <w:bCs w:val="1"/>
                <w:color w:val="auto"/>
              </w:rPr>
              <w:t>(unaudited, in thousands)</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revenue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1"/>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Revenue increased $1.0 million, or 10.5%, for the three months ended March 31, 2021 compared to the three months ended March 31, 2020, primarily due to an increase in the number of diagnostic tests delivered resulting in part from volume reductions experienced in late March 2020 as a result of the COVID-19 pandemic.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which accounted for 81% and 83% of revenue in the three months ended March 31, 2021 and 2020, respectively, increased to 29,029 tests delivered in the three months ended March 31, 2021 compared to 27,126 tests delivered in the same 2020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rheumatologists for the three months ended March 31, 2021 increased to 1,763 ordering healthcare providers as compared to 1,692 ordering healthcare providers in the same 2020 period. In addition, revenue from the co-promotion of SIMPONI</w:t>
      </w:r>
      <w:r>
        <w:rPr>
          <w:rFonts w:ascii="Arial" w:cs="Arial" w:eastAsia="Arial" w:hAnsi="Arial"/>
          <w:sz w:val="23"/>
          <w:szCs w:val="23"/>
          <w:color w:val="auto"/>
          <w:vertAlign w:val="superscript"/>
        </w:rPr>
        <w: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7" w:name="page28"/>
    <w:bookmarkEnd w:id="27"/>
    <w:p>
      <w:pPr>
        <w:ind w:right="320"/>
        <w:spacing w:after="0" w:line="261" w:lineRule="auto"/>
        <w:rPr>
          <w:sz w:val="20"/>
          <w:szCs w:val="20"/>
          <w:color w:val="auto"/>
        </w:rPr>
      </w:pPr>
      <w:r>
        <w:rPr>
          <w:rFonts w:ascii="Arial" w:cs="Arial" w:eastAsia="Arial" w:hAnsi="Arial"/>
          <w:sz w:val="18"/>
          <w:szCs w:val="18"/>
          <w:color w:val="auto"/>
        </w:rPr>
        <w:t>increased to approximately $0.3 million during the three months ended March 31, 2021 compared to no co-promotion revenue during the three months ended March 31,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Costs of revenue increased $0.2 million, or 3.7%, for the three months ended March 31, 2021 compared to the three months ended March 31, 2020. This increase was primarily due to increased direct costs such as materials and supplies, labor and shipping and handling associated with the increase in test volume in 2021 compared to 2020, partially offset by decreased royalty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Selling, general and administrative expenses increased $0.4 million, or 4.3%, for the three months ended March 31, 2021 compared to the three months ended March 31, 2020. This increase was primarily due to an increase of $0.4 million of employee related expenses, including stock-based compensation and recruitment expenses, and increases related to insurance expenses of $0.1 million and legal expenses of $0.1 million, partially offset by decreases in audit and professional services of $0.1 million and marketing expenses of $0.1 million. The first quarter of 2020 included one-time restructuring charges of approximately $0.2 million.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Research and development expenses increased $0.8 million for the three months ended March 31, 2021 compared to the three months ended March 31, 2020. This increase was primarily due to an increase of $0.4 million of employee related expenses, including stock-based compensation and recruitment expenses, and an increase related to clinical study expenses of $0.4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remained consistent for the three months ended March 31, 2021 compared to the three months ended March 31,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decreased $0.2 million for the three months ended March 31, 2021 compared to the three months ended March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driven by lower money market interest rates in 2021 compared to 2020.</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Income tax benefit decreased $0.1 million for the three months ended March 31, 2021 compared to the three months ended March 31, 2020 due to a change in tax law under the CARES Act enacted in 2020 that resulted in an income tax benefit during the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have incurred net losses since our inception. For the three months ended March 31, 2021 and 2020, we incurred a net loss of $6.2 million and $5.6 million, respectively, and we expect to incur additional losses and increased operating expenses in future periods. As of March 31, 2021, we had an accumulated deficit of $187.5 million. To date, we have generated only limited revenue, and we may never achieve revenue sufficient to offset our expenses.</w:t>
      </w:r>
    </w:p>
    <w:p>
      <w:pPr>
        <w:spacing w:after="0" w:line="2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Through the date of our IPO in September 2019, our operations were financed primarily from sales of our common stock and redeemable convertible preferred stock and borrowings under various debt financings. In September 2019, we completed our IPO and received net proceeds of approximately $50.4 million, net of underwriting discounts, commissions and other offering expenses, for aggregate expenses of approximately $7.5 million. On November 10, 2020, we filed a registration statement on Form S-3 (the Shelf Registration Statement), covering the offering, from time to time, of up to $150.0 million of common stock, preferred stock, debt securities, warrants and units, which Shelf Registration Statement became effective on November 19, 2020. In March 2021, we completed a</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28" w:name="page29"/>
    <w:bookmarkEnd w:id="28"/>
    <w:p>
      <w:pPr>
        <w:ind w:right="20"/>
        <w:spacing w:after="0" w:line="253" w:lineRule="auto"/>
        <w:rPr>
          <w:sz w:val="20"/>
          <w:szCs w:val="20"/>
          <w:color w:val="auto"/>
        </w:rPr>
      </w:pPr>
      <w:r>
        <w:rPr>
          <w:rFonts w:ascii="Arial" w:cs="Arial" w:eastAsia="Arial" w:hAnsi="Arial"/>
          <w:sz w:val="18"/>
          <w:szCs w:val="18"/>
          <w:color w:val="auto"/>
        </w:rPr>
        <w:t>public offering of 4,255,000 shares of our common stock at a public offering price of $16.25 per share, which shares were sold under the Shelf Registration Statement. Net proceeds from the offering were approximately $64.7 million, net of underwriting discounts and commissions and other offering expenses of $ 4.4 million. As of March 31, 2021, we had $118.1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November 2019, we amended the loan and security agreement with Innovatus, which we collectively refer to as the Amended Loan Agreement. Pursuant to the Amended Loan Agreement, the loan term is for five years with a final maturity date of November 2024. The Amended Loan Agreement accrues interest at an annual rate of</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8.5%, of which 2.0%, during the first 36 months, will be treated as paid in-kind interest. Paid in-kind interest is added to the principal balance each period. After the initial 36 months of the loan, the entire 8.5% will be paid in cash at the end of each period. On or after the first anniversary of the Loan Amendment, but before the second anniversary of the Loan Amendment, we may, at our option, prepay the term loan borrowings by paying the lender a prepayment premium. Prepayment before the second anniversary of the Loan Amendment may only occur for specified reasons in the Amended Loan Agreement. The prepayment premium decreases by 1% during each subsequent twelve-month period after the first anniversary of the Loan Amendment.</w:t>
      </w:r>
    </w:p>
    <w:p>
      <w:pPr>
        <w:spacing w:after="0" w:line="20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and achieve certain minimum amounts of revenue,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At March 31, 2021,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21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connection with the execution of the loan and security agreement with Innovatus in November 2017, we issued the lender a seven-year warrant to purchase 15,384,615 shares of our Series F redeemable convertible preferred stock at an exercise price of $0.078 per share, and in December 2018, in connection with the additional $5.0 million borrowed under the loan and security agreement, we issued to the lender a seven-year warrant to purchase 3,846,154 shares of our Series F redeemable convertible preferred stock at an exercise price of $0.078 per share. In connection with the completion of our IPO in September 2019, the warrants were automatically converted into warrants exercisable for an aggregate of 104,722 shares of common stock at an exercise price of $14.32.</w:t>
      </w:r>
    </w:p>
    <w:p>
      <w:pPr>
        <w:spacing w:after="0" w:line="20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April 2020, we received $0.7 million of funding under the CARES Act Provider Relief Fund, subject to our agreement to comply with the Department of Health &amp; Human Services', or HHS, standard terms and conditions. The CARES Act Provider Relief Fund is a federal fund allocated for general distributions to Medicare facilities and providers impacted by the COVID-19 pandemic and is intended to support healthcare-related expenses or lost revenue attributable to COVID-19.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47"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promote SIMPONI</w:t>
      </w:r>
      <w:r>
        <w:rPr>
          <w:rFonts w:ascii="Arial" w:cs="Arial" w:eastAsia="Arial" w:hAnsi="Arial"/>
          <w:sz w:val="23"/>
          <w:szCs w:val="23"/>
          <w:color w:val="auto"/>
          <w:vertAlign w:val="superscript"/>
        </w:rPr>
        <w:t>®</w:t>
      </w:r>
      <w:r>
        <w:rPr>
          <w:rFonts w:ascii="Arial" w:cs="Arial" w:eastAsia="Arial" w:hAnsi="Arial"/>
          <w:sz w:val="18"/>
          <w:szCs w:val="18"/>
          <w:color w:val="auto"/>
        </w:rPr>
        <w:t>, prepare to commercialize new testing products, continue our research and development efforts and further develop our product pipeline. We believe we have sufficient laboratory capacity to support increased test volume. We expect to make significant investments for laboratory equipment and capital expenditures in the near term related to our laboratory facilities and expansion of research capabilities, including an investment to convert</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9" w:name="page30"/>
    <w:bookmarkEnd w:id="29"/>
    <w:p>
      <w:pPr>
        <w:ind w:right="20"/>
        <w:spacing w:after="0" w:line="252" w:lineRule="auto"/>
        <w:rPr>
          <w:sz w:val="20"/>
          <w:szCs w:val="20"/>
          <w:color w:val="auto"/>
        </w:rPr>
      </w:pPr>
      <w:r>
        <w:rPr>
          <w:rFonts w:ascii="Arial" w:cs="Arial" w:eastAsia="Arial" w:hAnsi="Arial"/>
          <w:sz w:val="18"/>
          <w:szCs w:val="18"/>
          <w:color w:val="auto"/>
        </w:rPr>
        <w:t>approximately 8,000 square feet of warehouse space into additional clinical laboratory and research and development facility space, which is expected to be completed in the first half of 2022. The expansion of our clinical laboratory and research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 Cash used to fund operating expenses is impacted by the timing of when we pay expenses, as reflected in the change in our outstanding accounts payable and accrued expenses.</w:t>
      </w:r>
    </w:p>
    <w:p>
      <w:pPr>
        <w:spacing w:after="0" w:line="20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payments for capital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20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36" w:lineRule="exact"/>
        <w:rPr>
          <w:sz w:val="20"/>
          <w:szCs w:val="20"/>
          <w:color w:val="auto"/>
        </w:rPr>
      </w:pPr>
    </w:p>
    <w:p>
      <w:pPr>
        <w:ind w:left="660" w:right="5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including challenges resulting from social distancing and stay-at home orders through a reduction in testing volumes;</w:t>
      </w:r>
    </w:p>
    <w:p>
      <w:pPr>
        <w:spacing w:after="0" w:line="25" w:lineRule="exact"/>
        <w:rPr>
          <w:rFonts w:ascii="Arial" w:cs="Arial" w:eastAsia="Arial" w:hAnsi="Arial"/>
          <w:sz w:val="18"/>
          <w:szCs w:val="18"/>
          <w:color w:val="auto"/>
        </w:rPr>
      </w:pPr>
    </w:p>
    <w:p>
      <w:pPr>
        <w:ind w:left="660" w:right="80" w:hanging="328"/>
        <w:spacing w:after="0" w:line="22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54"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52" w:lineRule="exact"/>
        <w:rPr>
          <w:rFonts w:ascii="Arial" w:cs="Arial" w:eastAsia="Arial" w:hAnsi="Arial"/>
          <w:sz w:val="18"/>
          <w:szCs w:val="18"/>
          <w:color w:val="auto"/>
        </w:rPr>
      </w:pPr>
    </w:p>
    <w:p>
      <w:pPr>
        <w:ind w:left="660" w:right="120" w:hanging="328"/>
        <w:spacing w:after="0" w:line="22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including the expansion of our sales capabilities, and the extent and timing of generating revenue from such promotion; and</w:t>
      </w:r>
    </w:p>
    <w:p>
      <w:pPr>
        <w:spacing w:after="0" w:line="5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 business opportunities because we lack sufficient capital, our business, financial condition,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60" w:type="dxa"/>
            <w:vAlign w:val="bottom"/>
          </w:tcPr>
          <w:p>
            <w:pPr>
              <w:spacing w:after="0"/>
              <w:rPr>
                <w:sz w:val="15"/>
                <w:szCs w:val="15"/>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r>
      <w:tr>
        <w:trPr>
          <w:trHeight w:val="169"/>
        </w:trPr>
        <w:tc>
          <w:tcPr>
            <w:tcW w:w="8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175"/>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1560" w:type="dxa"/>
            <w:vAlign w:val="bottom"/>
            <w:gridSpan w:val="3"/>
          </w:tcPr>
          <w:p>
            <w:pPr>
              <w:jc w:val="right"/>
              <w:ind w:right="551"/>
              <w:spacing w:after="0"/>
              <w:rPr>
                <w:sz w:val="20"/>
                <w:szCs w:val="20"/>
                <w:color w:val="auto"/>
              </w:rPr>
            </w:pPr>
            <w:r>
              <w:rPr>
                <w:rFonts w:ascii="Arial" w:cs="Arial" w:eastAsia="Arial" w:hAnsi="Arial"/>
                <w:sz w:val="13"/>
                <w:szCs w:val="13"/>
                <w:b w:val="1"/>
                <w:bCs w:val="1"/>
                <w:color w:val="auto"/>
              </w:rPr>
              <w:t>(unaudited)</w:t>
            </w:r>
          </w:p>
        </w:tc>
        <w:tc>
          <w:tcPr>
            <w:tcW w:w="520" w:type="dxa"/>
            <w:vAlign w:val="bottom"/>
          </w:tcPr>
          <w:p>
            <w:pPr>
              <w:spacing w:after="0"/>
              <w:rPr>
                <w:sz w:val="15"/>
                <w:szCs w:val="15"/>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0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(4,312)</w:t>
            </w:r>
          </w:p>
        </w:tc>
        <w:tc>
          <w:tcPr>
            <w:tcW w:w="100" w:type="dxa"/>
            <w:vAlign w:val="bottom"/>
          </w:tcPr>
          <w:p>
            <w:pPr>
              <w:spacing w:after="0"/>
              <w:rPr>
                <w:sz w:val="16"/>
                <w:szCs w:val="16"/>
                <w:color w:val="auto"/>
              </w:rPr>
            </w:pPr>
          </w:p>
        </w:tc>
        <w:tc>
          <w:tcPr>
            <w:tcW w:w="9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(3,301)</w:t>
            </w: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65,081</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0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60,602</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Net cash used in operating activities for the three months ended March 31, 2021 was $4.3 million and primarily resulted from our net loss of $6.2 million adjusted for non-cash charges of $1.3 million related to stock-based compensation, depreciation, amortization and non-cash interest and changes in our net operating assets of $0.6 million primarily related to net decreases in prepaid expenses and other current assets and accounts receivable, net, partially offset by net decreases in accounts payables and accrued and other current liabilities.</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cash used in operating activities for the three months ended March 31, 2020 was $3.3 million and primarily resulted from our net loss of $5.6 million adjusted for non-cash charges of $0.6 million related to depreciation, amortization, stock-based compensation and non-cash interest. The net cash in operating activities were partially offset by changes in our net operating assets of $1.6 million primarily related to net increases in accounts payable and accrued and other current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Net cash used in investing activities for the three months ended March 31, 2021 and March 31, 2020 was $0.2 million and $0.1 million, respectively, and was due to net purchases of property and equipment.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4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Net cash provided by financing activities for the three months ended March 31, 2021 was $65.1 million primarily resulting from the net proceeds received from our public offering in March 2021 of $65.0 million and proceeds from Employee Stock Purchase Plan purchases, partially offset by principal payments on capital lease obligations.</w:t>
      </w:r>
    </w:p>
    <w:p>
      <w:pPr>
        <w:spacing w:after="0" w:line="202"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Net cash used by financing activities for the three months ended March 31, 2020 was $0.1 million and primarily resulted from principal payments on capital lease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a description of our critical accounting policies, please see the section entitled "Management's Discussion and Analysis of Financial Condition and Results of Operations - Critical Accounting Policies and Significant Management Estimates" contained in the Annual Report on Form 10-K for the year ended December 31, 2020, as amended. There have been no significant changes in our critical accounting policies and estimates during the three months ended March 31, 2021 as compared to the critical accounting policies and estimates disclosed in Management’s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1" w:name="page32"/>
    <w:bookmarkEnd w:id="31"/>
    <w:p>
      <w:pPr>
        <w:spacing w:after="0" w:line="256" w:lineRule="auto"/>
        <w:rPr>
          <w:sz w:val="20"/>
          <w:szCs w:val="20"/>
          <w:color w:val="auto"/>
        </w:rPr>
      </w:pPr>
      <w:r>
        <w:rPr>
          <w:rFonts w:ascii="Arial" w:cs="Arial" w:eastAsia="Arial" w:hAnsi="Arial"/>
          <w:sz w:val="18"/>
          <w:szCs w:val="18"/>
          <w:color w:val="auto"/>
        </w:rPr>
        <w:t>Discussion and Analysis of Financial Condition and Operations included in the Annual Report on Form 10-K for the year ended December 31, 2020, as amended, other than as set forth in Note 2 to the unaudited condensed financial statements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Please see Note 2 to the unaudited condensed financial statements included in this Quarterly Report on Form 10-Q for a summary of changes in significant accounting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the rules and regulations of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1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4" w:right="379" w:bottom="1440" w:gutter="0" w:footer="0" w:header="0"/>
        </w:sectPr>
      </w:pPr>
    </w:p>
    <w:bookmarkStart w:id="32" w:name="page33"/>
    <w:bookmarkEnd w:id="32"/>
    <w:p>
      <w:pPr>
        <w:spacing w:after="0" w:line="253" w:lineRule="auto"/>
        <w:rPr>
          <w:sz w:val="20"/>
          <w:szCs w:val="20"/>
          <w:color w:val="auto"/>
        </w:rPr>
      </w:pPr>
      <w:r>
        <w:rPr>
          <w:rFonts w:ascii="Arial" w:cs="Arial" w:eastAsia="Arial" w:hAnsi="Arial"/>
          <w:sz w:val="18"/>
          <w:szCs w:val="18"/>
          <w:color w:val="auto"/>
        </w:rPr>
        <w:t>and procedures (as defined in Rules 13a-15(e) and 15d-15(e) under the Exchange Act). Based on that evaluation, our principal executive officer and principal financial officer have concluded that as of March 31, 2021,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2021 that have materially affected, or are reasonably likely to materially affect, our internal control over financial reporting.</w:t>
      </w: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24" w:right="4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2020, as amended, other than changes to the risk factors set forth below: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arising from epidemic diseases, such as the global pandemic of the COVID-19 coronavirus.</w:t>
      </w:r>
    </w:p>
    <w:p>
      <w:pPr>
        <w:spacing w:after="0" w:line="18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current COVID-19 worldwide pandemic has presented substantial public health challenges and is affecting our employees, patients, physicians and other healthcare providers, communities and business operations, as well as the U.S. and global economies and financial markets. International and U.S. governmental authorities in impacted regions are taking actions in an effort to slow the spread of COVID-19, including issuing varying forms of "stay-at-home" orders, restricting business functions outside of one's home, restricting gatherings, restricting travel, and mandating social distancing and face coverings. Certain jurisdictions have begun a phased re-opening, although the potential to return to prior restrictions remains if there are increases in new COVID-19 cases in the future. Even in areas where "stay-at-home" restrictions have been lifted and the number of COVID-19 cases have declined, many individuals remain cautious about resuming activities such as preventative-care medical visits. A pandemic, including COVID-19 or other public health epidemic, poses the risk that we or our employees, contractors, suppliers, third-party shipping carries, government and third-party payors and other partners may be prevented from conducting business activities for an indefinite period of time, including due to spread of the disease within these groups or due to shutdowns that may be requested or mandated by governmental authorities. As a result of COVID-19 related limitations and reordering of priorities across the U.S. healthcare system, a reduction in patient flow occurred and our test volumes began to decrease in the second half of March 2020 and we experienced an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decrease of approximately 5% in the year ended December 31, 2020 as compared to 2019. We substantially recovered to pre-COVID-19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in the fourth quarter 2020. For the three months ended March 31, 2021 as compared to the same period in 2020, we experienced a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volume increase of approximately 7%. However, the continued spread of COVID-19 may adversely affect testing volumes in future periods, the extent of which is highly uncertain. Healthcare providers and patients have canceled or delayed scheduling, and for an extended period of time may continue to cancel or delay scheduling, standard wellness visits and other non-emergency appointments and procedures, contributing to a decline in orders of our testing products. The economic downturn may also result in closures of the practices of our primary customers. As it relates to our promotion efforts of SIMPONI</w:t>
      </w:r>
      <w:r>
        <w:rPr>
          <w:rFonts w:ascii="Arial" w:cs="Arial" w:eastAsia="Arial" w:hAnsi="Arial"/>
          <w:sz w:val="23"/>
          <w:szCs w:val="23"/>
          <w:color w:val="auto"/>
          <w:vertAlign w:val="superscript"/>
        </w:rPr>
        <w:t>®</w:t>
      </w:r>
      <w:r>
        <w:rPr>
          <w:rFonts w:ascii="Arial" w:cs="Arial" w:eastAsia="Arial" w:hAnsi="Arial"/>
          <w:sz w:val="18"/>
          <w:szCs w:val="18"/>
          <w:color w:val="auto"/>
        </w:rPr>
        <w:t>, we may experience decreased demand for or discontinued treatment with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from patients who are infected by COVID-19 or who may be at higher risk of infection if it is determined that such patients should minimize exposure to immunosuppressant therapies.</w:t>
      </w:r>
    </w:p>
    <w:p>
      <w:pPr>
        <w:spacing w:after="0" w:line="15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we believe there are several other important factors that have impacted, and that we expect will impact our operating performance and results of operations, including shutdowns of our facilities and operations as well as those of our suppliers and courier services, disruptions to the supply chain of material needed for our tests, our sales and commercialization activities and our ability to receive specimens and perform or deliver the results from our tests, delays in reimbursement and coverage decisions from Medicare and third-party payors and in interactions with regulatory authorities, as well as our inability to achieve or re-negotiate volume-based discounts with our key suppliers and to absorb fixed laboratory expenses. For example, we have experienced delays in patient enrollment for ongoing and planned clinical studies involving our tests, which may delay or prevent launch of future test products. Our sales force has been, and for an extended period of time may continue to be limited to their in-person interactions with healthcare providers, and therefore, also limited their ability to engage in various types of healthcare provider education activities. The portion of our workforce which has been working remotely in an effort to reduce the spread of COVID-19, may be infected from the virus or otherwise distracted. We have also experienced delays in procurement of our testing supplies due to suppliers rationing testing supplies and prioritizing COVID-19 testing in the first quarter of 2021, which may continue into the future, and our partners, including Janssen, may also experience a disruption in their ability to readily obtain supply. We may also face increased competition for laboratory employees due to the increased demand in the industry for such personnel. We may inaccurately estimate the duration or severity of the COVID-19 pandemic, which could cause us to misalign our staffing, spending, activities and precautionary measures with market current or future market conditions.</w:t>
      </w:r>
    </w:p>
    <w:p>
      <w:pPr>
        <w:spacing w:after="0" w:line="15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laboratory operations, including laboratory employees and medical directors, may be subject to closure or shut down, either due to the spread of the disease within these individuals, or as part of a larger scale government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34" w:name="page35"/>
    <w:bookmarkEnd w:id="34"/>
    <w:p>
      <w:pPr>
        <w:ind w:right="240"/>
        <w:spacing w:after="0" w:line="246" w:lineRule="auto"/>
        <w:rPr>
          <w:sz w:val="20"/>
          <w:szCs w:val="20"/>
          <w:color w:val="auto"/>
        </w:rPr>
      </w:pPr>
      <w:r>
        <w:rPr>
          <w:rFonts w:ascii="Arial" w:cs="Arial" w:eastAsia="Arial" w:hAnsi="Arial"/>
          <w:sz w:val="18"/>
          <w:szCs w:val="18"/>
          <w:color w:val="auto"/>
        </w:rPr>
        <w:t>recommendation or mandate. Any disruption in our laboratory operations would have a material adverse effect on our business and would impede our ability to process tests in a timely manner, or at all.</w:t>
      </w:r>
    </w:p>
    <w:p>
      <w:pPr>
        <w:spacing w:after="0" w:line="14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occurrence of any of the foregoing events could have a material adverse effect on our business, financial condition and results of operations. The COVID-19 pandemic and mitigation measures have had and may continue to have an adverse impact on global economic conditions which could have an adverse effect on our business and financial condition, including impairing our ability to raise capital on a timely basis or at all. The extent to which the COVID-19 pandemic impacts our results will depend on future developments that are highly uncertain and cannot be predicted, including new information that may emerge concerning the severity of the virus and the actions to contain its impact. COVID-19 may also have the effect of heightening many of the other risks described in this section and in the "Risk Factors" section of our Annual Report on Form 10-K for the year ended December 31, 2020, as amended.</w:t>
      </w:r>
    </w:p>
    <w:p>
      <w:pPr>
        <w:spacing w:after="0" w:line="18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4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successful validation studies;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scale our laboratory processes to accommodate different tests;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achieve and maintain required regulatory certifications;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and scale our infrastructure to be able to analyze increasingly large amounts of data;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testing products.</w:t>
      </w:r>
    </w:p>
    <w:p>
      <w:pPr>
        <w:spacing w:after="0" w:line="15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additional biomarkers to incorporate into our testing products;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or sub-optimal performance of the testing product at the research or development stage;</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patient consent inclusive of genetic analysis;</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accessing archival patient blood specimens, especially specimens with known clinical results; or</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15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second half of 2021, we expect to begin the conversion of approximately 8,000 square feet of warehouse space into an additional clinical laboratory and research and development facility space in order to develop molecular and multiomic capabilities. We have not yet developed any molecular or multiomic testing products nor do we have experience developing and integrating molecular biomarkers into new or existing testing products, and we may never be successful doing so in the future. As a result, there is considerable risk that the expansion of our clinical laboratory and research and development facility may not lead to the development of additional testing products that generate meaningful revenue. Further, as we begin to expand our clinical laboratory and research and development facility in order to develop molecular and multiomic capabilities, we expect to need to make significant investments in key personnel and highly trained scientists with relevant experience to handle the increased operations and development of molecular biomarkers.</w:t>
      </w:r>
    </w:p>
    <w:p>
      <w:pPr>
        <w:spacing w:after="0" w:line="15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70" w:right="379" w:bottom="1440" w:gutter="0" w:footer="0" w:header="0"/>
        </w:sectPr>
      </w:pPr>
    </w:p>
    <w:bookmarkStart w:id="35" w:name="page36"/>
    <w:bookmarkEnd w:id="35"/>
    <w:p>
      <w:pPr>
        <w:ind w:right="30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200" w:lineRule="exact"/>
        <w:rPr>
          <w:sz w:val="20"/>
          <w:szCs w:val="20"/>
          <w:color w:val="auto"/>
        </w:rPr>
      </w:pPr>
    </w:p>
    <w:p>
      <w:pPr>
        <w:spacing w:after="0" w:line="250" w:lineRule="exact"/>
        <w:rPr>
          <w:sz w:val="20"/>
          <w:szCs w:val="20"/>
          <w:color w:val="auto"/>
        </w:rPr>
      </w:pPr>
    </w:p>
    <w:p>
      <w:pPr>
        <w:ind w:right="2700" w:firstLine="2711"/>
        <w:spacing w:after="0" w:line="474"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have used approximately $21.1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36" w:name="page37"/>
    <w:bookmarkEnd w:id="36"/>
    <w:p>
      <w:pPr>
        <w:jc w:val="center"/>
        <w:ind w:right="377"/>
        <w:spacing w:after="0"/>
        <w:rPr>
          <w:sz w:val="20"/>
          <w:szCs w:val="20"/>
          <w:color w:val="auto"/>
        </w:rPr>
      </w:pPr>
      <w:r>
        <w:rPr>
          <w:rFonts w:ascii="Arial" w:cs="Arial" w:eastAsia="Arial" w:hAnsi="Arial"/>
          <w:sz w:val="18"/>
          <w:szCs w:val="18"/>
          <w:b w:val="1"/>
          <w:bCs w:val="1"/>
          <w:color w:val="auto"/>
        </w:rPr>
        <w:t>Item 6. Exhibits</w:t>
      </w:r>
    </w:p>
    <w:p>
      <w:pPr>
        <w:spacing w:after="0" w:line="302" w:lineRule="exact"/>
        <w:rPr>
          <w:sz w:val="20"/>
          <w:szCs w:val="20"/>
          <w:color w:val="auto"/>
        </w:rPr>
      </w:pPr>
    </w:p>
    <w:tbl>
      <w:tblPr>
        <w:tblLayout w:type="fixed"/>
        <w:tblInd w:w="103" w:type="dxa"/>
        <w:tblCellMar>
          <w:top w:w="0" w:type="dxa"/>
          <w:left w:w="0" w:type="dxa"/>
          <w:bottom w:w="0" w:type="dxa"/>
          <w:right w:w="0" w:type="dxa"/>
        </w:tblCellMar>
      </w:tblPr>
      <w:tr>
        <w:trPr>
          <w:trHeight w:val="189"/>
        </w:trPr>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Exhibit</w:t>
            </w:r>
          </w:p>
        </w:tc>
        <w:tc>
          <w:tcPr>
            <w:tcW w:w="3140" w:type="dxa"/>
            <w:vAlign w:val="bottom"/>
            <w:gridSpan w:val="28"/>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Exhibit Filing</w:t>
            </w:r>
          </w:p>
        </w:tc>
        <w:tc>
          <w:tcPr>
            <w:tcW w:w="13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Filed/Furnished</w:t>
            </w:r>
          </w:p>
        </w:tc>
        <w:tc>
          <w:tcPr>
            <w:tcW w:w="0" w:type="dxa"/>
            <w:vAlign w:val="bottom"/>
          </w:tcPr>
          <w:p>
            <w:pPr>
              <w:spacing w:after="0"/>
              <w:rPr>
                <w:sz w:val="1"/>
                <w:szCs w:val="1"/>
                <w:color w:val="auto"/>
              </w:rPr>
            </w:pPr>
          </w:p>
        </w:tc>
      </w:tr>
      <w:tr>
        <w:trPr>
          <w:trHeight w:val="176"/>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3140" w:type="dxa"/>
            <w:vAlign w:val="bottom"/>
            <w:tcBorders>
              <w:bottom w:val="single" w:sz="8" w:color="auto"/>
            </w:tcBorders>
            <w:gridSpan w:val="28"/>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Date</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56"/>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w:t>
            </w:r>
          </w:p>
        </w:tc>
        <w:tc>
          <w:tcPr>
            <w:tcW w:w="3140" w:type="dxa"/>
            <w:vAlign w:val="bottom"/>
            <w:gridSpan w:val="28"/>
          </w:tcPr>
          <w:p>
            <w:pPr>
              <w:spacing w:after="0" w:line="155" w:lineRule="exact"/>
              <w:rPr>
                <w:rFonts w:ascii="Arial" w:cs="Arial" w:eastAsia="Arial" w:hAnsi="Arial"/>
                <w:sz w:val="14"/>
                <w:szCs w:val="14"/>
                <w:color w:val="0000FF"/>
              </w:rPr>
            </w:pPr>
            <w:hyperlink r:id="rId48">
              <w:r>
                <w:rPr>
                  <w:rFonts w:ascii="Arial" w:cs="Arial" w:eastAsia="Arial" w:hAnsi="Arial"/>
                  <w:sz w:val="14"/>
                  <w:szCs w:val="14"/>
                  <w:color w:val="0000FF"/>
                </w:rPr>
                <w:t>Amended and Restated Certificate of</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9/23/2019</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880" w:type="dxa"/>
            <w:vAlign w:val="bottom"/>
            <w:tcBorders>
              <w:top w:val="single" w:sz="8" w:color="0000FF"/>
              <w:bottom w:val="single" w:sz="8" w:color="0000FF"/>
            </w:tcBorders>
            <w:gridSpan w:val="2"/>
          </w:tcPr>
          <w:p>
            <w:pPr>
              <w:spacing w:after="0" w:line="115" w:lineRule="exact"/>
              <w:rPr>
                <w:rFonts w:ascii="Arial" w:cs="Arial" w:eastAsia="Arial" w:hAnsi="Arial"/>
                <w:sz w:val="13"/>
                <w:szCs w:val="13"/>
                <w:color w:val="0000FF"/>
              </w:rPr>
            </w:pPr>
            <w:hyperlink r:id="rId48">
              <w:r>
                <w:rPr>
                  <w:rFonts w:ascii="Arial" w:cs="Arial" w:eastAsia="Arial" w:hAnsi="Arial"/>
                  <w:sz w:val="13"/>
                  <w:szCs w:val="13"/>
                  <w:color w:val="0000FF"/>
                </w:rPr>
                <w:t>Incorporation.</w:t>
              </w:r>
            </w:hyperlink>
          </w:p>
        </w:tc>
        <w:tc>
          <w:tcPr>
            <w:tcW w:w="1480" w:type="dxa"/>
            <w:vAlign w:val="bottom"/>
            <w:tcBorders>
              <w:top w:val="single" w:sz="8" w:color="0000FF"/>
            </w:tcBorders>
            <w:gridSpan w:val="6"/>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3.2</w:t>
            </w:r>
          </w:p>
        </w:tc>
        <w:tc>
          <w:tcPr>
            <w:tcW w:w="3140" w:type="dxa"/>
            <w:vAlign w:val="bottom"/>
            <w:gridSpan w:val="28"/>
          </w:tcPr>
          <w:p>
            <w:pPr>
              <w:spacing w:after="0"/>
              <w:rPr>
                <w:rFonts w:ascii="Arial" w:cs="Arial" w:eastAsia="Arial" w:hAnsi="Arial"/>
                <w:sz w:val="14"/>
                <w:szCs w:val="14"/>
                <w:color w:val="0000FF"/>
              </w:rPr>
            </w:pPr>
            <w:hyperlink r:id="rId49">
              <w:r>
                <w:rPr>
                  <w:rFonts w:ascii="Arial" w:cs="Arial" w:eastAsia="Arial" w:hAnsi="Arial"/>
                  <w:sz w:val="14"/>
                  <w:szCs w:val="14"/>
                  <w:color w:val="0000FF"/>
                </w:rPr>
                <w:t>Amended and Restated Bylaws.</w:t>
              </w:r>
            </w:hyperlink>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8-K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3.1</w:t>
            </w:r>
          </w:p>
        </w:tc>
        <w:tc>
          <w:tcPr>
            <w:tcW w:w="1140" w:type="dxa"/>
            <w:vAlign w:val="bottom"/>
          </w:tcPr>
          <w:p>
            <w:pPr>
              <w:jc w:val="center"/>
              <w:spacing w:after="0"/>
              <w:rPr>
                <w:sz w:val="20"/>
                <w:szCs w:val="20"/>
                <w:color w:val="auto"/>
              </w:rPr>
            </w:pPr>
            <w:r>
              <w:rPr>
                <w:rFonts w:ascii="Arial" w:cs="Arial" w:eastAsia="Arial" w:hAnsi="Arial"/>
                <w:sz w:val="14"/>
                <w:szCs w:val="14"/>
                <w:color w:val="auto"/>
              </w:rPr>
              <w:t>3/22/2021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4.1</w:t>
            </w:r>
          </w:p>
        </w:tc>
        <w:tc>
          <w:tcPr>
            <w:tcW w:w="3140" w:type="dxa"/>
            <w:vAlign w:val="bottom"/>
            <w:gridSpan w:val="28"/>
          </w:tcPr>
          <w:p>
            <w:pPr>
              <w:spacing w:after="0"/>
              <w:rPr>
                <w:rFonts w:ascii="Arial" w:cs="Arial" w:eastAsia="Arial" w:hAnsi="Arial"/>
                <w:sz w:val="14"/>
                <w:szCs w:val="14"/>
                <w:color w:val="0000FF"/>
              </w:rPr>
            </w:pPr>
            <w:hyperlink r:id="rId50">
              <w:r>
                <w:rPr>
                  <w:rFonts w:ascii="Arial" w:cs="Arial" w:eastAsia="Arial" w:hAnsi="Arial"/>
                  <w:sz w:val="14"/>
                  <w:szCs w:val="14"/>
                  <w:color w:val="0000FF"/>
                </w:rPr>
                <w:t>Specimen stock certificate evidencing the shares</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4.1</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20" w:type="dxa"/>
            <w:vAlign w:val="bottom"/>
            <w:tcBorders>
              <w:top w:val="single" w:sz="8" w:color="0000FF"/>
            </w:tcBorders>
            <w:gridSpan w:val="27"/>
          </w:tcPr>
          <w:p>
            <w:pPr>
              <w:spacing w:after="0" w:line="115" w:lineRule="exact"/>
              <w:rPr>
                <w:rFonts w:ascii="Arial" w:cs="Arial" w:eastAsia="Arial" w:hAnsi="Arial"/>
                <w:sz w:val="13"/>
                <w:szCs w:val="13"/>
                <w:color w:val="0000FF"/>
              </w:rPr>
            </w:pPr>
            <w:hyperlink r:id="rId50">
              <w:r>
                <w:rPr>
                  <w:rFonts w:ascii="Arial" w:cs="Arial" w:eastAsia="Arial" w:hAnsi="Arial"/>
                  <w:sz w:val="13"/>
                  <w:szCs w:val="13"/>
                  <w:color w:val="0000FF"/>
                </w:rPr>
                <w:t>of common stock.</w:t>
              </w:r>
            </w:hyperlink>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 w:type="dxa"/>
            <w:vAlign w:val="bottom"/>
          </w:tcPr>
          <w:p>
            <w:pPr>
              <w:spacing w:after="0"/>
              <w:rPr>
                <w:sz w:val="14"/>
                <w:szCs w:val="14"/>
                <w:color w:val="auto"/>
              </w:rPr>
            </w:pPr>
          </w:p>
        </w:tc>
        <w:tc>
          <w:tcPr>
            <w:tcW w:w="3140" w:type="dxa"/>
            <w:vAlign w:val="bottom"/>
            <w:gridSpan w:val="28"/>
          </w:tcPr>
          <w:p>
            <w:pPr>
              <w:spacing w:after="0"/>
              <w:rPr>
                <w:rFonts w:ascii="Arial" w:cs="Arial" w:eastAsia="Arial" w:hAnsi="Arial"/>
                <w:sz w:val="14"/>
                <w:szCs w:val="14"/>
                <w:color w:val="0000FF"/>
              </w:rPr>
            </w:pPr>
            <w:hyperlink r:id="rId51">
              <w:r>
                <w:rPr>
                  <w:rFonts w:ascii="Arial" w:cs="Arial" w:eastAsia="Arial" w:hAnsi="Arial"/>
                  <w:sz w:val="14"/>
                  <w:szCs w:val="14"/>
                  <w:color w:val="0000FF"/>
                </w:rPr>
                <w:t>Amended and Restated Investors’ Rights</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4.2</w:t>
            </w:r>
          </w:p>
        </w:tc>
        <w:tc>
          <w:tcPr>
            <w:tcW w:w="2620" w:type="dxa"/>
            <w:vAlign w:val="bottom"/>
            <w:tcBorders>
              <w:top w:val="single" w:sz="8" w:color="0000FF"/>
            </w:tcBorders>
            <w:gridSpan w:val="15"/>
          </w:tcPr>
          <w:p>
            <w:pPr>
              <w:spacing w:after="0" w:line="122" w:lineRule="exact"/>
              <w:rPr>
                <w:rFonts w:ascii="Arial" w:cs="Arial" w:eastAsia="Arial" w:hAnsi="Arial"/>
                <w:sz w:val="14"/>
                <w:szCs w:val="14"/>
                <w:color w:val="0000FF"/>
              </w:rPr>
            </w:pPr>
            <w:hyperlink r:id="rId51">
              <w:r>
                <w:rPr>
                  <w:rFonts w:ascii="Arial" w:cs="Arial" w:eastAsia="Arial" w:hAnsi="Arial"/>
                  <w:sz w:val="14"/>
                  <w:szCs w:val="14"/>
                  <w:color w:val="0000FF"/>
                </w:rPr>
                <w:t>Agreement, dated July 12, 2019, by and</w:t>
              </w:r>
            </w:hyperlink>
          </w:p>
        </w:tc>
        <w:tc>
          <w:tcPr>
            <w:tcW w:w="520" w:type="dxa"/>
            <w:vAlign w:val="bottom"/>
            <w:gridSpan w:val="13"/>
          </w:tcPr>
          <w:p>
            <w:pPr>
              <w:spacing w:after="0" w:line="122" w:lineRule="exact"/>
              <w:rPr>
                <w:rFonts w:ascii="Arial" w:cs="Arial" w:eastAsia="Arial" w:hAnsi="Arial"/>
                <w:sz w:val="14"/>
                <w:szCs w:val="14"/>
                <w:color w:val="0000FF"/>
              </w:rPr>
            </w:pPr>
            <w:hyperlink r:id="rId51">
              <w:r>
                <w:rPr>
                  <w:rFonts w:ascii="Arial" w:cs="Arial" w:eastAsia="Arial" w:hAnsi="Arial"/>
                  <w:sz w:val="14"/>
                  <w:szCs w:val="14"/>
                  <w:color w:val="0000FF"/>
                </w:rPr>
                <w:t>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4.2</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80" w:type="dxa"/>
            <w:vAlign w:val="bottom"/>
            <w:tcBorders>
              <w:top w:val="single" w:sz="8" w:color="0000FF"/>
              <w:bottom w:val="single" w:sz="8" w:color="0000FF"/>
            </w:tcBorders>
            <w:gridSpan w:val="19"/>
          </w:tcPr>
          <w:p>
            <w:pPr>
              <w:spacing w:after="0" w:line="115" w:lineRule="exact"/>
              <w:rPr>
                <w:rFonts w:ascii="Arial" w:cs="Arial" w:eastAsia="Arial" w:hAnsi="Arial"/>
                <w:sz w:val="13"/>
                <w:szCs w:val="13"/>
                <w:color w:val="0000FF"/>
              </w:rPr>
            </w:pPr>
            <w:hyperlink r:id="rId51">
              <w:r>
                <w:rPr>
                  <w:rFonts w:ascii="Arial" w:cs="Arial" w:eastAsia="Arial" w:hAnsi="Arial"/>
                  <w:sz w:val="13"/>
                  <w:szCs w:val="13"/>
                  <w:color w:val="0000FF"/>
                </w:rPr>
                <w:t>the Registrant and certain of its stockholders.</w:t>
              </w:r>
            </w:hyperlink>
          </w:p>
        </w:tc>
        <w:tc>
          <w:tcPr>
            <w:tcW w:w="180" w:type="dxa"/>
            <w:vAlign w:val="bottom"/>
            <w:tcBorders>
              <w:top w:val="single" w:sz="8" w:color="0000FF"/>
            </w:tcBorders>
            <w:gridSpan w:val="6"/>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8"/>
          </w:tcPr>
          <w:p>
            <w:pPr>
              <w:spacing w:after="0"/>
              <w:rPr>
                <w:rFonts w:ascii="Arial" w:cs="Arial" w:eastAsia="Arial" w:hAnsi="Arial"/>
                <w:sz w:val="14"/>
                <w:szCs w:val="14"/>
                <w:color w:val="0000FF"/>
              </w:rPr>
            </w:pPr>
            <w:hyperlink r:id="rId52">
              <w:r>
                <w:rPr>
                  <w:rFonts w:ascii="Arial" w:cs="Arial" w:eastAsia="Arial" w:hAnsi="Arial"/>
                  <w:sz w:val="14"/>
                  <w:szCs w:val="14"/>
                  <w:color w:val="0000FF"/>
                </w:rPr>
                <w:t>Amended and Restated Stockholders’</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4.3</w:t>
            </w:r>
          </w:p>
        </w:tc>
        <w:tc>
          <w:tcPr>
            <w:tcW w:w="3140" w:type="dxa"/>
            <w:vAlign w:val="bottom"/>
            <w:gridSpan w:val="28"/>
          </w:tcPr>
          <w:p>
            <w:pPr>
              <w:spacing w:after="0" w:line="115" w:lineRule="exact"/>
              <w:rPr>
                <w:rFonts w:ascii="Arial" w:cs="Arial" w:eastAsia="Arial" w:hAnsi="Arial"/>
                <w:sz w:val="13"/>
                <w:szCs w:val="13"/>
                <w:color w:val="0000FF"/>
              </w:rPr>
            </w:pPr>
            <w:hyperlink r:id="rId52">
              <w:r>
                <w:rPr>
                  <w:rFonts w:ascii="Arial" w:cs="Arial" w:eastAsia="Arial" w:hAnsi="Arial"/>
                  <w:sz w:val="13"/>
                  <w:szCs w:val="13"/>
                  <w:color w:val="0000FF"/>
                </w:rPr>
                <w:t>Agreement, dated July 12, 2019, by and among</w:t>
              </w:r>
            </w:hyperlink>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80" w:type="dxa"/>
            <w:vAlign w:val="bottom"/>
            <w:tcBorders>
              <w:top w:val="single" w:sz="8" w:color="0000FF"/>
              <w:bottom w:val="single" w:sz="8" w:color="0000FF"/>
            </w:tcBorders>
            <w:gridSpan w:val="19"/>
          </w:tcPr>
          <w:p>
            <w:pPr>
              <w:spacing w:after="0" w:line="115" w:lineRule="exact"/>
              <w:rPr>
                <w:rFonts w:ascii="Arial" w:cs="Arial" w:eastAsia="Arial" w:hAnsi="Arial"/>
                <w:sz w:val="13"/>
                <w:szCs w:val="13"/>
                <w:color w:val="0000FF"/>
              </w:rPr>
            </w:pPr>
            <w:hyperlink r:id="rId52">
              <w:r>
                <w:rPr>
                  <w:rFonts w:ascii="Arial" w:cs="Arial" w:eastAsia="Arial" w:hAnsi="Arial"/>
                  <w:sz w:val="13"/>
                  <w:szCs w:val="13"/>
                  <w:color w:val="0000FF"/>
                </w:rPr>
                <w:t>the Registrant and certain of its stockholders.</w:t>
              </w:r>
            </w:hyperlink>
          </w:p>
        </w:tc>
        <w:tc>
          <w:tcPr>
            <w:tcW w:w="180" w:type="dxa"/>
            <w:vAlign w:val="bottom"/>
            <w:tcBorders>
              <w:top w:val="single" w:sz="8" w:color="0000FF"/>
            </w:tcBorders>
            <w:gridSpan w:val="6"/>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8"/>
          </w:tcPr>
          <w:p>
            <w:pPr>
              <w:spacing w:after="0"/>
              <w:rPr>
                <w:rFonts w:ascii="Arial" w:cs="Arial" w:eastAsia="Arial" w:hAnsi="Arial"/>
                <w:sz w:val="14"/>
                <w:szCs w:val="14"/>
                <w:color w:val="0000FF"/>
              </w:rPr>
            </w:pPr>
            <w:hyperlink r:id="rId53">
              <w:r>
                <w:rPr>
                  <w:rFonts w:ascii="Arial" w:cs="Arial" w:eastAsia="Arial" w:hAnsi="Arial"/>
                  <w:sz w:val="14"/>
                  <w:szCs w:val="14"/>
                  <w:color w:val="0000FF"/>
                </w:rPr>
                <w:t>Form of Common Stock Purchase Warrant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r:id="rId53">
              <w:r>
                <w:rPr>
                  <w:rFonts w:ascii="Arial" w:cs="Arial" w:eastAsia="Arial" w:hAnsi="Arial"/>
                  <w:sz w:val="13"/>
                  <w:szCs w:val="13"/>
                  <w:color w:val="0000FF"/>
                </w:rPr>
                <w:t>issued to investors by the Registrant in</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restart"/>
          </w:tcPr>
          <w:p>
            <w:pPr>
              <w:jc w:val="center"/>
              <w:ind w:left="48"/>
              <w:spacing w:after="0"/>
              <w:rPr>
                <w:sz w:val="20"/>
                <w:szCs w:val="20"/>
                <w:color w:val="auto"/>
              </w:rPr>
            </w:pPr>
            <w:r>
              <w:rPr>
                <w:rFonts w:ascii="Arial" w:cs="Arial" w:eastAsia="Arial" w:hAnsi="Arial"/>
                <w:sz w:val="14"/>
                <w:szCs w:val="14"/>
                <w:color w:val="auto"/>
              </w:rPr>
              <w:t>S-1/A</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333-233446</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4.4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9/9/2019</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140" w:type="dxa"/>
            <w:vAlign w:val="bottom"/>
            <w:gridSpan w:val="28"/>
          </w:tcPr>
          <w:p>
            <w:pPr>
              <w:spacing w:after="0" w:line="115" w:lineRule="exact"/>
              <w:rPr>
                <w:rFonts w:ascii="Arial" w:cs="Arial" w:eastAsia="Arial" w:hAnsi="Arial"/>
                <w:sz w:val="13"/>
                <w:szCs w:val="13"/>
                <w:color w:val="0000FF"/>
              </w:rPr>
            </w:pPr>
            <w:hyperlink r:id="rId53">
              <w:r>
                <w:rPr>
                  <w:rFonts w:ascii="Arial" w:cs="Arial" w:eastAsia="Arial" w:hAnsi="Arial"/>
                  <w:sz w:val="13"/>
                  <w:szCs w:val="13"/>
                  <w:color w:val="0000FF"/>
                </w:rPr>
                <w:t>connection with private placement financings.</w:t>
              </w:r>
            </w:hyperlink>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w:t>
            </w:r>
          </w:p>
        </w:tc>
        <w:tc>
          <w:tcPr>
            <w:tcW w:w="3140" w:type="dxa"/>
            <w:vAlign w:val="bottom"/>
            <w:gridSpan w:val="28"/>
          </w:tcPr>
          <w:p>
            <w:pPr>
              <w:spacing w:after="0"/>
              <w:rPr>
                <w:rFonts w:ascii="Arial" w:cs="Arial" w:eastAsia="Arial" w:hAnsi="Arial"/>
                <w:sz w:val="14"/>
                <w:szCs w:val="14"/>
                <w:color w:val="0000FF"/>
              </w:rPr>
            </w:pPr>
            <w:hyperlink r:id="rId54">
              <w:r>
                <w:rPr>
                  <w:rFonts w:ascii="Arial" w:cs="Arial" w:eastAsia="Arial" w:hAnsi="Arial"/>
                  <w:sz w:val="14"/>
                  <w:szCs w:val="14"/>
                  <w:color w:val="0000FF"/>
                </w:rPr>
                <w:t>Form of Restricted Stock Unit Agreement under</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10.5</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40" w:type="dxa"/>
            <w:vAlign w:val="bottom"/>
            <w:tcBorders>
              <w:top w:val="single" w:sz="8" w:color="0000FF"/>
            </w:tcBorders>
            <w:gridSpan w:val="24"/>
          </w:tcPr>
          <w:p>
            <w:pPr>
              <w:spacing w:after="0" w:line="115" w:lineRule="exact"/>
              <w:rPr>
                <w:rFonts w:ascii="Arial" w:cs="Arial" w:eastAsia="Arial" w:hAnsi="Arial"/>
                <w:sz w:val="13"/>
                <w:szCs w:val="13"/>
                <w:color w:val="0000FF"/>
              </w:rPr>
            </w:pPr>
            <w:hyperlink r:id="rId54">
              <w:r>
                <w:rPr>
                  <w:rFonts w:ascii="Arial" w:cs="Arial" w:eastAsia="Arial" w:hAnsi="Arial"/>
                  <w:sz w:val="13"/>
                  <w:szCs w:val="13"/>
                  <w:color w:val="0000FF"/>
                </w:rPr>
                <w:t>Exagen Inc. 2019 Incentive Award Plan.</w:t>
              </w:r>
            </w:hyperlink>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40" w:type="dxa"/>
            <w:vAlign w:val="bottom"/>
          </w:tcPr>
          <w:p>
            <w:pPr>
              <w:spacing w:after="0"/>
              <w:rPr>
                <w:sz w:val="14"/>
                <w:szCs w:val="14"/>
                <w:color w:val="auto"/>
              </w:rPr>
            </w:pPr>
          </w:p>
        </w:tc>
        <w:tc>
          <w:tcPr>
            <w:tcW w:w="2540" w:type="dxa"/>
            <w:vAlign w:val="bottom"/>
            <w:tcBorders>
              <w:top w:val="single" w:sz="8" w:color="0000FF"/>
            </w:tcBorders>
            <w:gridSpan w:val="11"/>
          </w:tcPr>
          <w:p>
            <w:pPr>
              <w:spacing w:after="0"/>
              <w:rPr>
                <w:rFonts w:ascii="Arial" w:cs="Arial" w:eastAsia="Arial" w:hAnsi="Arial"/>
                <w:sz w:val="14"/>
                <w:szCs w:val="14"/>
                <w:color w:val="0000FF"/>
              </w:rPr>
            </w:pPr>
            <w:hyperlink r:id="rId55">
              <w:r>
                <w:rPr>
                  <w:rFonts w:ascii="Arial" w:cs="Arial" w:eastAsia="Arial" w:hAnsi="Arial"/>
                  <w:sz w:val="14"/>
                  <w:szCs w:val="14"/>
                  <w:color w:val="0000FF"/>
                </w:rPr>
                <w:t>First Amendment to Standard</w:t>
              </w:r>
            </w:hyperlink>
          </w:p>
        </w:tc>
        <w:tc>
          <w:tcPr>
            <w:tcW w:w="600" w:type="dxa"/>
            <w:vAlign w:val="bottom"/>
            <w:gridSpan w:val="17"/>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6"/>
          </w:tcPr>
          <w:p>
            <w:pPr>
              <w:spacing w:after="0" w:line="122" w:lineRule="exact"/>
              <w:rPr>
                <w:rFonts w:ascii="Arial" w:cs="Arial" w:eastAsia="Arial" w:hAnsi="Arial"/>
                <w:sz w:val="14"/>
                <w:szCs w:val="14"/>
                <w:color w:val="0000FF"/>
              </w:rPr>
            </w:pPr>
            <w:hyperlink r:id="rId55">
              <w:r>
                <w:rPr>
                  <w:rFonts w:ascii="Arial" w:cs="Arial" w:eastAsia="Arial" w:hAnsi="Arial"/>
                  <w:sz w:val="14"/>
                  <w:szCs w:val="14"/>
                  <w:color w:val="0000FF"/>
                </w:rPr>
                <w:t>Industrial/Commercial Single-</w:t>
              </w:r>
            </w:hyperlink>
          </w:p>
        </w:tc>
        <w:tc>
          <w:tcPr>
            <w:tcW w:w="900" w:type="dxa"/>
            <w:vAlign w:val="bottom"/>
            <w:tcBorders>
              <w:bottom w:val="single" w:sz="8" w:color="0000FF"/>
            </w:tcBorders>
            <w:gridSpan w:val="12"/>
          </w:tcPr>
          <w:p>
            <w:pPr>
              <w:spacing w:after="0" w:line="122" w:lineRule="exact"/>
              <w:rPr>
                <w:rFonts w:ascii="Arial" w:cs="Arial" w:eastAsia="Arial" w:hAnsi="Arial"/>
                <w:sz w:val="14"/>
                <w:szCs w:val="14"/>
                <w:color w:val="0000FF"/>
                <w:w w:val="98"/>
              </w:rPr>
            </w:pPr>
            <w:hyperlink r:id="rId55">
              <w:r>
                <w:rPr>
                  <w:rFonts w:ascii="Arial" w:cs="Arial" w:eastAsia="Arial" w:hAnsi="Arial"/>
                  <w:sz w:val="14"/>
                  <w:szCs w:val="14"/>
                  <w:color w:val="0000FF"/>
                  <w:w w:val="98"/>
                </w:rPr>
                <w:t>Tenant Lease,</w:t>
              </w:r>
            </w:hyperlink>
          </w:p>
        </w:tc>
        <w:tc>
          <w:tcPr>
            <w:tcW w:w="360" w:type="dxa"/>
            <w:vAlign w:val="bottom"/>
            <w:gridSpan w:val="10"/>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10.2</w:t>
            </w:r>
          </w:p>
        </w:tc>
        <w:tc>
          <w:tcPr>
            <w:tcW w:w="3140" w:type="dxa"/>
            <w:vAlign w:val="bottom"/>
            <w:gridSpan w:val="28"/>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dated January 6, 2021, by and between Liberty</w:t>
              </w:r>
            </w:hyperlink>
          </w:p>
        </w:tc>
        <w:tc>
          <w:tcPr>
            <w:tcW w:w="800" w:type="dxa"/>
            <w:vAlign w:val="bottom"/>
            <w:vMerge w:val="restart"/>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vMerge w:val="restart"/>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vMerge w:val="restart"/>
          </w:tcPr>
          <w:p>
            <w:pPr>
              <w:jc w:val="center"/>
              <w:ind w:left="88"/>
              <w:spacing w:after="0"/>
              <w:rPr>
                <w:sz w:val="20"/>
                <w:szCs w:val="20"/>
                <w:color w:val="auto"/>
              </w:rPr>
            </w:pPr>
            <w:r>
              <w:rPr>
                <w:rFonts w:ascii="Arial" w:cs="Arial" w:eastAsia="Arial" w:hAnsi="Arial"/>
                <w:sz w:val="14"/>
                <w:szCs w:val="14"/>
                <w:color w:val="auto"/>
              </w:rPr>
              <w:t>10.34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20" w:type="dxa"/>
            <w:vAlign w:val="bottom"/>
            <w:tcBorders>
              <w:top w:val="single" w:sz="8" w:color="0000FF"/>
            </w:tcBorders>
            <w:gridSpan w:val="23"/>
          </w:tcPr>
          <w:p>
            <w:pPr>
              <w:spacing w:after="0" w:line="115" w:lineRule="exact"/>
              <w:rPr>
                <w:rFonts w:ascii="Arial" w:cs="Arial" w:eastAsia="Arial" w:hAnsi="Arial"/>
                <w:sz w:val="13"/>
                <w:szCs w:val="13"/>
                <w:color w:val="0000FF"/>
              </w:rPr>
            </w:pPr>
            <w:hyperlink r:id="rId55">
              <w:r>
                <w:rPr>
                  <w:rFonts w:ascii="Arial" w:cs="Arial" w:eastAsia="Arial" w:hAnsi="Arial"/>
                  <w:sz w:val="13"/>
                  <w:szCs w:val="13"/>
                  <w:color w:val="0000FF"/>
                </w:rPr>
                <w:t>Vista and the Registrant.</w:t>
              </w:r>
            </w:hyperlink>
          </w:p>
        </w:tc>
        <w:tc>
          <w:tcPr>
            <w:tcW w:w="8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ind w:left="20"/>
              <w:spacing w:after="0"/>
              <w:rPr>
                <w:sz w:val="20"/>
                <w:szCs w:val="20"/>
                <w:color w:val="auto"/>
              </w:rPr>
            </w:pPr>
            <w:r>
              <w:rPr>
                <w:rFonts w:ascii="Arial" w:cs="Arial" w:eastAsia="Arial" w:hAnsi="Arial"/>
                <w:sz w:val="14"/>
                <w:szCs w:val="14"/>
                <w:color w:val="auto"/>
              </w:rPr>
              <w:t>10.3#</w:t>
            </w:r>
          </w:p>
        </w:tc>
        <w:tc>
          <w:tcPr>
            <w:tcW w:w="2920" w:type="dxa"/>
            <w:vAlign w:val="bottom"/>
            <w:tcBorders>
              <w:bottom w:val="single" w:sz="8" w:color="0000FF"/>
            </w:tcBorders>
            <w:gridSpan w:val="20"/>
          </w:tcPr>
          <w:p>
            <w:pPr>
              <w:spacing w:after="0"/>
              <w:rPr>
                <w:rFonts w:ascii="Arial" w:cs="Arial" w:eastAsia="Arial" w:hAnsi="Arial"/>
                <w:sz w:val="14"/>
                <w:szCs w:val="14"/>
                <w:color w:val="0000FF"/>
              </w:rPr>
            </w:pPr>
            <w:hyperlink r:id="rId56">
              <w:r>
                <w:rPr>
                  <w:rFonts w:ascii="Arial" w:cs="Arial" w:eastAsia="Arial" w:hAnsi="Arial"/>
                  <w:sz w:val="14"/>
                  <w:szCs w:val="14"/>
                  <w:color w:val="0000FF"/>
                </w:rPr>
                <w:t>Executive Change in Control Severance Plan.</w:t>
              </w:r>
            </w:hyperlink>
          </w:p>
        </w:tc>
        <w:tc>
          <w:tcPr>
            <w:tcW w:w="220" w:type="dxa"/>
            <w:vAlign w:val="bottom"/>
            <w:gridSpan w:val="8"/>
          </w:tcPr>
          <w:p>
            <w:pPr>
              <w:spacing w:after="0"/>
              <w:rPr>
                <w:sz w:val="14"/>
                <w:szCs w:val="14"/>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color w:val="auto"/>
              </w:rPr>
              <w:t>10-K</w:t>
            </w:r>
          </w:p>
        </w:tc>
        <w:tc>
          <w:tcPr>
            <w:tcW w:w="1320" w:type="dxa"/>
            <w:vAlign w:val="bottom"/>
          </w:tcPr>
          <w:p>
            <w:pPr>
              <w:jc w:val="center"/>
              <w:ind w:left="188"/>
              <w:spacing w:after="0"/>
              <w:rPr>
                <w:sz w:val="20"/>
                <w:szCs w:val="20"/>
                <w:color w:val="auto"/>
              </w:rPr>
            </w:pPr>
            <w:r>
              <w:rPr>
                <w:rFonts w:ascii="Arial" w:cs="Arial" w:eastAsia="Arial" w:hAnsi="Arial"/>
                <w:sz w:val="14"/>
                <w:szCs w:val="14"/>
                <w:color w:val="auto"/>
              </w:rPr>
              <w:t>001-39049</w:t>
            </w:r>
          </w:p>
        </w:tc>
        <w:tc>
          <w:tcPr>
            <w:tcW w:w="960" w:type="dxa"/>
            <w:vAlign w:val="bottom"/>
          </w:tcPr>
          <w:p>
            <w:pPr>
              <w:jc w:val="center"/>
              <w:ind w:left="88"/>
              <w:spacing w:after="0"/>
              <w:rPr>
                <w:sz w:val="20"/>
                <w:szCs w:val="20"/>
                <w:color w:val="auto"/>
              </w:rPr>
            </w:pPr>
            <w:r>
              <w:rPr>
                <w:rFonts w:ascii="Arial" w:cs="Arial" w:eastAsia="Arial" w:hAnsi="Arial"/>
                <w:sz w:val="14"/>
                <w:szCs w:val="14"/>
                <w:color w:val="auto"/>
              </w:rPr>
              <w:t>10.46</w:t>
            </w:r>
          </w:p>
        </w:tc>
        <w:tc>
          <w:tcPr>
            <w:tcW w:w="1140" w:type="dxa"/>
            <w:vAlign w:val="bottom"/>
          </w:tcPr>
          <w:p>
            <w:pPr>
              <w:jc w:val="center"/>
              <w:spacing w:after="0"/>
              <w:rPr>
                <w:sz w:val="20"/>
                <w:szCs w:val="20"/>
                <w:color w:val="auto"/>
              </w:rPr>
            </w:pPr>
            <w:r>
              <w:rPr>
                <w:rFonts w:ascii="Arial" w:cs="Arial" w:eastAsia="Arial" w:hAnsi="Arial"/>
                <w:sz w:val="14"/>
                <w:szCs w:val="14"/>
                <w:color w:val="auto"/>
              </w:rPr>
              <w:t>3/16/2021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8"/>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Certificate of Principal Executive Officer,</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40" w:type="dxa"/>
            <w:vAlign w:val="bottom"/>
          </w:tcPr>
          <w:p>
            <w:pPr>
              <w:spacing w:after="0"/>
              <w:rPr>
                <w:sz w:val="10"/>
                <w:szCs w:val="10"/>
                <w:color w:val="auto"/>
              </w:rPr>
            </w:pPr>
          </w:p>
        </w:tc>
        <w:tc>
          <w:tcPr>
            <w:tcW w:w="3140" w:type="dxa"/>
            <w:vAlign w:val="bottom"/>
            <w:gridSpan w:val="28"/>
          </w:tcPr>
          <w:p>
            <w:pPr>
              <w:spacing w:after="0" w:line="115" w:lineRule="exact"/>
              <w:rPr>
                <w:rFonts w:ascii="Arial" w:cs="Arial" w:eastAsia="Arial" w:hAnsi="Arial"/>
                <w:sz w:val="13"/>
                <w:szCs w:val="13"/>
                <w:color w:val="0000FF"/>
              </w:rPr>
            </w:pPr>
            <w:hyperlink w:anchor="page39">
              <w:r>
                <w:rPr>
                  <w:rFonts w:ascii="Arial" w:cs="Arial" w:eastAsia="Arial" w:hAnsi="Arial"/>
                  <w:sz w:val="13"/>
                  <w:szCs w:val="13"/>
                  <w:color w:val="0000FF"/>
                </w:rPr>
                <w:t>pursuant to Rule 13a-14(a)/15d-14(a), as</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31.1</w:t>
            </w:r>
          </w:p>
        </w:tc>
        <w:tc>
          <w:tcPr>
            <w:tcW w:w="2600" w:type="dxa"/>
            <w:vAlign w:val="bottom"/>
            <w:tcBorders>
              <w:top w:val="single" w:sz="8" w:color="0000FF"/>
            </w:tcBorders>
            <w:gridSpan w:val="14"/>
          </w:tcPr>
          <w:p>
            <w:pPr>
              <w:spacing w:after="0" w:line="115" w:lineRule="exact"/>
              <w:rPr>
                <w:rFonts w:ascii="Arial" w:cs="Arial" w:eastAsia="Arial" w:hAnsi="Arial"/>
                <w:sz w:val="13"/>
                <w:szCs w:val="13"/>
                <w:color w:val="0000FF"/>
              </w:rPr>
            </w:pPr>
            <w:hyperlink w:anchor="page39">
              <w:r>
                <w:rPr>
                  <w:rFonts w:ascii="Arial" w:cs="Arial" w:eastAsia="Arial" w:hAnsi="Arial"/>
                  <w:sz w:val="13"/>
                  <w:szCs w:val="13"/>
                  <w:color w:val="0000FF"/>
                </w:rPr>
                <w:t>adopted pursuant to Section 302 of the</w:t>
              </w:r>
            </w:hyperlink>
          </w:p>
        </w:tc>
        <w:tc>
          <w:tcPr>
            <w:tcW w:w="120" w:type="dxa"/>
            <w:vAlign w:val="bottom"/>
            <w:gridSpan w:val="3"/>
          </w:tcPr>
          <w:p>
            <w:pPr>
              <w:spacing w:after="0"/>
              <w:rPr>
                <w:sz w:val="10"/>
                <w:szCs w:val="10"/>
                <w:color w:val="auto"/>
              </w:rPr>
            </w:pPr>
          </w:p>
        </w:tc>
        <w:tc>
          <w:tcPr>
            <w:tcW w:w="2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184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rPr>
            </w:pPr>
            <w:hyperlink w:anchor="page39">
              <w:r>
                <w:rPr>
                  <w:rFonts w:ascii="Arial" w:cs="Arial" w:eastAsia="Arial" w:hAnsi="Arial"/>
                  <w:sz w:val="13"/>
                  <w:szCs w:val="13"/>
                  <w:color w:val="0000FF"/>
                </w:rPr>
                <w:t>Sarbanes-Oxley Act of 2002.</w:t>
              </w:r>
            </w:hyperlink>
          </w:p>
        </w:tc>
        <w:tc>
          <w:tcPr>
            <w:tcW w:w="7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26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8"/>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Certificate of Principal Financial Officer, pursuant</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40" w:type="dxa"/>
            <w:vAlign w:val="bottom"/>
          </w:tcPr>
          <w:p>
            <w:pPr>
              <w:spacing w:after="0"/>
              <w:rPr>
                <w:sz w:val="9"/>
                <w:szCs w:val="9"/>
                <w:color w:val="auto"/>
              </w:rPr>
            </w:pPr>
          </w:p>
        </w:tc>
        <w:tc>
          <w:tcPr>
            <w:tcW w:w="3100" w:type="dxa"/>
            <w:vAlign w:val="bottom"/>
            <w:tcBorders>
              <w:top w:val="single" w:sz="8" w:color="0000FF"/>
            </w:tcBorders>
            <w:gridSpan w:val="26"/>
          </w:tcPr>
          <w:p>
            <w:pPr>
              <w:spacing w:after="0" w:line="106" w:lineRule="exact"/>
              <w:rPr>
                <w:rFonts w:ascii="Arial" w:cs="Arial" w:eastAsia="Arial" w:hAnsi="Arial"/>
                <w:sz w:val="12"/>
                <w:szCs w:val="12"/>
                <w:color w:val="0000FF"/>
              </w:rPr>
            </w:pPr>
            <w:hyperlink w:anchor="page41">
              <w:r>
                <w:rPr>
                  <w:rFonts w:ascii="Arial" w:cs="Arial" w:eastAsia="Arial" w:hAnsi="Arial"/>
                  <w:sz w:val="12"/>
                  <w:szCs w:val="12"/>
                  <w:color w:val="0000FF"/>
                </w:rPr>
                <w:t>to Rule 13a-14(a)/15d-14(a), as adopted</w:t>
              </w:r>
            </w:hyperlink>
          </w:p>
        </w:tc>
        <w:tc>
          <w:tcPr>
            <w:tcW w:w="4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2"/>
          </w:tcPr>
          <w:p>
            <w:pPr>
              <w:spacing w:after="0" w:line="122" w:lineRule="exact"/>
              <w:rPr>
                <w:rFonts w:ascii="Arial" w:cs="Arial" w:eastAsia="Arial" w:hAnsi="Arial"/>
                <w:sz w:val="14"/>
                <w:szCs w:val="14"/>
                <w:color w:val="0000FF"/>
              </w:rPr>
            </w:pPr>
            <w:hyperlink w:anchor="page41">
              <w:r>
                <w:rPr>
                  <w:rFonts w:ascii="Arial" w:cs="Arial" w:eastAsia="Arial" w:hAnsi="Arial"/>
                  <w:sz w:val="14"/>
                  <w:szCs w:val="14"/>
                  <w:color w:val="0000FF"/>
                </w:rPr>
                <w:t>pursuant to Section 302 of the Sarbanes</w:t>
              </w:r>
            </w:hyperlink>
          </w:p>
        </w:tc>
        <w:tc>
          <w:tcPr>
            <w:tcW w:w="580" w:type="dxa"/>
            <w:vAlign w:val="bottom"/>
            <w:gridSpan w:val="16"/>
          </w:tcPr>
          <w:p>
            <w:pPr>
              <w:spacing w:after="0" w:line="122" w:lineRule="exact"/>
              <w:rPr>
                <w:rFonts w:ascii="Arial" w:cs="Arial" w:eastAsia="Arial" w:hAnsi="Arial"/>
                <w:sz w:val="14"/>
                <w:szCs w:val="14"/>
                <w:color w:val="0000FF"/>
              </w:rPr>
            </w:pPr>
            <w:hyperlink w:anchor="page41">
              <w:r>
                <w:rPr>
                  <w:rFonts w:ascii="Arial" w:cs="Arial" w:eastAsia="Arial" w:hAnsi="Arial"/>
                  <w:sz w:val="14"/>
                  <w:szCs w:val="14"/>
                  <w:color w:val="0000FF"/>
                </w:rPr>
                <w:t>-Oxley</w:t>
              </w:r>
            </w:hyperlink>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300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w:anchor="page41">
              <w:r>
                <w:rPr>
                  <w:rFonts w:ascii="Arial" w:cs="Arial" w:eastAsia="Arial" w:hAnsi="Arial"/>
                  <w:sz w:val="13"/>
                  <w:szCs w:val="13"/>
                  <w:color w:val="0000FF"/>
                </w:rPr>
                <w:t>Act of 2002.</w:t>
              </w:r>
            </w:hyperlink>
          </w:p>
        </w:tc>
        <w:tc>
          <w:tcPr>
            <w:tcW w:w="140" w:type="dxa"/>
            <w:vAlign w:val="bottom"/>
            <w:gridSpan w:val="6"/>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spacing w:after="0"/>
              <w:rPr>
                <w:sz w:val="14"/>
                <w:szCs w:val="14"/>
                <w:color w:val="auto"/>
              </w:rPr>
            </w:pPr>
          </w:p>
        </w:tc>
        <w:tc>
          <w:tcPr>
            <w:tcW w:w="3140" w:type="dxa"/>
            <w:vAlign w:val="bottom"/>
            <w:gridSpan w:val="28"/>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Certifications Pursuant to U.S.C. Section 1350,</w:t>
              </w:r>
            </w:hyperlink>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298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w:anchor="page43">
              <w:r>
                <w:rPr>
                  <w:rFonts w:ascii="Arial" w:cs="Arial" w:eastAsia="Arial" w:hAnsi="Arial"/>
                  <w:sz w:val="13"/>
                  <w:szCs w:val="13"/>
                  <w:color w:val="0000FF"/>
                </w:rPr>
                <w:t>As Adopted Pursuant to Section 906 of the</w:t>
              </w:r>
            </w:hyperlink>
          </w:p>
        </w:tc>
        <w:tc>
          <w:tcPr>
            <w:tcW w:w="160" w:type="dxa"/>
            <w:vAlign w:val="bottom"/>
            <w:gridSpan w:val="7"/>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w:anchor="page43">
              <w:r>
                <w:rPr>
                  <w:rFonts w:ascii="Arial" w:cs="Arial" w:eastAsia="Arial" w:hAnsi="Arial"/>
                  <w:sz w:val="13"/>
                  <w:szCs w:val="13"/>
                  <w:color w:val="0000FF"/>
                </w:rPr>
                <w:t>Public Company Accounting Reform and</w:t>
              </w:r>
            </w:hyperlink>
          </w:p>
        </w:tc>
        <w:tc>
          <w:tcPr>
            <w:tcW w:w="420" w:type="dxa"/>
            <w:vAlign w:val="bottom"/>
            <w:gridSpan w:val="11"/>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580" w:type="dxa"/>
            <w:vAlign w:val="bottom"/>
            <w:tcBorders>
              <w:top w:val="single" w:sz="8" w:color="0000FF"/>
            </w:tcBorders>
            <w:gridSpan w:val="13"/>
          </w:tcPr>
          <w:p>
            <w:pPr>
              <w:spacing w:after="0" w:line="115" w:lineRule="exact"/>
              <w:rPr>
                <w:rFonts w:ascii="Arial" w:cs="Arial" w:eastAsia="Arial" w:hAnsi="Arial"/>
                <w:sz w:val="13"/>
                <w:szCs w:val="13"/>
                <w:color w:val="0000FF"/>
              </w:rPr>
            </w:pPr>
            <w:hyperlink w:anchor="page43">
              <w:r>
                <w:rPr>
                  <w:rFonts w:ascii="Arial" w:cs="Arial" w:eastAsia="Arial" w:hAnsi="Arial"/>
                  <w:sz w:val="13"/>
                  <w:szCs w:val="13"/>
                  <w:color w:val="0000FF"/>
                </w:rPr>
                <w:t>Investor Protection Act of 2002.</w:t>
              </w:r>
            </w:hyperlink>
          </w:p>
        </w:tc>
        <w:tc>
          <w:tcPr>
            <w:tcW w:w="560" w:type="dxa"/>
            <w:vAlign w:val="bottom"/>
            <w:gridSpan w:val="15"/>
          </w:tcPr>
          <w:p>
            <w:pPr>
              <w:spacing w:after="0"/>
              <w:rPr>
                <w:sz w:val="10"/>
                <w:szCs w:val="10"/>
                <w:color w:val="auto"/>
              </w:rPr>
            </w:pPr>
          </w:p>
        </w:tc>
        <w:tc>
          <w:tcPr>
            <w:tcW w:w="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140" w:type="dxa"/>
            <w:vAlign w:val="bottom"/>
            <w:gridSpan w:val="2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40" w:type="dxa"/>
            <w:vAlign w:val="bottom"/>
          </w:tcPr>
          <w:p>
            <w:pPr>
              <w:ind w:left="20"/>
              <w:spacing w:after="0"/>
              <w:rPr>
                <w:sz w:val="20"/>
                <w:szCs w:val="20"/>
                <w:color w:val="auto"/>
              </w:rPr>
            </w:pPr>
            <w:r>
              <w:rPr>
                <w:rFonts w:ascii="Arial" w:cs="Arial" w:eastAsia="Arial" w:hAnsi="Arial"/>
                <w:sz w:val="14"/>
                <w:szCs w:val="14"/>
                <w:color w:val="auto"/>
              </w:rPr>
              <w:t>101.SCH</w:t>
            </w:r>
          </w:p>
        </w:tc>
        <w:tc>
          <w:tcPr>
            <w:tcW w:w="3140" w:type="dxa"/>
            <w:vAlign w:val="bottom"/>
            <w:gridSpan w:val="28"/>
          </w:tcPr>
          <w:p>
            <w:pPr>
              <w:spacing w:after="0"/>
              <w:rPr>
                <w:sz w:val="20"/>
                <w:szCs w:val="20"/>
                <w:color w:val="auto"/>
              </w:rPr>
            </w:pPr>
            <w:r>
              <w:rPr>
                <w:rFonts w:ascii="Arial" w:cs="Arial" w:eastAsia="Arial" w:hAnsi="Arial"/>
                <w:sz w:val="14"/>
                <w:szCs w:val="14"/>
                <w:color w:val="auto"/>
              </w:rPr>
              <w:t>XBRL Taxonomy Extension Schema Document.</w:t>
            </w: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101.CAL</w:t>
            </w:r>
          </w:p>
        </w:tc>
        <w:tc>
          <w:tcPr>
            <w:tcW w:w="3140" w:type="dxa"/>
            <w:vAlign w:val="bottom"/>
            <w:gridSpan w:val="28"/>
          </w:tcPr>
          <w:p>
            <w:pPr>
              <w:spacing w:after="0" w:line="152" w:lineRule="exact"/>
              <w:rPr>
                <w:sz w:val="20"/>
                <w:szCs w:val="20"/>
                <w:color w:val="auto"/>
              </w:rPr>
            </w:pPr>
            <w:r>
              <w:rPr>
                <w:rFonts w:ascii="Arial" w:cs="Arial" w:eastAsia="Arial" w:hAnsi="Arial"/>
                <w:sz w:val="14"/>
                <w:szCs w:val="14"/>
                <w:color w:val="auto"/>
              </w:rPr>
              <w:t>XBRL Taxonomy Extension Calculation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8"/>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101.DEF</w:t>
            </w:r>
          </w:p>
        </w:tc>
        <w:tc>
          <w:tcPr>
            <w:tcW w:w="3140" w:type="dxa"/>
            <w:vAlign w:val="bottom"/>
            <w:gridSpan w:val="28"/>
          </w:tcPr>
          <w:p>
            <w:pPr>
              <w:spacing w:after="0" w:line="152" w:lineRule="exact"/>
              <w:rPr>
                <w:sz w:val="20"/>
                <w:szCs w:val="20"/>
                <w:color w:val="auto"/>
              </w:rPr>
            </w:pPr>
            <w:r>
              <w:rPr>
                <w:rFonts w:ascii="Arial" w:cs="Arial" w:eastAsia="Arial" w:hAnsi="Arial"/>
                <w:sz w:val="14"/>
                <w:szCs w:val="14"/>
                <w:color w:val="auto"/>
              </w:rPr>
              <w:t>XBRL Taxonomy Extension Definition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8"/>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101.LAB</w:t>
            </w:r>
          </w:p>
        </w:tc>
        <w:tc>
          <w:tcPr>
            <w:tcW w:w="3140" w:type="dxa"/>
            <w:vAlign w:val="bottom"/>
            <w:gridSpan w:val="28"/>
          </w:tcPr>
          <w:p>
            <w:pPr>
              <w:spacing w:after="0" w:line="152" w:lineRule="exact"/>
              <w:rPr>
                <w:sz w:val="20"/>
                <w:szCs w:val="20"/>
                <w:color w:val="auto"/>
              </w:rPr>
            </w:pPr>
            <w:r>
              <w:rPr>
                <w:rFonts w:ascii="Arial" w:cs="Arial" w:eastAsia="Arial" w:hAnsi="Arial"/>
                <w:sz w:val="14"/>
                <w:szCs w:val="14"/>
                <w:color w:val="auto"/>
              </w:rPr>
              <w:t>XBRL Taxonomy Extension Labels Linkbase</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8"/>
          </w:tcPr>
          <w:p>
            <w:pPr>
              <w:spacing w:after="0"/>
              <w:rPr>
                <w:sz w:val="20"/>
                <w:szCs w:val="20"/>
                <w:color w:val="auto"/>
              </w:rPr>
            </w:pPr>
            <w:r>
              <w:rPr>
                <w:rFonts w:ascii="Arial" w:cs="Arial" w:eastAsia="Arial" w:hAnsi="Arial"/>
                <w:sz w:val="14"/>
                <w:szCs w:val="14"/>
                <w:color w:val="auto"/>
              </w:rPr>
              <w:t>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40" w:type="dxa"/>
            <w:vAlign w:val="bottom"/>
            <w:vMerge w:val="restart"/>
          </w:tcPr>
          <w:p>
            <w:pPr>
              <w:ind w:left="20"/>
              <w:spacing w:after="0"/>
              <w:rPr>
                <w:sz w:val="20"/>
                <w:szCs w:val="20"/>
                <w:color w:val="auto"/>
              </w:rPr>
            </w:pPr>
            <w:r>
              <w:rPr>
                <w:rFonts w:ascii="Arial" w:cs="Arial" w:eastAsia="Arial" w:hAnsi="Arial"/>
                <w:sz w:val="14"/>
                <w:szCs w:val="14"/>
                <w:color w:val="auto"/>
              </w:rPr>
              <w:t>101.PRE</w:t>
            </w:r>
          </w:p>
        </w:tc>
        <w:tc>
          <w:tcPr>
            <w:tcW w:w="3140" w:type="dxa"/>
            <w:vAlign w:val="bottom"/>
            <w:gridSpan w:val="28"/>
          </w:tcPr>
          <w:p>
            <w:pPr>
              <w:spacing w:after="0" w:line="152" w:lineRule="exact"/>
              <w:rPr>
                <w:sz w:val="20"/>
                <w:szCs w:val="20"/>
                <w:color w:val="auto"/>
              </w:rPr>
            </w:pPr>
            <w:r>
              <w:rPr>
                <w:rFonts w:ascii="Arial" w:cs="Arial" w:eastAsia="Arial" w:hAnsi="Arial"/>
                <w:sz w:val="14"/>
                <w:szCs w:val="14"/>
                <w:color w:val="auto"/>
              </w:rPr>
              <w:t>XBRL Taxonomy Extension Presentation</w:t>
            </w:r>
          </w:p>
        </w:tc>
        <w:tc>
          <w:tcPr>
            <w:tcW w:w="8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60" w:type="dxa"/>
            <w:vAlign w:val="bottom"/>
            <w:vMerge w:val="restart"/>
          </w:tcPr>
          <w:p>
            <w:pPr>
              <w:ind w:left="6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vMerge w:val="continue"/>
          </w:tcPr>
          <w:p>
            <w:pPr>
              <w:spacing w:after="0"/>
              <w:rPr>
                <w:sz w:val="14"/>
                <w:szCs w:val="14"/>
                <w:color w:val="auto"/>
              </w:rPr>
            </w:pPr>
          </w:p>
        </w:tc>
        <w:tc>
          <w:tcPr>
            <w:tcW w:w="3140" w:type="dxa"/>
            <w:vAlign w:val="bottom"/>
            <w:gridSpan w:val="28"/>
          </w:tcPr>
          <w:p>
            <w:pPr>
              <w:spacing w:after="0"/>
              <w:rPr>
                <w:sz w:val="20"/>
                <w:szCs w:val="20"/>
                <w:color w:val="auto"/>
              </w:rPr>
            </w:pPr>
            <w:r>
              <w:rPr>
                <w:rFonts w:ascii="Arial" w:cs="Arial" w:eastAsia="Arial" w:hAnsi="Arial"/>
                <w:sz w:val="14"/>
                <w:szCs w:val="14"/>
                <w:color w:val="auto"/>
              </w:rPr>
              <w:t>Linkbase Document.</w:t>
            </w: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ind w:left="323" w:hanging="323"/>
        <w:spacing w:after="0"/>
        <w:tabs>
          <w:tab w:leader="none" w:pos="323"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This certification is deemed not filed for purpose of section 18 of the Exchange Act or otherwise subject to the liability of that</w:t>
      </w:r>
    </w:p>
    <w:p>
      <w:pPr>
        <w:spacing w:after="0" w:line="21" w:lineRule="exact"/>
        <w:rPr>
          <w:sz w:val="20"/>
          <w:szCs w:val="20"/>
          <w:color w:val="auto"/>
        </w:rPr>
      </w:pPr>
    </w:p>
    <w:p>
      <w:pPr>
        <w:ind w:left="643"/>
        <w:spacing w:after="0"/>
        <w:rPr>
          <w:sz w:val="20"/>
          <w:szCs w:val="20"/>
          <w:color w:val="auto"/>
        </w:rPr>
      </w:pPr>
      <w:r>
        <w:rPr>
          <w:rFonts w:ascii="Arial" w:cs="Arial" w:eastAsia="Arial" w:hAnsi="Arial"/>
          <w:sz w:val="18"/>
          <w:szCs w:val="18"/>
          <w:color w:val="auto"/>
        </w:rPr>
        <w:t>section, nor shall it be deemed incorporated by reference into any filing under the Securities Act or the Exchange Act.</w:t>
      </w:r>
    </w:p>
    <w:p>
      <w:pPr>
        <w:spacing w:after="0" w:line="9" w:lineRule="exact"/>
        <w:rPr>
          <w:sz w:val="20"/>
          <w:szCs w:val="20"/>
          <w:color w:val="auto"/>
        </w:rPr>
      </w:pPr>
    </w:p>
    <w:p>
      <w:pPr>
        <w:ind w:left="303" w:hanging="303"/>
        <w:spacing w:after="0"/>
        <w:tabs>
          <w:tab w:leader="none" w:pos="30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349" w:lineRule="exact"/>
        <w:rPr>
          <w:sz w:val="20"/>
          <w:szCs w:val="20"/>
          <w:color w:val="auto"/>
        </w:rPr>
      </w:pPr>
    </w:p>
    <w:p>
      <w:pPr>
        <w:jc w:val="center"/>
        <w:ind w:right="377"/>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1129" w:right="679" w:bottom="1440" w:gutter="0" w:footer="0" w:header="0"/>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9"/>
        </w:trPr>
        <w:tc>
          <w:tcPr>
            <w:tcW w:w="3780" w:type="dxa"/>
            <w:vAlign w:val="bottom"/>
          </w:tcPr>
          <w:p>
            <w:pPr>
              <w:spacing w:after="0"/>
              <w:rPr>
                <w:sz w:val="20"/>
                <w:szCs w:val="20"/>
                <w:color w:val="auto"/>
              </w:rPr>
            </w:pPr>
            <w:r>
              <w:rPr>
                <w:rFonts w:ascii="Arial" w:cs="Arial" w:eastAsia="Arial" w:hAnsi="Arial"/>
                <w:sz w:val="18"/>
                <w:szCs w:val="18"/>
                <w:color w:val="auto"/>
              </w:rPr>
              <w:t>Date: May 11, 2021</w:t>
            </w:r>
          </w:p>
        </w:tc>
        <w:tc>
          <w:tcPr>
            <w:tcW w:w="2820" w:type="dxa"/>
            <w:vAlign w:val="bottom"/>
          </w:tcPr>
          <w:p>
            <w:pPr>
              <w:ind w:left="22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23"/>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3780" w:type="dxa"/>
            <w:vAlign w:val="bottom"/>
          </w:tcPr>
          <w:p>
            <w:pPr>
              <w:spacing w:after="0"/>
              <w:rPr>
                <w:sz w:val="20"/>
                <w:szCs w:val="20"/>
                <w:color w:val="auto"/>
              </w:rPr>
            </w:pPr>
            <w:r>
              <w:rPr>
                <w:rFonts w:ascii="Arial" w:cs="Arial" w:eastAsia="Arial" w:hAnsi="Arial"/>
                <w:sz w:val="18"/>
                <w:szCs w:val="18"/>
                <w:color w:val="auto"/>
              </w:rPr>
              <w:t>Date: May 11, 2021</w:t>
            </w:r>
          </w:p>
        </w:tc>
        <w:tc>
          <w:tcPr>
            <w:tcW w:w="2820" w:type="dxa"/>
            <w:vAlign w:val="bottom"/>
          </w:tcPr>
          <w:p>
            <w:pPr>
              <w:ind w:left="22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23"/>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3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1129" w:right="4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39" w:name="page40"/>
    <w:bookmarkEnd w:id="39"/>
    <w:p>
      <w:pPr>
        <w:ind w:left="-20" w:firstLine="332"/>
        <w:spacing w:after="0" w:line="355"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May 11,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111" w:right="4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50" w:lineRule="auto"/>
        <w:tabs>
          <w:tab w:leader="none" w:pos="4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right="380" w:firstLine="8"/>
        <w:spacing w:after="0" w:line="355"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40" w:firstLine="8"/>
        <w:spacing w:after="0" w:line="350" w:lineRule="auto"/>
        <w:tabs>
          <w:tab w:leader="none" w:pos="3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right="200" w:firstLine="332"/>
        <w:spacing w:after="0" w:line="350"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right="500" w:firstLine="332"/>
        <w:spacing w:after="0" w:line="350" w:lineRule="auto"/>
        <w:tabs>
          <w:tab w:leader="none" w:pos="78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right="440" w:firstLine="332"/>
        <w:spacing w:after="0" w:line="350" w:lineRule="auto"/>
        <w:tabs>
          <w:tab w:leader="none" w:pos="77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jc w:val="both"/>
        <w:ind w:right="220" w:firstLine="332"/>
        <w:spacing w:after="0" w:line="350" w:lineRule="auto"/>
        <w:tabs>
          <w:tab w:leader="none" w:pos="8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7" w:lineRule="exact"/>
        <w:rPr>
          <w:sz w:val="20"/>
          <w:szCs w:val="20"/>
          <w:color w:val="auto"/>
        </w:rPr>
      </w:pPr>
    </w:p>
    <w:p>
      <w:pPr>
        <w:ind w:right="260" w:firstLine="332"/>
        <w:spacing w:after="0" w:line="350" w:lineRule="auto"/>
        <w:tabs>
          <w:tab w:leader="none" w:pos="7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4" w:right="339" w:bottom="1440" w:gutter="0" w:footer="0" w:header="0"/>
        </w:sectPr>
      </w:pPr>
    </w:p>
    <w:bookmarkStart w:id="41" w:name="page42"/>
    <w:bookmarkEnd w:id="41"/>
    <w:p>
      <w:pPr>
        <w:ind w:left="-20" w:firstLine="332"/>
        <w:spacing w:after="0" w:line="355" w:lineRule="auto"/>
        <w:tabs>
          <w:tab w:leader="none" w:pos="7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20" w:right="240" w:firstLine="332"/>
        <w:spacing w:after="0" w:line="355" w:lineRule="auto"/>
        <w:tabs>
          <w:tab w:leader="none" w:pos="7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Date: May 11, 2021</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23"/>
        </w:trPr>
        <w:tc>
          <w:tcPr>
            <w:tcW w:w="50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7"/>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1"/>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111" w:right="4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2021 (the</w:t>
      </w:r>
    </w:p>
    <w:p>
      <w:pPr>
        <w:spacing w:after="0" w:line="90" w:lineRule="exact"/>
        <w:rPr>
          <w:rFonts w:ascii="Arial" w:cs="Arial" w:eastAsia="Arial" w:hAnsi="Arial"/>
          <w:sz w:val="18"/>
          <w:szCs w:val="18"/>
          <w:color w:val="auto"/>
        </w:rPr>
      </w:pPr>
    </w:p>
    <w:p>
      <w:pPr>
        <w:ind w:left="660" w:right="320"/>
        <w:spacing w:after="0" w:line="355"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43"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2021 (the</w:t>
      </w:r>
    </w:p>
    <w:p>
      <w:pPr>
        <w:spacing w:after="0" w:line="90" w:lineRule="exact"/>
        <w:rPr>
          <w:rFonts w:ascii="Arial" w:cs="Arial" w:eastAsia="Arial" w:hAnsi="Arial"/>
          <w:sz w:val="18"/>
          <w:szCs w:val="18"/>
          <w:color w:val="auto"/>
        </w:rPr>
      </w:pPr>
    </w:p>
    <w:p>
      <w:pPr>
        <w:ind w:left="660" w:right="320"/>
        <w:spacing w:after="0" w:line="355"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43" w:lineRule="exact"/>
        <w:rPr>
          <w:rFonts w:ascii="Arial" w:cs="Arial" w:eastAsia="Arial" w:hAnsi="Arial"/>
          <w:sz w:val="18"/>
          <w:szCs w:val="18"/>
          <w:color w:val="auto"/>
        </w:rPr>
      </w:pPr>
    </w:p>
    <w:p>
      <w:pPr>
        <w:ind w:left="660" w:right="40" w:hanging="4"/>
        <w:spacing w:after="0" w:line="355" w:lineRule="auto"/>
        <w:tabs>
          <w:tab w:leader="none" w:pos="11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2021</w:t>
      </w:r>
    </w:p>
    <w:p>
      <w:pPr>
        <w:sectPr>
          <w:pgSz w:w="11900" w:h="16838" w:orient="portrait"/>
          <w:cols w:equalWidth="0" w:num="1">
            <w:col w:w="11240"/>
          </w:cols>
          <w:pgMar w:left="320" w:top="954" w:right="339" w:bottom="1440" w:gutter="0" w:footer="0" w:header="0"/>
        </w:sectPr>
      </w:pPr>
    </w:p>
    <w:bookmarkStart w:id="43" w:name="page44"/>
    <w:bookmarkEnd w:id="43"/>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6350</wp:posOffset>
            </wp:positionV>
            <wp:extent cx="30689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36" w:lineRule="exact"/>
        <w:rPr>
          <w:sz w:val="20"/>
          <w:szCs w:val="20"/>
          <w:color w:val="auto"/>
        </w:rPr>
      </w:pPr>
    </w:p>
    <w:p>
      <w:pPr>
        <w:ind w:firstLine="648"/>
        <w:spacing w:after="0" w:line="34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lvl w:ilvl="1">
      <w:lvlJc w:val="left"/>
      <w:lvlText w:val="(%2)"/>
      <w:numFmt w:val="lowerLetter"/>
      <w:start w:val="1"/>
    </w:lvl>
  </w:abstractNum>
  <w:abstractNum w:abstractNumId="14">
    <w:nsid w:val="431BD7B7"/>
    <w:multiLevelType w:val="hybridMultilevel"/>
    <w:lvl w:ilvl="0">
      <w:lvlJc w:val="left"/>
      <w:lvlText w:val="%1."/>
      <w:numFmt w:val="decimal"/>
      <w:start w:val="5"/>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48" Type="http://schemas.openxmlformats.org/officeDocument/2006/relationships/hyperlink" Target="http://www.sec.gov/Archives/edgar/data/1274737/000119312519252366/d769261dex31.htm" TargetMode="External"/><Relationship Id="rId49" Type="http://schemas.openxmlformats.org/officeDocument/2006/relationships/hyperlink" Target="http://www.sec.gov/Archives/edgar/data/1274737/000127473721000017/ex31-amendedandrestatedbyl.htm" TargetMode="External"/><Relationship Id="rId50" Type="http://schemas.openxmlformats.org/officeDocument/2006/relationships/hyperlink" Target="http://www.sec.gov/Archives/edgar/data/1274737/000119312519240403/d692844dex41.htm" TargetMode="External"/><Relationship Id="rId51" Type="http://schemas.openxmlformats.org/officeDocument/2006/relationships/hyperlink" Target="http://www.sec.gov/Archives/edgar/data/1274737/000119312519228011/d692844dex42.htm" TargetMode="External"/><Relationship Id="rId52" Type="http://schemas.openxmlformats.org/officeDocument/2006/relationships/hyperlink" Target="http://www.sec.gov/Archives/edgar/data/1274737/000119312519228011/d692844dex43.htm" TargetMode="External"/><Relationship Id="rId53" Type="http://schemas.openxmlformats.org/officeDocument/2006/relationships/hyperlink" Target="http://www.sec.gov/Archives/edgar/data/1274737/000119312519228011/d692844dex44.htm" TargetMode="External"/><Relationship Id="rId54" Type="http://schemas.openxmlformats.org/officeDocument/2006/relationships/hyperlink" Target="http://www.sec.gov/Archives/edgar/data/1274737/000127473721000015/ex105-formofrsuagreement20.htm" TargetMode="External"/><Relationship Id="rId55" Type="http://schemas.openxmlformats.org/officeDocument/2006/relationships/hyperlink" Target="http://www.sec.gov/Archives/edgar/data/1274737/000127473721000015/ex1034-amend1to1221liberty.htm" TargetMode="External"/><Relationship Id="rId56" Type="http://schemas.openxmlformats.org/officeDocument/2006/relationships/hyperlink" Target="http://www.sec.gov/Archives/edgar/data/1274737/000127473721000015/ex1046-executivecicsever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2021-05-11T16:55:13Z</dcterms:created>
  <dcterms:modified xsi:type="dcterms:W3CDTF">2021-05-11T16:55:13Z</dcterms:modified>
</cp:coreProperties>
</file>