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6, 2020</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80"/>
          </w:cols>
          <w:pgMar w:left="320" w:top="1253" w:right="39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00"/>
          </w:cols>
          <w:pgMar w:left="320" w:top="1253" w:right="39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20"/>
          </w:cols>
          <w:pgMar w:left="320" w:top="1253" w:right="399" w:bottom="1440" w:gutter="0" w:footer="0" w:header="0"/>
          <w:type w:val="continuous"/>
        </w:sectPr>
      </w:pP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180"/>
          </w:cols>
          <w:pgMar w:left="320" w:top="1253" w:right="399" w:bottom="1440" w:gutter="0" w:footer="0" w:header="0"/>
          <w:type w:val="continuous"/>
        </w:sectPr>
      </w:pP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22"/>
        </w:trPr>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7"/>
        </w:trPr>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66"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180"/>
          </w:cols>
          <w:pgMar w:left="320" w:top="125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10, 2020, Exagen Inc. (the “Company”) reported its financial results for the three and nine months ended September 30, 2020. A copy of the press release issued by the Company is furnished as Exhibit 99.1 to this report.</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6, 2020, Chet Burrell informed the Board of Directors (the "Board") of Exagen Inc. (the "Company") of his decision to resign from the Board, effective December 31, 2020. Mr. Burrell's decision to resign was not due to a disagreement with the Board or the Company on any matter relating to the Company's operations, policies or practices.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85"/>
        </w:trPr>
        <w:tc>
          <w:tcPr>
            <w:tcW w:w="96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99.1</w:t>
            </w:r>
          </w:p>
        </w:tc>
        <w:tc>
          <w:tcPr>
            <w:tcW w:w="3400" w:type="dxa"/>
            <w:vAlign w:val="bottom"/>
          </w:tcPr>
          <w:p>
            <w:pPr>
              <w:ind w:left="500"/>
              <w:spacing w:after="0"/>
              <w:rPr>
                <w:rFonts w:ascii="Times New Roman" w:cs="Times New Roman" w:eastAsia="Times New Roman" w:hAnsi="Times New Roman"/>
                <w:sz w:val="18"/>
                <w:szCs w:val="18"/>
                <w:u w:val="single" w:color="auto"/>
                <w:color w:val="0000FF"/>
                <w:w w:val="99"/>
              </w:rPr>
            </w:pPr>
            <w:hyperlink w:anchor="page4">
              <w:r>
                <w:rPr>
                  <w:rFonts w:ascii="Times New Roman" w:cs="Times New Roman" w:eastAsia="Times New Roman" w:hAnsi="Times New Roman"/>
                  <w:sz w:val="18"/>
                  <w:szCs w:val="18"/>
                  <w:u w:val="single" w:color="auto"/>
                  <w:color w:val="0000FF"/>
                  <w:w w:val="99"/>
                </w:rPr>
                <w:t>Press Release dated November 10, 2020</w:t>
              </w:r>
            </w:hyperlink>
          </w:p>
        </w:tc>
      </w:tr>
    </w:tbl>
    <w:p>
      <w:pPr>
        <w:sectPr>
          <w:pgSz w:w="11900" w:h="16838" w:orient="portrait"/>
          <w:cols w:equalWidth="0" w:num="1">
            <w:col w:w="11200"/>
          </w:cols>
          <w:pgMar w:left="320" w:top="1332"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November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Exagen Inc. Reports Third Quarter 2020 Results</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Record Adopters with 99% Stickiness and 14 Million In-Network Lives Added for AVISE® Testing</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November 10, 2020</w:t>
      </w:r>
    </w:p>
    <w:p>
      <w:pPr>
        <w:spacing w:after="0" w:line="256" w:lineRule="exact"/>
        <w:rPr>
          <w:sz w:val="20"/>
          <w:szCs w:val="20"/>
          <w:color w:val="auto"/>
        </w:rPr>
      </w:pPr>
    </w:p>
    <w:p>
      <w:pPr>
        <w:ind w:right="60"/>
        <w:spacing w:after="0" w:line="294" w:lineRule="auto"/>
        <w:rPr>
          <w:sz w:val="20"/>
          <w:szCs w:val="20"/>
          <w:color w:val="auto"/>
        </w:rPr>
      </w:pPr>
      <w:r>
        <w:rPr>
          <w:rFonts w:ascii="Arial" w:cs="Arial" w:eastAsia="Arial" w:hAnsi="Arial"/>
          <w:sz w:val="20"/>
          <w:szCs w:val="20"/>
          <w:color w:val="auto"/>
        </w:rPr>
        <w:t>SAN DIEGO – Exagen Inc. (Nasdaq: XGN), an organization dedicated to transforming the care continuum for patients suffering from autoimmune diseases, today reported financial results for the quarter ended September 30, 2020.</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Highlights:</w:t>
      </w:r>
    </w:p>
    <w:p>
      <w:pPr>
        <w:spacing w:after="0" w:line="164" w:lineRule="exact"/>
        <w:rPr>
          <w:sz w:val="20"/>
          <w:szCs w:val="20"/>
          <w:color w:val="auto"/>
        </w:rPr>
      </w:pPr>
    </w:p>
    <w:p>
      <w:pPr>
        <w:ind w:left="980" w:right="400" w:hanging="324"/>
        <w:spacing w:after="0" w:line="294"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$10.8 million for the quarter ended September 30, 2020, an increase of 20% over the quarter ended June 30, 2020 and 3% over the quarter ended September 30, 2019.</w:t>
      </w:r>
    </w:p>
    <w:p>
      <w:pPr>
        <w:spacing w:after="0" w:line="57" w:lineRule="exact"/>
        <w:rPr>
          <w:rFonts w:ascii="Arial" w:cs="Arial" w:eastAsia="Arial" w:hAnsi="Arial"/>
          <w:sz w:val="20"/>
          <w:szCs w:val="20"/>
          <w:color w:val="auto"/>
        </w:rPr>
      </w:pPr>
    </w:p>
    <w:p>
      <w:pPr>
        <w:ind w:left="980" w:right="380" w:hanging="324"/>
        <w:spacing w:after="0" w:line="294"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26,201 flagship AVISE® CTD tests, including AVISE® Lupus, in the third quarter 2020 despite reduced patient visits resulting from the COVID-19 pandemic.</w:t>
      </w:r>
    </w:p>
    <w:p>
      <w:pPr>
        <w:spacing w:after="0" w:line="71" w:lineRule="exact"/>
        <w:rPr>
          <w:rFonts w:ascii="Arial" w:cs="Arial" w:eastAsia="Arial" w:hAnsi="Arial"/>
          <w:sz w:val="20"/>
          <w:szCs w:val="20"/>
          <w:color w:val="auto"/>
        </w:rPr>
      </w:pPr>
    </w:p>
    <w:p>
      <w:pPr>
        <w:ind w:left="980" w:right="220" w:hanging="324"/>
        <w:spacing w:after="0" w:line="322" w:lineRule="auto"/>
        <w:tabs>
          <w:tab w:leader="none" w:pos="941" w:val="left"/>
        </w:tabs>
        <w:numPr>
          <w:ilvl w:val="0"/>
          <w:numId w:val="2"/>
        </w:numPr>
        <w:rPr>
          <w:rFonts w:ascii="Arial" w:cs="Arial" w:eastAsia="Arial" w:hAnsi="Arial"/>
          <w:sz w:val="19"/>
          <w:szCs w:val="19"/>
          <w:color w:val="auto"/>
        </w:rPr>
      </w:pPr>
      <w:r>
        <w:rPr>
          <w:rFonts w:ascii="Arial" w:cs="Arial" w:eastAsia="Arial" w:hAnsi="Arial"/>
          <w:sz w:val="19"/>
          <w:szCs w:val="19"/>
          <w:color w:val="auto"/>
        </w:rPr>
        <w:t>Number of ordering healthcare providers was 1,665 in the third quarter, with a record 600 adopters, and sequential quarterly retention rate of approximately 99% among adopting healthcare providers from the prior quarter.</w:t>
      </w:r>
    </w:p>
    <w:p>
      <w:pPr>
        <w:spacing w:after="0" w:line="48" w:lineRule="exact"/>
        <w:rPr>
          <w:rFonts w:ascii="Arial" w:cs="Arial" w:eastAsia="Arial" w:hAnsi="Arial"/>
          <w:sz w:val="19"/>
          <w:szCs w:val="19"/>
          <w:color w:val="auto"/>
        </w:rPr>
      </w:pPr>
    </w:p>
    <w:p>
      <w:pPr>
        <w:ind w:left="980" w:right="60" w:hanging="324"/>
        <w:spacing w:after="0" w:line="274"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Added to covered lives following the agreement with Humana TRICARE East to make AVISE® testing covered and in-network for approximately 6 million lives, and an agreement with Provider Network of America making AVISE® in-network for 8 million lives.</w:t>
      </w:r>
    </w:p>
    <w:p>
      <w:pPr>
        <w:spacing w:after="0" w:line="76" w:lineRule="exact"/>
        <w:rPr>
          <w:rFonts w:ascii="Arial" w:cs="Arial" w:eastAsia="Arial" w:hAnsi="Arial"/>
          <w:sz w:val="20"/>
          <w:szCs w:val="20"/>
          <w:color w:val="auto"/>
        </w:rPr>
      </w:pPr>
    </w:p>
    <w:p>
      <w:pPr>
        <w:ind w:left="980" w:right="160" w:hanging="324"/>
        <w:spacing w:after="0" w:line="294"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Continued to expand our suite of comprehensive testing solutions for rheumatologists, launching AVISE® Vasculitis AAV.</w:t>
      </w:r>
    </w:p>
    <w:p>
      <w:pPr>
        <w:spacing w:after="0" w:line="200" w:lineRule="exact"/>
        <w:rPr>
          <w:sz w:val="20"/>
          <w:szCs w:val="20"/>
          <w:color w:val="auto"/>
        </w:rPr>
      </w:pP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“We're very pleased with our results in the third quarter, as our core testing business performed well in an environment where patients continued to have challenges visiting their healthcare providers due to the COVID-19 pandemic. Despite these headwinds, our testing volumes have approached the level of Q1 2020 volumes which were only marginally affected by COVID-</w:t>
      </w:r>
    </w:p>
    <w:p>
      <w:pPr>
        <w:spacing w:after="0" w:line="2" w:lineRule="exact"/>
        <w:rPr>
          <w:sz w:val="20"/>
          <w:szCs w:val="20"/>
          <w:color w:val="auto"/>
        </w:rPr>
      </w:pPr>
    </w:p>
    <w:p>
      <w:pPr>
        <w:ind w:firstLine="8"/>
        <w:spacing w:after="0" w:line="231" w:lineRule="auto"/>
        <w:tabs>
          <w:tab w:leader="none" w:pos="330" w:val="left"/>
        </w:tabs>
        <w:numPr>
          <w:ilvl w:val="0"/>
          <w:numId w:val="3"/>
        </w:numPr>
        <w:rPr>
          <w:rFonts w:ascii="Arial" w:cs="Arial" w:eastAsia="Arial" w:hAnsi="Arial"/>
          <w:sz w:val="20"/>
          <w:szCs w:val="20"/>
          <w:color w:val="auto"/>
        </w:rPr>
      </w:pPr>
      <w:r>
        <w:rPr>
          <w:rFonts w:ascii="Arial" w:cs="Arial" w:eastAsia="Arial" w:hAnsi="Arial"/>
          <w:sz w:val="20"/>
          <w:szCs w:val="20"/>
          <w:color w:val="auto"/>
        </w:rPr>
        <w:t>Meanwhile, our co-promotion agreement with Janssen continues to supplement our top line and enhance our gross margin," said Ron Rocca, President and Chief Executive Officer of Exagen. " Throughout the quarter we continued to position Exagen as a premier autoimmune company. Our world-class R&amp;D team launched a new product to build upon our already robust portfolio. We continued to expand access to our AVISE® franchise through payor and provider contracting. The Exagen team delivered strong operational execution during</w:t>
      </w:r>
    </w:p>
    <w:p>
      <w:pPr>
        <w:sectPr>
          <w:pgSz w:w="11900" w:h="16838" w:orient="portrait"/>
          <w:cols w:equalWidth="0" w:num="1">
            <w:col w:w="11180"/>
          </w:cols>
          <w:pgMar w:left="320" w:top="1440" w:right="39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the quarter and took concrete strategic steps to strengthen the business for long-term sustainable success."</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2020 Financial Results</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Revenue for the three months ended September 30, 2020 was $10.8 million, compared with $10.4 million in the third quarter of 2019. Testing revenue was $9.5 million for the third quarter of 2020, compared to $10.0 million in the third quarter of 2019, due to lower testing volumes attributed to COVID-19 impacts and a decrease in average reimbursement per test. Our SIMPONI® co-promotion efforts contributed $1.3 million in the third quarter of 2020, compared to $0.4 million in the third quarter of 2019. Gross margin was 60% in the third quarter of 2020 compared to 54% in the third quarter of 2019, benefiting from an increase in SIMPONI® revenues and a decrease in royalty costs associated with the expiration of a royalty on our CB-CAPs technology.</w:t>
      </w:r>
    </w:p>
    <w:p>
      <w:pPr>
        <w:spacing w:after="0" w:line="106" w:lineRule="exact"/>
        <w:rPr>
          <w:sz w:val="20"/>
          <w:szCs w:val="20"/>
          <w:color w:val="auto"/>
        </w:rPr>
      </w:pPr>
    </w:p>
    <w:p>
      <w:pPr>
        <w:ind w:right="60"/>
        <w:spacing w:after="0" w:line="294" w:lineRule="auto"/>
        <w:rPr>
          <w:sz w:val="20"/>
          <w:szCs w:val="20"/>
          <w:color w:val="auto"/>
        </w:rPr>
      </w:pPr>
      <w:r>
        <w:rPr>
          <w:rFonts w:ascii="Arial" w:cs="Arial" w:eastAsia="Arial" w:hAnsi="Arial"/>
          <w:sz w:val="20"/>
          <w:szCs w:val="20"/>
          <w:color w:val="auto"/>
        </w:rPr>
        <w:t>Operating expenses were $14.6 million in the third quarter of 2020, compared with $12.6 million in the third quarter of 2019, due to increases in employee related expenses, including stock-based compensation, and public company expenses.</w:t>
      </w:r>
    </w:p>
    <w:p>
      <w:pPr>
        <w:spacing w:after="0" w:line="71" w:lineRule="exact"/>
        <w:rPr>
          <w:sz w:val="20"/>
          <w:szCs w:val="20"/>
          <w:color w:val="auto"/>
        </w:rPr>
      </w:pPr>
    </w:p>
    <w:p>
      <w:pPr>
        <w:ind w:right="620"/>
        <w:spacing w:after="0" w:line="489" w:lineRule="auto"/>
        <w:rPr>
          <w:sz w:val="20"/>
          <w:szCs w:val="20"/>
          <w:color w:val="auto"/>
        </w:rPr>
      </w:pPr>
      <w:r>
        <w:rPr>
          <w:rFonts w:ascii="Arial" w:cs="Arial" w:eastAsia="Arial" w:hAnsi="Arial"/>
          <w:sz w:val="20"/>
          <w:szCs w:val="20"/>
          <w:color w:val="auto"/>
        </w:rPr>
        <w:t xml:space="preserve">For the third quarter of 2020, net loss was $4.3 million, compared to a net loss of $3.1 million for the third quarter of 2019. Cash and cash equivalents were approximately $61.4 million as of September 30, 2020. </w:t>
      </w:r>
      <w:r>
        <w:rPr>
          <w:rFonts w:ascii="Arial" w:cs="Arial" w:eastAsia="Arial" w:hAnsi="Arial"/>
          <w:sz w:val="20"/>
          <w:szCs w:val="20"/>
          <w:b w:val="1"/>
          <w:bCs w:val="1"/>
          <w:color w:val="auto"/>
        </w:rPr>
        <w:t>Conference Call</w:t>
      </w:r>
    </w:p>
    <w:p>
      <w:pPr>
        <w:spacing w:after="0" w:line="224"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A conference call to review third quarter 2020 financial results and to provide a business update is scheduled for today November 10, 2020 at 4:30 PM Eastern Time (1:30 PM Pacific Time). Interested parties may access the conference call by dialing (877) 407-3982 (U.S.) or (201) 493-6780 (international). Additionally, a link to a live webcast of the call will be available in the Investor Relations section of Exagen's website at http://investors.exagen.com.</w:t>
      </w:r>
    </w:p>
    <w:p>
      <w:pPr>
        <w:spacing w:after="0" w:line="84"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Tuesday, November 17, 2020 at 11:59 PM Eastern Time (8:59 PM Pacific Time). Interested parties may access the replay by dialing (844) 512-2921 (U.S.) or (412) 317-6671 (international) using passcode 13711892. A link to the replay of the webcast will also be available in the investor relations section of Exagen's website.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64"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Exagen’s goal is to enable rheumatologists to improve care for patients through the differential diagnosis, prognosis and monitoring of complex autoimmune and autoimmune-related diseases, including SLE and rheumatoid arthritis, or RA. Exagen’s model of integrating testing products and therapeutics positions Exagen to offer targeted solutions to</w:t>
      </w:r>
    </w:p>
    <w:p>
      <w:pPr>
        <w:sectPr>
          <w:pgSz w:w="11900" w:h="16838" w:orient="portrait"/>
          <w:cols w:equalWidth="0" w:num="1">
            <w:col w:w="11240"/>
          </w:cols>
          <w:pgMar w:left="320" w:top="140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 xml:space="preserve">rheumatologists and, ultimately, better serve patients. For more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4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expected impact of COVID-19; the potential benefit of the company's testing products and promoted therapeutic for patients and physicians in autoimmune disease treatment; the potential to position the business for long-term sustainable success; and the availability and use of AVISE® tests through Humana TRICARE East and the Provider Network of America network.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Dx/Rx strategy, including its promotion efforts for SIMPONI®;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pacing w:after="0"/>
        <w:rPr>
          <w:sz w:val="20"/>
          <w:szCs w:val="20"/>
          <w:color w:val="auto"/>
        </w:rPr>
      </w:pPr>
      <w:r>
        <w:rPr>
          <w:rFonts w:ascii="Arial" w:cs="Arial" w:eastAsia="Arial" w:hAnsi="Arial"/>
          <w:sz w:val="20"/>
          <w:szCs w:val="20"/>
          <w:color w:val="auto"/>
        </w:rPr>
        <w:t>Mike Cavanaugh</w:t>
      </w: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rPr>
          <w:sz w:val="20"/>
          <w:szCs w:val="20"/>
          <w:color w:val="auto"/>
        </w:rPr>
      </w:pPr>
      <w:r>
        <w:rPr>
          <w:rFonts w:ascii="Arial" w:cs="Arial" w:eastAsia="Arial" w:hAnsi="Arial"/>
          <w:sz w:val="20"/>
          <w:szCs w:val="20"/>
          <w:color w:val="auto"/>
        </w:rPr>
        <w:t>646.677.1838</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ectPr>
          <w:pgSz w:w="11900" w:h="16838" w:orient="portrait"/>
          <w:cols w:equalWidth="0" w:num="1">
            <w:col w:w="11220"/>
          </w:cols>
          <w:pgMar w:left="320" w:top="1419" w:right="359" w:bottom="1440" w:gutter="0" w:footer="0" w:header="0"/>
        </w:sectPr>
      </w:pPr>
    </w:p>
    <w:bookmarkStart w:id="6" w:name="page7"/>
    <w:bookmarkEnd w:id="6"/>
    <w:p>
      <w:pPr>
        <w:spacing w:after="0"/>
        <w:rPr>
          <w:sz w:val="20"/>
          <w:szCs w:val="20"/>
          <w:color w:val="auto"/>
        </w:rPr>
      </w:pPr>
      <w:r>
        <w:rPr>
          <w:rFonts w:ascii="Arial" w:cs="Arial" w:eastAsia="Arial" w:hAnsi="Arial"/>
          <w:sz w:val="19"/>
          <w:szCs w:val="19"/>
          <w:u w:val="single" w:color="auto"/>
          <w:color w:val="0563C1"/>
        </w:rPr>
        <w:t>kadawi@exagen.com</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0139"/>
          </w:cols>
          <w:pgMar w:left="320" w:top="1406" w:right="1440"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7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10,775</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10,439</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29,307</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30,173</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320"/>
              <w:spacing w:after="0"/>
              <w:rPr>
                <w:sz w:val="20"/>
                <w:szCs w:val="20"/>
                <w:color w:val="auto"/>
              </w:rPr>
            </w:pPr>
            <w:r>
              <w:rPr>
                <w:rFonts w:ascii="Arial" w:cs="Arial" w:eastAsia="Arial" w:hAnsi="Arial"/>
                <w:sz w:val="14"/>
                <w:szCs w:val="14"/>
                <w:color w:val="auto"/>
              </w:rPr>
              <w:t>Costs of revenue</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14,217</w:t>
            </w:r>
          </w:p>
        </w:tc>
        <w:tc>
          <w:tcPr>
            <w:tcW w:w="0" w:type="dxa"/>
            <w:vAlign w:val="bottom"/>
          </w:tcPr>
          <w:p>
            <w:pPr>
              <w:spacing w:after="0"/>
              <w:rPr>
                <w:sz w:val="1"/>
                <w:szCs w:val="1"/>
                <w:color w:val="auto"/>
              </w:rPr>
            </w:pPr>
          </w:p>
        </w:tc>
      </w:tr>
      <w:tr>
        <w:trPr>
          <w:trHeight w:val="189"/>
        </w:trPr>
        <w:tc>
          <w:tcPr>
            <w:tcW w:w="4860" w:type="dxa"/>
            <w:vAlign w:val="bottom"/>
          </w:tcPr>
          <w:p>
            <w:pPr>
              <w:ind w:left="32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27,104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20,787</w:t>
            </w:r>
          </w:p>
        </w:tc>
        <w:tc>
          <w:tcPr>
            <w:tcW w:w="0" w:type="dxa"/>
            <w:vAlign w:val="bottom"/>
          </w:tcPr>
          <w:p>
            <w:pPr>
              <w:spacing w:after="0"/>
              <w:rPr>
                <w:sz w:val="1"/>
                <w:szCs w:val="1"/>
                <w:color w:val="auto"/>
              </w:rPr>
            </w:pPr>
          </w:p>
        </w:tc>
      </w:tr>
      <w:tr>
        <w:trPr>
          <w:trHeight w:val="189"/>
        </w:trPr>
        <w:tc>
          <w:tcPr>
            <w:tcW w:w="4860" w:type="dxa"/>
            <w:vAlign w:val="bottom"/>
          </w:tcPr>
          <w:p>
            <w:pPr>
              <w:ind w:left="32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183"/>
        </w:trPr>
        <w:tc>
          <w:tcPr>
            <w:tcW w:w="4860" w:type="dxa"/>
            <w:vAlign w:val="bottom"/>
          </w:tcPr>
          <w:p>
            <w:pPr>
              <w:ind w:left="6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12,596</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41,731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36,614</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(3,786)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(6,441)</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Change in fair value of financial instruments</w:t>
            </w:r>
          </w:p>
        </w:tc>
        <w:tc>
          <w:tcPr>
            <w:tcW w:w="2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Other income, net</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(13,352)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(8,630)</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Income tax benefit</w:t>
            </w:r>
          </w:p>
        </w:tc>
        <w:tc>
          <w:tcPr>
            <w:tcW w:w="2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(13,234)</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(8,630)</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2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2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(13,601)</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(17,080)</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(13,234)</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(26,871)</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line="155" w:lineRule="exact"/>
              <w:rPr>
                <w:sz w:val="20"/>
                <w:szCs w:val="20"/>
                <w:color w:val="auto"/>
              </w:rPr>
            </w:pPr>
            <w:r>
              <w:rPr>
                <w:rFonts w:ascii="Arial" w:cs="Arial" w:eastAsia="Arial" w:hAnsi="Arial"/>
                <w:sz w:val="14"/>
                <w:szCs w:val="14"/>
                <w:color w:val="auto"/>
              </w:rPr>
              <w:t>Weighted-average number of shares used to compute net loss per share,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12,644,348</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1,513,189</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12,626,259</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551,730</w:t>
            </w:r>
          </w:p>
        </w:tc>
        <w:tc>
          <w:tcPr>
            <w:tcW w:w="0" w:type="dxa"/>
            <w:vAlign w:val="bottom"/>
          </w:tcPr>
          <w:p>
            <w:pPr>
              <w:spacing w:after="0"/>
              <w:rPr>
                <w:sz w:val="1"/>
                <w:szCs w:val="1"/>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1"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8320" w:type="dxa"/>
            <w:vAlign w:val="bottom"/>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61,434</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83"/>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72,555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3"/>
        </w:trPr>
        <w:tc>
          <w:tcPr>
            <w:tcW w:w="8320" w:type="dxa"/>
            <w:vAlign w:val="bottom"/>
          </w:tcPr>
          <w:p>
            <w:pPr>
              <w:ind w:left="64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79,993</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83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2,454</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Accrued and other current liabilities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83"/>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8,274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26,453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3"/>
        </w:trPr>
        <w:tc>
          <w:tcPr>
            <w:tcW w:w="8320" w:type="dxa"/>
            <w:vAlign w:val="bottom"/>
          </w:tcPr>
          <w:p>
            <w:pPr>
              <w:ind w:left="64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35,519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340"/>
              <w:spacing w:after="0" w:line="148" w:lineRule="exact"/>
              <w:rPr>
                <w:sz w:val="20"/>
                <w:szCs w:val="20"/>
                <w:color w:val="auto"/>
              </w:rPr>
            </w:pPr>
            <w:r>
              <w:rPr>
                <w:rFonts w:ascii="Arial" w:cs="Arial" w:eastAsia="Arial" w:hAnsi="Arial"/>
                <w:sz w:val="14"/>
                <w:szCs w:val="14"/>
                <w:color w:val="auto"/>
              </w:rPr>
              <w:t>Preferred stock, $0.001 par value; 10,000,000 shares authorized, no shares issued or outstanding at September 30, 2020</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320" w:type="dxa"/>
            <w:vAlign w:val="bottom"/>
          </w:tcPr>
          <w:p>
            <w:pPr>
              <w:ind w:left="340"/>
              <w:spacing w:after="0"/>
              <w:rPr>
                <w:sz w:val="20"/>
                <w:szCs w:val="20"/>
                <w:color w:val="auto"/>
              </w:rPr>
            </w:pPr>
            <w:r>
              <w:rPr>
                <w:rFonts w:ascii="Arial" w:cs="Arial" w:eastAsia="Arial" w:hAnsi="Arial"/>
                <w:sz w:val="14"/>
                <w:szCs w:val="14"/>
                <w:color w:val="auto"/>
              </w:rPr>
              <w:t>and December 31, 2019</w:t>
            </w:r>
          </w:p>
        </w:tc>
        <w:tc>
          <w:tcPr>
            <w:tcW w:w="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340"/>
              <w:spacing w:after="0" w:line="148" w:lineRule="exact"/>
              <w:rPr>
                <w:sz w:val="20"/>
                <w:szCs w:val="20"/>
                <w:color w:val="auto"/>
              </w:rPr>
            </w:pPr>
            <w:r>
              <w:rPr>
                <w:rFonts w:ascii="Arial" w:cs="Arial" w:eastAsia="Arial" w:hAnsi="Arial"/>
                <w:sz w:val="14"/>
                <w:szCs w:val="14"/>
                <w:color w:val="auto"/>
              </w:rPr>
              <w:t>Common stock, $0.001 par value; 200,000,000 shares authorized at September 30, 2020 and December 31, 2019;</w:t>
            </w: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8320" w:type="dxa"/>
            <w:vAlign w:val="bottom"/>
          </w:tcPr>
          <w:p>
            <w:pPr>
              <w:ind w:left="340"/>
              <w:spacing w:after="0"/>
              <w:rPr>
                <w:sz w:val="20"/>
                <w:szCs w:val="20"/>
                <w:color w:val="auto"/>
              </w:rPr>
            </w:pPr>
            <w:r>
              <w:rPr>
                <w:rFonts w:ascii="Arial" w:cs="Arial" w:eastAsia="Arial" w:hAnsi="Arial"/>
                <w:sz w:val="14"/>
                <w:szCs w:val="14"/>
                <w:color w:val="auto"/>
              </w:rPr>
              <w:t>12,652,113 and 12,560,990 shares issued and outstanding at September 30, 2020 and December 31, 2019, respectively</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222,297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(177,836)</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183"/>
        </w:trPr>
        <w:tc>
          <w:tcPr>
            <w:tcW w:w="8320" w:type="dxa"/>
            <w:vAlign w:val="bottom"/>
          </w:tcPr>
          <w:p>
            <w:pPr>
              <w:ind w:left="64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44,474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79,993</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2020-11-10T15:21:14Z</dcterms:created>
  <dcterms:modified xsi:type="dcterms:W3CDTF">2020-11-10T15:21:14Z</dcterms:modified>
</cp:coreProperties>
</file>