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20, 2023</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3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Trading</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13"/>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55" w:lineRule="exact"/>
        <w:rPr>
          <w:sz w:val="24"/>
          <w:szCs w:val="24"/>
          <w:color w:val="auto"/>
        </w:rPr>
      </w:pPr>
    </w:p>
    <w:p>
      <w:pPr>
        <w:ind w:right="60"/>
        <w:spacing w:after="0" w:line="22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ind w:right="5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20, 2023, the Company reported its financial results for the quarter and year ended December 31, 2022. A copy of the press release issued by the Company is furnished as Exhibit 99.1 to this report.</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0000FF"/>
              </w:rPr>
              <w:t>Press Release dated March 20, 2023</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March 20,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Exagen Inc. Reports Fourth Quarter and Full Year 2022 Results</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Record AVISE® CTD Volume in 2022</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March 20, 2023</w:t>
      </w:r>
    </w:p>
    <w:p>
      <w:pPr>
        <w:spacing w:after="0" w:line="270"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SAN DIEGO – Exagen Inc. (Nasdaq: XGN), a leading provider of autoimmune testing solutions, today reported financial results for the fourth quarter and full year ended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186" w:lineRule="exact"/>
        <w:rPr>
          <w:sz w:val="20"/>
          <w:szCs w:val="20"/>
          <w:color w:val="auto"/>
        </w:rPr>
      </w:pPr>
    </w:p>
    <w:p>
      <w:pPr>
        <w:ind w:left="980" w:right="380" w:hanging="324"/>
        <w:spacing w:after="0" w:line="287" w:lineRule="auto"/>
        <w:tabs>
          <w:tab w:leader="none" w:pos="941" w:val="left"/>
        </w:tabs>
        <w:numPr>
          <w:ilvl w:val="0"/>
          <w:numId w:val="2"/>
        </w:numPr>
        <w:rPr>
          <w:rFonts w:ascii="Arial" w:cs="Arial" w:eastAsia="Arial" w:hAnsi="Arial"/>
          <w:sz w:val="19"/>
          <w:szCs w:val="19"/>
          <w:color w:val="auto"/>
        </w:rPr>
      </w:pPr>
      <w:r>
        <w:rPr>
          <w:rFonts w:ascii="Arial" w:cs="Arial" w:eastAsia="Arial" w:hAnsi="Arial"/>
          <w:sz w:val="19"/>
          <w:szCs w:val="19"/>
          <w:color w:val="auto"/>
        </w:rPr>
        <w:t>Record 135,210 flagship AVISE® CTD tests, for the full year 2022, including 33,819 tests for the fourth quarter of 2022. Since the launch of AVISE® CTD in 2012, we have now delivered approximately 750,000 of these tests.</w:t>
      </w:r>
    </w:p>
    <w:p>
      <w:pPr>
        <w:spacing w:after="0" w:line="111" w:lineRule="exact"/>
        <w:rPr>
          <w:rFonts w:ascii="Arial" w:cs="Arial" w:eastAsia="Arial" w:hAnsi="Arial"/>
          <w:sz w:val="19"/>
          <w:szCs w:val="19"/>
          <w:color w:val="auto"/>
        </w:rPr>
      </w:pPr>
    </w:p>
    <w:p>
      <w:pPr>
        <w:ind w:left="980" w:hanging="324"/>
        <w:spacing w:after="0" w:line="275"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revenue of $45.6 million for the year ended December 31, 2022, and total revenue of $12.8 million for the fourth quarter of 2022.</w:t>
      </w:r>
    </w:p>
    <w:p>
      <w:pPr>
        <w:spacing w:after="0" w:line="134" w:lineRule="exact"/>
        <w:rPr>
          <w:rFonts w:ascii="Arial" w:cs="Arial" w:eastAsia="Arial" w:hAnsi="Arial"/>
          <w:sz w:val="20"/>
          <w:szCs w:val="20"/>
          <w:color w:val="auto"/>
        </w:rPr>
      </w:pPr>
    </w:p>
    <w:p>
      <w:pPr>
        <w:ind w:left="980" w:right="140" w:hanging="324"/>
        <w:spacing w:after="0" w:line="251" w:lineRule="auto"/>
        <w:tabs>
          <w:tab w:leader="none" w:pos="975" w:val="left"/>
        </w:tabs>
        <w:numPr>
          <w:ilvl w:val="0"/>
          <w:numId w:val="2"/>
        </w:numPr>
        <w:rPr>
          <w:rFonts w:ascii="Arial" w:cs="Arial" w:eastAsia="Arial" w:hAnsi="Arial"/>
          <w:sz w:val="22"/>
          <w:szCs w:val="22"/>
          <w:color w:val="auto"/>
        </w:rPr>
      </w:pPr>
      <w:r>
        <w:rPr>
          <w:rFonts w:ascii="Arial" w:cs="Arial" w:eastAsia="Arial" w:hAnsi="Arial"/>
          <w:sz w:val="20"/>
          <w:szCs w:val="20"/>
          <w:color w:val="auto"/>
        </w:rPr>
        <w:t>John Aballi, President and CEO, joined the Company in the fourth quarter of 2022 and implemented a new strategy focused on reducing cash burn and driving ASP and GM improvement to ultimately reach profitability with current cash balance.</w:t>
      </w:r>
    </w:p>
    <w:p>
      <w:pPr>
        <w:spacing w:after="0" w:line="200" w:lineRule="exact"/>
        <w:rPr>
          <w:sz w:val="20"/>
          <w:szCs w:val="20"/>
          <w:color w:val="auto"/>
        </w:rPr>
      </w:pPr>
    </w:p>
    <w:p>
      <w:pPr>
        <w:spacing w:after="0" w:line="202" w:lineRule="exact"/>
        <w:rPr>
          <w:sz w:val="20"/>
          <w:szCs w:val="20"/>
          <w:color w:val="auto"/>
        </w:rPr>
      </w:pPr>
    </w:p>
    <w:p>
      <w:pPr>
        <w:ind w:right="160"/>
        <w:spacing w:after="0" w:line="270" w:lineRule="auto"/>
        <w:rPr>
          <w:sz w:val="20"/>
          <w:szCs w:val="20"/>
          <w:color w:val="auto"/>
        </w:rPr>
      </w:pPr>
      <w:r>
        <w:rPr>
          <w:rFonts w:ascii="Arial" w:cs="Arial" w:eastAsia="Arial" w:hAnsi="Arial"/>
          <w:sz w:val="20"/>
          <w:szCs w:val="20"/>
          <w:color w:val="auto"/>
        </w:rPr>
        <w:t>“I’m pleased to be joining Exagen at this exciting time and am happy with our team’s performance to finish the year. 2022 saw significant improvement in our Medicare rate and record AVISE CTD testing delivered, providing rheumatologists with the best diagnostic tool for a comprehensive autoimmune evaluation. I’m excited to be part of this team and look forward to an even better 2023,” said John Aballi, President and CEO.</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2022 Financial Results</w:t>
      </w:r>
    </w:p>
    <w:p>
      <w:pPr>
        <w:spacing w:after="0" w:line="18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Total revenue for the three months ended December 31, 2022 and 2021 was $12.8 million and $12.7 million, respectively. Total gross margin was 50.9% in the fourth quarter of 2022 compared to 61.1% in the fourth quarter of 2021. The decrease in gross margin percentage was driven by an increase in COGS mostly attributable to inflationary pressures and a decrease in other testing volume, which was slightly offset by an increase in ASP.</w:t>
      </w:r>
    </w:p>
    <w:p>
      <w:pPr>
        <w:spacing w:after="0" w:line="218" w:lineRule="exact"/>
        <w:rPr>
          <w:sz w:val="20"/>
          <w:szCs w:val="20"/>
          <w:color w:val="auto"/>
        </w:rPr>
      </w:pPr>
    </w:p>
    <w:p>
      <w:pPr>
        <w:ind w:right="320"/>
        <w:spacing w:after="0" w:line="237" w:lineRule="auto"/>
        <w:rPr>
          <w:sz w:val="20"/>
          <w:szCs w:val="20"/>
          <w:color w:val="auto"/>
        </w:rPr>
      </w:pPr>
      <w:r>
        <w:rPr>
          <w:rFonts w:ascii="Arial" w:cs="Arial" w:eastAsia="Arial" w:hAnsi="Arial"/>
          <w:sz w:val="20"/>
          <w:szCs w:val="20"/>
          <w:color w:val="auto"/>
        </w:rPr>
        <w:t>Operating expenses were $27.3 million in the fourth quarter of 2022, compared to $18.9 million in the fourth quarter of 2021. Operating expenses in the fourth quarter include a one-time impairment in the amount of $ 5.5 million of goodwill from 2010. Additional year-over-year increases were primarily due to an increase in employee related expenses due to headcount and inflation, an increase in public company</w:t>
      </w:r>
    </w:p>
    <w:p>
      <w:pPr>
        <w:sectPr>
          <w:pgSz w:w="11900" w:h="16838" w:orient="portrait"/>
          <w:cols w:equalWidth="0" w:num="1">
            <w:col w:w="11180"/>
          </w:cols>
          <w:pgMar w:left="320" w:top="1440" w:right="399" w:bottom="1440" w:gutter="0" w:footer="0" w:header="0"/>
        </w:sectPr>
      </w:pPr>
    </w:p>
    <w:bookmarkStart w:id="4" w:name="page5"/>
    <w:bookmarkEnd w:id="4"/>
    <w:p>
      <w:pPr>
        <w:ind w:right="440"/>
        <w:spacing w:after="0" w:line="236" w:lineRule="auto"/>
        <w:rPr>
          <w:sz w:val="20"/>
          <w:szCs w:val="20"/>
          <w:color w:val="auto"/>
        </w:rPr>
      </w:pPr>
      <w:r>
        <w:rPr>
          <w:rFonts w:ascii="Arial" w:cs="Arial" w:eastAsia="Arial" w:hAnsi="Arial"/>
          <w:sz w:val="20"/>
          <w:szCs w:val="20"/>
          <w:color w:val="auto"/>
        </w:rPr>
        <w:t>expenses, an increase in marketing expenditures, and a onetime $1.2 million charge for severance payments related to our reduction-in-force and the CEO transition.</w:t>
      </w:r>
    </w:p>
    <w:p>
      <w:pPr>
        <w:spacing w:after="0" w:line="250"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For the fourth quarter of 2022, net loss was $14.4 million, of which $6.7 million was from goodwill impairment and severance charges, compared to a net loss of $7.1 million for the fourth quarter of 2021.</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 were approximately $62.4 million as of December 31, 2022.</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2022 Financial Results</w:t>
      </w:r>
    </w:p>
    <w:p>
      <w:pPr>
        <w:spacing w:after="0" w:line="186"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Total revenue for full year 2022 was $45.6 million, compared with $48.3 million for the full year 2021. Total gross margin was 46.9% for the full year 2022 compared to 57.4% in 2021.</w:t>
      </w:r>
    </w:p>
    <w:p>
      <w:pPr>
        <w:spacing w:after="0" w:line="134" w:lineRule="exact"/>
        <w:rPr>
          <w:sz w:val="20"/>
          <w:szCs w:val="20"/>
          <w:color w:val="auto"/>
        </w:rPr>
      </w:pPr>
    </w:p>
    <w:p>
      <w:pPr>
        <w:ind w:right="1020"/>
        <w:spacing w:after="0" w:line="407" w:lineRule="auto"/>
        <w:rPr>
          <w:sz w:val="20"/>
          <w:szCs w:val="20"/>
          <w:color w:val="auto"/>
        </w:rPr>
      </w:pPr>
      <w:r>
        <w:rPr>
          <w:rFonts w:ascii="Arial" w:cs="Arial" w:eastAsia="Arial" w:hAnsi="Arial"/>
          <w:sz w:val="20"/>
          <w:szCs w:val="20"/>
          <w:color w:val="auto"/>
        </w:rPr>
        <w:t xml:space="preserve">Operating expenses were $91.6 million for the full year of 2022, compared with $72.4 million for the full year of 2021. Net loss was $47.4 million for the full year of 2022, compared with $26.9 million for the full year of 2021. </w:t>
      </w:r>
      <w:r>
        <w:rPr>
          <w:rFonts w:ascii="Arial" w:cs="Arial" w:eastAsia="Arial" w:hAnsi="Arial"/>
          <w:sz w:val="20"/>
          <w:szCs w:val="20"/>
          <w:b w:val="1"/>
          <w:bCs w:val="1"/>
          <w:color w:val="auto"/>
        </w:rPr>
        <w:t>Guidance</w:t>
      </w:r>
    </w:p>
    <w:p>
      <w:pPr>
        <w:spacing w:after="0" w:line="2" w:lineRule="exact"/>
        <w:rPr>
          <w:sz w:val="20"/>
          <w:szCs w:val="20"/>
          <w:color w:val="auto"/>
        </w:rPr>
      </w:pPr>
    </w:p>
    <w:p>
      <w:pPr>
        <w:ind w:right="280"/>
        <w:spacing w:after="0" w:line="280" w:lineRule="auto"/>
        <w:rPr>
          <w:sz w:val="20"/>
          <w:szCs w:val="20"/>
          <w:color w:val="auto"/>
        </w:rPr>
      </w:pPr>
      <w:r>
        <w:rPr>
          <w:rFonts w:ascii="Arial" w:cs="Arial" w:eastAsia="Arial" w:hAnsi="Arial"/>
          <w:sz w:val="20"/>
          <w:szCs w:val="20"/>
          <w:color w:val="auto"/>
        </w:rPr>
        <w:t xml:space="preserve">For the first quarter </w:t>
      </w:r>
      <w:r>
        <w:rPr>
          <w:rFonts w:ascii="Arial" w:cs="Arial" w:eastAsia="Arial" w:hAnsi="Arial"/>
          <w:sz w:val="21"/>
          <w:szCs w:val="21"/>
          <w:color w:val="auto"/>
        </w:rPr>
        <w:t>2023</w:t>
      </w:r>
      <w:r>
        <w:rPr>
          <w:rFonts w:ascii="Arial" w:cs="Arial" w:eastAsia="Arial" w:hAnsi="Arial"/>
          <w:sz w:val="20"/>
          <w:szCs w:val="20"/>
          <w:color w:val="auto"/>
        </w:rPr>
        <w:t>, we are increasing guidance to be in the range of $9.2 million to $9.7 million, up from $8.2 million to $9.2 million conveyed at the start of the quarter.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conference call to provide a business update and review fourth quarter and year-end 2022 financial results is scheduled for today March 20, 2023 at 4:30 PM Eastern Time (1:30 PM Pacific Time). Interested parties may access the conference call by dialing (201) 389-0918 (U.S.) or (877) 407-0890 (international). Additionally, a link to a live webcast of the call will be available in the Investor Relations section of Exagen's website at investors.exagen.com.</w:t>
      </w:r>
    </w:p>
    <w:p>
      <w:pPr>
        <w:spacing w:after="0" w:line="13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Monday, April 3, 2023 at 11:59 PM Eastern Time (8:59 PM Pacific Time). Interested parties may access the replay by dialing (201) 612-7415 (U.S.) or (877) 660-6853 (international) using passcode 13736103. A link to the replay of the webcast will also be available in the investor relations section of Exagen's website.</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8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 For further information please visit </w:t>
      </w:r>
      <w:r>
        <w:rPr>
          <w:rFonts w:ascii="Arial" w:cs="Arial" w:eastAsia="Arial" w:hAnsi="Arial"/>
          <w:sz w:val="20"/>
          <w:szCs w:val="20"/>
          <w:u w:val="single" w:color="auto"/>
          <w:color w:val="0563C1"/>
        </w:rPr>
        <w:t>www.Exagen.com</w:t>
      </w:r>
      <w:r>
        <w:rPr>
          <w:rFonts w:ascii="Arial" w:cs="Arial" w:eastAsia="Arial" w:hAnsi="Arial"/>
          <w:sz w:val="20"/>
          <w:szCs w:val="20"/>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ectPr>
          <w:pgSz w:w="11900" w:h="16838" w:orient="portrait"/>
          <w:cols w:equalWidth="0" w:num="1">
            <w:col w:w="11220"/>
          </w:cols>
          <w:pgMar w:left="320" w:top="1432" w:right="359" w:bottom="1440" w:gutter="0" w:footer="0" w:header="0"/>
        </w:sectPr>
      </w:pPr>
    </w:p>
    <w:bookmarkStart w:id="5" w:name="page6"/>
    <w:bookmarkEnd w:id="5"/>
    <w:p>
      <w:pPr>
        <w:spacing w:after="0" w:line="6"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 xml:space="preserve">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w:t>
      </w:r>
      <w:r>
        <w:rPr>
          <w:rFonts w:ascii="Arial" w:cs="Arial" w:eastAsia="Arial" w:hAnsi="Arial"/>
          <w:sz w:val="21"/>
          <w:szCs w:val="21"/>
          <w:color w:val="auto"/>
        </w:rPr>
        <w:t>Exagen's goals and strategies; the potential utility and</w:t>
      </w:r>
      <w:r>
        <w:rPr>
          <w:rFonts w:ascii="Arial" w:cs="Arial" w:eastAsia="Arial" w:hAnsi="Arial"/>
          <w:sz w:val="20"/>
          <w:szCs w:val="20"/>
          <w:color w:val="auto"/>
        </w:rPr>
        <w:t xml:space="preserve"> </w:t>
      </w:r>
      <w:r>
        <w:rPr>
          <w:rFonts w:ascii="Arial" w:cs="Arial" w:eastAsia="Arial" w:hAnsi="Arial"/>
          <w:sz w:val="21"/>
          <w:szCs w:val="21"/>
          <w:color w:val="auto"/>
        </w:rPr>
        <w:t xml:space="preserve">effectiveness of Exagen's services and testing solutions that are currently available; the ability of the Company to obtain and maintain wider and consistent reimbursement for its tests; Exagen's future potential growth; and the 2023 guidance. </w:t>
      </w:r>
      <w:r>
        <w:rPr>
          <w:rFonts w:ascii="Arial" w:cs="Arial" w:eastAsia="Arial" w:hAnsi="Arial"/>
          <w:sz w:val="19"/>
          <w:szCs w:val="19"/>
          <w:color w:val="auto"/>
        </w:rPr>
        <w:t>The inclusion of forward-looking statements should not be regarded as a representation by Exagen that any of its</w:t>
      </w:r>
      <w:r>
        <w:rPr>
          <w:rFonts w:ascii="Arial" w:cs="Arial" w:eastAsia="Arial" w:hAnsi="Arial"/>
          <w:sz w:val="21"/>
          <w:szCs w:val="21"/>
          <w:color w:val="auto"/>
        </w:rPr>
        <w:t xml:space="preserve"> </w:t>
      </w:r>
      <w:r>
        <w:rPr>
          <w:rFonts w:ascii="Arial" w:cs="Arial" w:eastAsia="Arial" w:hAnsi="Arial"/>
          <w:sz w:val="19"/>
          <w:szCs w:val="19"/>
          <w:color w:val="auto"/>
        </w:rPr>
        <w:t xml:space="preserve">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payors and others in the medical community; the Company’s ability to successfully execute on its business strategies, third-party payors not providing coverage and adequate reimbursement for the Company’s testing products; the Company’s ability to obtain and maintain intellectual property protection for its testing products; regulatory developments affecting the Company’s business; and other risks described in Exagen’s prior press releases and Exagen’s filings with the Securities and Exchange Commission, or SEC, including under the heading “Risk Factors” in Exagen’s Annual Report on Form 10-K for the year ended December 31, </w:t>
      </w:r>
      <w:r>
        <w:rPr>
          <w:rFonts w:ascii="Arial" w:cs="Arial" w:eastAsia="Arial" w:hAnsi="Arial"/>
          <w:sz w:val="21"/>
          <w:szCs w:val="21"/>
          <w:color w:val="auto"/>
        </w:rPr>
        <w:t xml:space="preserve">2022 </w:t>
      </w:r>
      <w:r>
        <w:rPr>
          <w:rFonts w:ascii="Arial" w:cs="Arial" w:eastAsia="Arial" w:hAnsi="Arial"/>
          <w:sz w:val="19"/>
          <w:szCs w:val="19"/>
          <w:color w:val="auto"/>
        </w:rPr>
        <w:t>and any subsequent filings with the SEC. You are cautioned not to place undue reliance on these forward-looking</w:t>
      </w:r>
      <w:r>
        <w:rPr>
          <w:rFonts w:ascii="Arial" w:cs="Arial" w:eastAsia="Arial" w:hAnsi="Arial"/>
          <w:sz w:val="21"/>
          <w:szCs w:val="21"/>
          <w:color w:val="auto"/>
        </w:rPr>
        <w:t xml:space="preserve"> </w:t>
      </w:r>
      <w:r>
        <w:rPr>
          <w:rFonts w:ascii="Arial" w:cs="Arial" w:eastAsia="Arial" w:hAnsi="Arial"/>
          <w:sz w:val="19"/>
          <w:szCs w:val="19"/>
          <w:color w:val="auto"/>
        </w:rPr>
        <w:t>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Ryan Douglas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rdouglas@exagen.com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760.560.1525</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kadawi@exagen.com</w:t>
      </w:r>
    </w:p>
    <w:p>
      <w:pPr>
        <w:sectPr>
          <w:pgSz w:w="11900" w:h="16838" w:orient="portrait"/>
          <w:cols w:equalWidth="0" w:num="1">
            <w:col w:w="11240"/>
          </w:cols>
          <w:pgMar w:left="320" w:top="1440" w:right="339" w:bottom="1440" w:gutter="0" w:footer="0" w:header="0"/>
        </w:sectPr>
      </w:pPr>
    </w:p>
    <w:bookmarkStart w:id="6" w:name="page7"/>
    <w:bookmarkEnd w:id="6"/>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7"/>
                <w:szCs w:val="17"/>
                <w:color w:val="auto"/>
              </w:rPr>
            </w:pPr>
          </w:p>
        </w:tc>
        <w:tc>
          <w:tcPr>
            <w:tcW w:w="27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12,837</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12,689</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45,563</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48,299</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6,309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24,214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20,588</w:t>
            </w: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12,812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11,802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44,541</w:t>
            </w: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2,701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9,876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7,237</w:t>
            </w:r>
          </w:p>
        </w:tc>
        <w:tc>
          <w:tcPr>
            <w:tcW w:w="0" w:type="dxa"/>
            <w:vAlign w:val="bottom"/>
          </w:tcPr>
          <w:p>
            <w:pPr>
              <w:spacing w:after="0"/>
              <w:rPr>
                <w:sz w:val="1"/>
                <w:szCs w:val="1"/>
                <w:color w:val="auto"/>
              </w:rPr>
            </w:pPr>
          </w:p>
        </w:tc>
      </w:tr>
      <w:tr>
        <w:trPr>
          <w:trHeight w:val="208"/>
        </w:trPr>
        <w:tc>
          <w:tcPr>
            <w:tcW w:w="4860" w:type="dxa"/>
            <w:vAlign w:val="bottom"/>
          </w:tcPr>
          <w:p>
            <w:pPr>
              <w:ind w:left="340"/>
              <w:spacing w:after="0"/>
              <w:rPr>
                <w:sz w:val="20"/>
                <w:szCs w:val="20"/>
                <w:color w:val="auto"/>
              </w:rPr>
            </w:pPr>
            <w:r>
              <w:rPr>
                <w:rFonts w:ascii="Arial" w:cs="Arial" w:eastAsia="Arial" w:hAnsi="Arial"/>
                <w:sz w:val="14"/>
                <w:szCs w:val="14"/>
                <w:color w:val="auto"/>
              </w:rPr>
              <w:t>Goodwill impairment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86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27,328</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18,943</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91,614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72,366</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(14,491)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(46,051)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(24,067)</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(2,448)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(14,636)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(47,669)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(26,676)</w:t>
            </w:r>
          </w:p>
        </w:tc>
        <w:tc>
          <w:tcPr>
            <w:tcW w:w="0" w:type="dxa"/>
            <w:vAlign w:val="bottom"/>
          </w:tcPr>
          <w:p>
            <w:pPr>
              <w:spacing w:after="0"/>
              <w:rPr>
                <w:sz w:val="1"/>
                <w:szCs w:val="1"/>
                <w:color w:val="auto"/>
              </w:rPr>
            </w:pPr>
          </w:p>
        </w:tc>
      </w:tr>
      <w:tr>
        <w:trPr>
          <w:trHeight w:val="208"/>
        </w:trPr>
        <w:tc>
          <w:tcPr>
            <w:tcW w:w="4860" w:type="dxa"/>
            <w:vAlign w:val="bottom"/>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(14,354)</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(47,387)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(26,851)</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17,194,293</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16,969,614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17,082,348</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15,972,256</w:t>
            </w:r>
          </w:p>
        </w:tc>
        <w:tc>
          <w:tcPr>
            <w:tcW w:w="0" w:type="dxa"/>
            <w:vAlign w:val="bottom"/>
          </w:tcPr>
          <w:p>
            <w:pPr>
              <w:spacing w:after="0"/>
              <w:rPr>
                <w:sz w:val="1"/>
                <w:szCs w:val="1"/>
                <w:color w:val="auto"/>
              </w:rPr>
            </w:pPr>
          </w:p>
        </w:tc>
      </w:tr>
      <w:tr>
        <w:trPr>
          <w:trHeight w:val="144"/>
        </w:trPr>
        <w:tc>
          <w:tcPr>
            <w:tcW w:w="4860" w:type="dxa"/>
            <w:vAlign w:val="bottom"/>
          </w:tcPr>
          <w:p>
            <w:pPr>
              <w:spacing w:after="0" w:line="144" w:lineRule="exact"/>
              <w:rPr>
                <w:sz w:val="20"/>
                <w:szCs w:val="20"/>
                <w:color w:val="auto"/>
              </w:rPr>
            </w:pPr>
            <w:r>
              <w:rPr>
                <w:rFonts w:ascii="Arial" w:cs="Arial" w:eastAsia="Arial" w:hAnsi="Arial"/>
                <w:sz w:val="14"/>
                <w:szCs w:val="14"/>
                <w:color w:val="auto"/>
              </w:rPr>
              <w:t>basic and diluted</w:t>
            </w: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86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62,391</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99,442</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6,077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9,654</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4,143</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0"/>
        </w:trPr>
        <w:tc>
          <w:tcPr>
            <w:tcW w:w="866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72,611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112,734</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8,197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08"/>
        </w:trPr>
        <w:tc>
          <w:tcPr>
            <w:tcW w:w="8660" w:type="dxa"/>
            <w:vAlign w:val="bottom"/>
          </w:tcPr>
          <w:p>
            <w:pPr>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96"/>
        </w:trPr>
        <w:tc>
          <w:tcPr>
            <w:tcW w:w="866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86,221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86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3,046</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Borrowings-current portion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5,347</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190"/>
        </w:trPr>
        <w:tc>
          <w:tcPr>
            <w:tcW w:w="866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28,778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27,478</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4,493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8"/>
        </w:trPr>
        <w:tc>
          <w:tcPr>
            <w:tcW w:w="86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90"/>
        </w:trPr>
        <w:tc>
          <w:tcPr>
            <w:tcW w:w="866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43,761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Commitments and contingencies (Note 5)</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660" w:type="dxa"/>
            <w:vAlign w:val="bottom"/>
          </w:tcPr>
          <w:p>
            <w:pPr>
              <w:ind w:left="340"/>
              <w:spacing w:after="0"/>
              <w:rPr>
                <w:sz w:val="20"/>
                <w:szCs w:val="20"/>
                <w:color w:val="auto"/>
              </w:rPr>
            </w:pPr>
            <w:r>
              <w:rPr>
                <w:rFonts w:ascii="Arial" w:cs="Arial" w:eastAsia="Arial" w:hAnsi="Arial"/>
                <w:sz w:val="14"/>
                <w:szCs w:val="14"/>
                <w:color w:val="auto"/>
              </w:rPr>
              <w:t>Common stock, $0.001 par value; 200,000,000 shares authorized at December 31, 2022 and December 31, 2021; 16,549,984</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8660" w:type="dxa"/>
            <w:vAlign w:val="bottom"/>
          </w:tcPr>
          <w:p>
            <w:pPr>
              <w:ind w:left="340"/>
              <w:spacing w:after="0"/>
              <w:rPr>
                <w:sz w:val="20"/>
                <w:szCs w:val="20"/>
                <w:color w:val="auto"/>
              </w:rPr>
            </w:pPr>
            <w:r>
              <w:rPr>
                <w:rFonts w:ascii="Arial" w:cs="Arial" w:eastAsia="Arial" w:hAnsi="Arial"/>
                <w:sz w:val="14"/>
                <w:szCs w:val="14"/>
                <w:color w:val="auto"/>
              </w:rPr>
              <w:t>and 16,164,994 shares issued and outstanding at December 31, 2022 and December 31, 2021, respectively</w:t>
            </w: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6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297,970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293,060</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(255,527)</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0" w:type="dxa"/>
            <w:vAlign w:val="bottom"/>
          </w:tcPr>
          <w:p>
            <w:pPr>
              <w:spacing w:after="0"/>
              <w:rPr>
                <w:sz w:val="1"/>
                <w:szCs w:val="1"/>
                <w:color w:val="auto"/>
              </w:rPr>
            </w:pPr>
          </w:p>
        </w:tc>
      </w:tr>
      <w:tr>
        <w:trPr>
          <w:trHeight w:val="196"/>
        </w:trPr>
        <w:tc>
          <w:tcPr>
            <w:tcW w:w="866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42,460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97"/>
        </w:trPr>
        <w:tc>
          <w:tcPr>
            <w:tcW w:w="86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86,221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6"/>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2023-03-20T15:14:21Z</dcterms:created>
  <dcterms:modified xsi:type="dcterms:W3CDTF">2023-03-20T15:14:21Z</dcterms:modified>
</cp:coreProperties>
</file>