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11, 2025</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11, 2025, the Company reported its financial results for the quarter and year ended December 31, 2024. A copy of the press release issued by the Company is furnished as Exhibit 99.1 to this report.</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2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March 11, 2025</w:t>
            </w:r>
          </w:p>
        </w:tc>
        <w:tc>
          <w:tcPr>
            <w:tcW w:w="7180" w:type="dxa"/>
            <w:vAlign w:val="bottom"/>
          </w:tcPr>
          <w:p>
            <w:pPr>
              <w:spacing w:after="0"/>
              <w:rPr>
                <w:sz w:val="24"/>
                <w:szCs w:val="24"/>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March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Jeffrey G. Black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7447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Calibri" w:cs="Calibri" w:eastAsia="Calibri" w:hAnsi="Calibri"/>
          <w:sz w:val="25"/>
          <w:szCs w:val="25"/>
          <w:b w:val="1"/>
          <w:bCs w:val="1"/>
          <w:color w:val="auto"/>
        </w:rPr>
        <w:t>Exagen Inc. Reports Strong Fourth Quarter and Full-Year 2024 Results and Business Highlights</w:t>
      </w:r>
    </w:p>
    <w:p>
      <w:pPr>
        <w:spacing w:after="0" w:line="241" w:lineRule="exact"/>
        <w:rPr>
          <w:sz w:val="20"/>
          <w:szCs w:val="20"/>
          <w:color w:val="auto"/>
        </w:rPr>
      </w:pPr>
    </w:p>
    <w:p>
      <w:pPr>
        <w:ind w:left="2540"/>
        <w:spacing w:after="0"/>
        <w:rPr>
          <w:sz w:val="20"/>
          <w:szCs w:val="20"/>
          <w:color w:val="auto"/>
        </w:rPr>
      </w:pPr>
      <w:r>
        <w:rPr>
          <w:rFonts w:ascii="Calibri" w:cs="Calibri" w:eastAsia="Calibri" w:hAnsi="Calibri"/>
          <w:sz w:val="20"/>
          <w:szCs w:val="20"/>
          <w:i w:val="1"/>
          <w:iCs w:val="1"/>
          <w:color w:val="auto"/>
        </w:rPr>
        <w:t>Delivered record full-year total revenue and AVISE CTD average selling price</w:t>
      </w:r>
    </w:p>
    <w:p>
      <w:pPr>
        <w:spacing w:after="0" w:line="12" w:lineRule="exact"/>
        <w:rPr>
          <w:sz w:val="20"/>
          <w:szCs w:val="20"/>
          <w:color w:val="auto"/>
        </w:rPr>
      </w:pPr>
    </w:p>
    <w:p>
      <w:pPr>
        <w:ind w:left="2560"/>
        <w:spacing w:after="0"/>
        <w:rPr>
          <w:sz w:val="20"/>
          <w:szCs w:val="20"/>
          <w:color w:val="auto"/>
        </w:rPr>
      </w:pPr>
      <w:r>
        <w:rPr>
          <w:rFonts w:ascii="Calibri" w:cs="Calibri" w:eastAsia="Calibri" w:hAnsi="Calibri"/>
          <w:sz w:val="20"/>
          <w:szCs w:val="20"/>
          <w:i w:val="1"/>
          <w:iCs w:val="1"/>
          <w:color w:val="auto"/>
        </w:rPr>
        <w:t>Improved full-year adjusted EBITDA loss, net loss and cash use by over 40%</w:t>
      </w:r>
    </w:p>
    <w:p>
      <w:pPr>
        <w:jc w:val="center"/>
        <w:ind w:right="-59"/>
        <w:spacing w:after="0" w:line="238" w:lineRule="auto"/>
        <w:rPr>
          <w:sz w:val="20"/>
          <w:szCs w:val="20"/>
          <w:color w:val="auto"/>
        </w:rPr>
      </w:pPr>
      <w:r>
        <w:rPr>
          <w:rFonts w:ascii="Calibri" w:cs="Calibri" w:eastAsia="Calibri" w:hAnsi="Calibri"/>
          <w:sz w:val="20"/>
          <w:szCs w:val="20"/>
          <w:i w:val="1"/>
          <w:iCs w:val="1"/>
          <w:color w:val="auto"/>
        </w:rPr>
        <w:t>Commercialized new biomarkers to enhance clinical utlity of AVISE CTD</w:t>
      </w:r>
    </w:p>
    <w:p>
      <w:pPr>
        <w:spacing w:after="0" w:line="252" w:lineRule="exact"/>
        <w:rPr>
          <w:sz w:val="20"/>
          <w:szCs w:val="20"/>
          <w:color w:val="auto"/>
        </w:rPr>
      </w:pPr>
    </w:p>
    <w:p>
      <w:pPr>
        <w:ind w:right="220"/>
        <w:spacing w:after="0" w:line="221" w:lineRule="auto"/>
        <w:rPr>
          <w:sz w:val="20"/>
          <w:szCs w:val="20"/>
          <w:color w:val="auto"/>
        </w:rPr>
      </w:pPr>
      <w:r>
        <w:rPr>
          <w:rFonts w:ascii="Calibri" w:cs="Calibri" w:eastAsia="Calibri" w:hAnsi="Calibri"/>
          <w:sz w:val="20"/>
          <w:szCs w:val="20"/>
          <w:color w:val="auto"/>
        </w:rPr>
        <w:t>Carlsbad, Calif., – Exagen Inc. (Nasdaq: XGN), a leading provider of autoimmune testng, today reported fnancial results for the fourth quarter and full year ended December 31, 2024, and recent business highlights.</w:t>
      </w:r>
    </w:p>
    <w:p>
      <w:pPr>
        <w:spacing w:after="0" w:line="28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3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December</w:t>
            </w:r>
          </w:p>
        </w:tc>
        <w:tc>
          <w:tcPr>
            <w:tcW w:w="160" w:type="dxa"/>
            <w:vAlign w:val="bottom"/>
          </w:tcPr>
          <w:p>
            <w:pPr>
              <w:spacing w:after="0"/>
              <w:rPr>
                <w:sz w:val="14"/>
                <w:szCs w:val="14"/>
                <w:color w:val="auto"/>
              </w:rPr>
            </w:pPr>
          </w:p>
        </w:tc>
        <w:tc>
          <w:tcPr>
            <w:tcW w:w="20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1"/>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ASP data)</w:t>
            </w:r>
          </w:p>
        </w:tc>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13,655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55,641</w:t>
            </w:r>
          </w:p>
        </w:tc>
        <w:tc>
          <w:tcPr>
            <w:tcW w:w="0" w:type="dxa"/>
            <w:vAlign w:val="bottom"/>
          </w:tcPr>
          <w:p>
            <w:pPr>
              <w:spacing w:after="0"/>
              <w:rPr>
                <w:sz w:val="1"/>
                <w:szCs w:val="1"/>
                <w:color w:val="auto"/>
              </w:rPr>
            </w:pPr>
          </w:p>
        </w:tc>
      </w:tr>
      <w:tr>
        <w:trPr>
          <w:trHeight w:val="199"/>
        </w:trPr>
        <w:tc>
          <w:tcPr>
            <w:tcW w:w="4040" w:type="dxa"/>
            <w:vAlign w:val="bottom"/>
          </w:tcPr>
          <w:p>
            <w:pPr>
              <w:ind w:left="20"/>
              <w:spacing w:after="0"/>
              <w:rPr>
                <w:sz w:val="20"/>
                <w:szCs w:val="20"/>
                <w:color w:val="auto"/>
              </w:rPr>
            </w:pPr>
            <w:r>
              <w:rPr>
                <w:rFonts w:ascii="Arial" w:cs="Arial" w:eastAsia="Arial" w:hAnsi="Arial"/>
                <w:sz w:val="14"/>
                <w:szCs w:val="14"/>
                <w:color w:val="auto"/>
              </w:rPr>
              <w:t>Gross margin</w:t>
            </w:r>
          </w:p>
        </w:tc>
        <w:tc>
          <w:tcPr>
            <w:tcW w:w="5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62.1 %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59.5 %</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11,860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46,748</w:t>
            </w:r>
          </w:p>
        </w:tc>
        <w:tc>
          <w:tcPr>
            <w:tcW w:w="0" w:type="dxa"/>
            <w:vAlign w:val="bottom"/>
          </w:tcPr>
          <w:p>
            <w:pPr>
              <w:spacing w:after="0"/>
              <w:rPr>
                <w:sz w:val="1"/>
                <w:szCs w:val="1"/>
                <w:color w:val="auto"/>
              </w:rPr>
            </w:pPr>
          </w:p>
        </w:tc>
      </w:tr>
      <w:tr>
        <w:trPr>
          <w:trHeight w:val="199"/>
        </w:trPr>
        <w:tc>
          <w:tcPr>
            <w:tcW w:w="404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(3,383)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(13,636)</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(15,115)</w:t>
            </w: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(2,535)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(10,149)</w:t>
            </w: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22,236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22,236</w:t>
            </w:r>
          </w:p>
        </w:tc>
        <w:tc>
          <w:tcPr>
            <w:tcW w:w="0" w:type="dxa"/>
            <w:vAlign w:val="bottom"/>
          </w:tcPr>
          <w:p>
            <w:pPr>
              <w:spacing w:after="0"/>
              <w:rPr>
                <w:sz w:val="1"/>
                <w:szCs w:val="1"/>
                <w:color w:val="auto"/>
              </w:rPr>
            </w:pPr>
          </w:p>
        </w:tc>
      </w:tr>
      <w:tr>
        <w:trPr>
          <w:trHeight w:val="194"/>
        </w:trPr>
        <w:tc>
          <w:tcPr>
            <w:tcW w:w="4040" w:type="dxa"/>
            <w:vAlign w:val="bottom"/>
          </w:tcPr>
          <w:p>
            <w:pPr>
              <w:ind w:left="20"/>
              <w:spacing w:after="0"/>
              <w:rPr>
                <w:sz w:val="20"/>
                <w:szCs w:val="20"/>
                <w:color w:val="auto"/>
              </w:rPr>
            </w:pPr>
            <w:r>
              <w:rPr>
                <w:rFonts w:ascii="Arial" w:cs="Arial" w:eastAsia="Arial" w:hAnsi="Arial"/>
                <w:sz w:val="14"/>
                <w:szCs w:val="14"/>
                <w:color w:val="auto"/>
              </w:rPr>
              <w:t>Trailing-twelve-month average selling price (ASP)</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108"/>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2024 Financial Highlights:</w:t>
      </w:r>
    </w:p>
    <w:p>
      <w:pPr>
        <w:spacing w:after="0" w:line="134" w:lineRule="exact"/>
        <w:rPr>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Delivered record total revenue of $55.6 million on the strength of contnued ASP expansion</w:t>
      </w:r>
    </w:p>
    <w:p>
      <w:pPr>
        <w:spacing w:after="0" w:line="241"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Expanded AVISE® CTD trailing twelve-month average selling price (ASP) of $411, an increase of $75 per test</w:t>
      </w:r>
    </w:p>
    <w:p>
      <w:pPr>
        <w:spacing w:after="0" w:line="184" w:lineRule="exact"/>
        <w:rPr>
          <w:rFonts w:ascii="Calibri" w:cs="Calibri" w:eastAsia="Calibri" w:hAnsi="Calibri"/>
          <w:sz w:val="20"/>
          <w:szCs w:val="20"/>
          <w:color w:val="auto"/>
        </w:rPr>
      </w:pPr>
    </w:p>
    <w:p>
      <w:pPr>
        <w:ind w:left="980" w:right="260" w:hanging="324"/>
        <w:spacing w:after="0" w:line="234" w:lineRule="auto"/>
        <w:tabs>
          <w:tab w:leader="none" w:pos="973"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Grew gross margin by 300 basis points to 62.1% in the fourth quarter and 59.5% for the full year over the same periods in 2023</w:t>
      </w:r>
    </w:p>
    <w:p>
      <w:pPr>
        <w:spacing w:after="0" w:line="171" w:lineRule="exact"/>
        <w:rPr>
          <w:rFonts w:ascii="Calibri" w:cs="Calibri" w:eastAsia="Calibri" w:hAnsi="Calibri"/>
          <w:sz w:val="20"/>
          <w:szCs w:val="20"/>
          <w:color w:val="auto"/>
        </w:rPr>
      </w:pPr>
    </w:p>
    <w:p>
      <w:pPr>
        <w:ind w:left="980" w:hanging="324"/>
        <w:spacing w:after="0" w:line="242" w:lineRule="auto"/>
        <w:tabs>
          <w:tab w:leader="none" w:pos="973"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Improved net loss by $1.8 million in the fourth quarter and by over $8 million for the full year compared to the same periods in 2023</w:t>
      </w:r>
    </w:p>
    <w:p>
      <w:pPr>
        <w:spacing w:after="0" w:line="250" w:lineRule="exact"/>
        <w:rPr>
          <w:rFonts w:ascii="Calibri" w:cs="Calibri" w:eastAsia="Calibri" w:hAnsi="Calibri"/>
          <w:sz w:val="20"/>
          <w:szCs w:val="20"/>
          <w:color w:val="auto"/>
        </w:rPr>
      </w:pPr>
    </w:p>
    <w:p>
      <w:pPr>
        <w:ind w:left="980" w:right="400" w:hanging="324"/>
        <w:spacing w:after="0" w:line="234" w:lineRule="auto"/>
        <w:tabs>
          <w:tab w:leader="none" w:pos="973"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Improved adjusted EBITDA loss by $1.3 million in the fourth quarter and by nearly $7 million for full-year from the same periods in 2023</w:t>
      </w:r>
    </w:p>
    <w:p>
      <w:pPr>
        <w:spacing w:after="0" w:line="256"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Ended 2024 with a cash and restricted cash balance of $22.2 million</w:t>
      </w:r>
    </w:p>
    <w:p>
      <w:pPr>
        <w:sectPr>
          <w:pgSz w:w="11900" w:h="16838" w:orient="portrait"/>
          <w:cols w:equalWidth="0" w:num="1">
            <w:col w:w="11180"/>
          </w:cols>
          <w:pgMar w:left="320" w:top="1440" w:right="399" w:bottom="1440" w:gutter="0" w:footer="0" w:header="0"/>
        </w:sectPr>
      </w:pPr>
    </w:p>
    <w:bookmarkStart w:id="4" w:name="page5"/>
    <w:bookmarkEnd w:id="4"/>
    <w:p>
      <w:pPr>
        <w:spacing w:after="0" w:line="19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2024 and Recent Business Highlights:</w:t>
      </w:r>
    </w:p>
    <w:p>
      <w:pPr>
        <w:spacing w:after="0" w:line="2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Achieved key commercial milestone with completon of 1,000,000</w:t>
      </w:r>
      <w:r>
        <w:rPr>
          <w:rFonts w:ascii="Calibri" w:cs="Calibri" w:eastAsia="Calibri" w:hAnsi="Calibri"/>
          <w:sz w:val="11"/>
          <w:szCs w:val="11"/>
          <w:color w:val="auto"/>
        </w:rPr>
        <w:t>th</w:t>
      </w:r>
      <w:r>
        <w:rPr>
          <w:rFonts w:ascii="Calibri" w:cs="Calibri" w:eastAsia="Calibri" w:hAnsi="Calibri"/>
          <w:sz w:val="20"/>
          <w:szCs w:val="20"/>
          <w:color w:val="auto"/>
        </w:rPr>
        <w:t xml:space="preserve"> patent tested by AVISE CTD</w:t>
      </w:r>
    </w:p>
    <w:p>
      <w:pPr>
        <w:spacing w:after="0" w:line="278" w:lineRule="exact"/>
        <w:rPr>
          <w:rFonts w:ascii="Arial" w:cs="Arial" w:eastAsia="Arial" w:hAnsi="Arial"/>
          <w:sz w:val="22"/>
          <w:szCs w:val="22"/>
          <w:color w:val="auto"/>
        </w:rPr>
      </w:pPr>
    </w:p>
    <w:p>
      <w:pPr>
        <w:ind w:left="660" w:right="40" w:hanging="328"/>
        <w:spacing w:after="0" w:line="223" w:lineRule="auto"/>
        <w:tabs>
          <w:tab w:leader="none" w:pos="655"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0"/>
          <w:szCs w:val="20"/>
          <w:color w:val="auto"/>
        </w:rPr>
        <w:t>Featured fve abstracts at the 2024 American College of Rheumatology (ACR) annual meetng highlightng Exagen’s innovatve research on novel T Cell biomarkers for Lupus and sero-negatve autoantbodies for rheumatoid arthrits, in additon to a plenary presentaton in collaboraton with Johns Hopkins University, highlightng a urinary biomarker panel that holds the potental to guide precision management of Lupus Nephrits patents</w:t>
      </w:r>
    </w:p>
    <w:p>
      <w:pPr>
        <w:spacing w:after="0" w:line="280" w:lineRule="exact"/>
        <w:rPr>
          <w:rFonts w:ascii="Times New Roman" w:cs="Times New Roman" w:eastAsia="Times New Roman" w:hAnsi="Times New Roman"/>
          <w:sz w:val="22"/>
          <w:szCs w:val="22"/>
          <w:color w:val="auto"/>
        </w:rPr>
      </w:pPr>
    </w:p>
    <w:p>
      <w:pPr>
        <w:ind w:left="660" w:right="1140" w:hanging="328"/>
        <w:spacing w:after="0" w:line="220" w:lineRule="auto"/>
        <w:tabs>
          <w:tab w:leader="none" w:pos="655"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Secured New York State Department of Health approval for and executed commercial launch of new systemic lupus erythematosus (SLE) and rheumatoid arthrits (RA) biomarker assays in January 2025</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“The executon of our operatonal turnaround contnued in earnest during 2024, which is refected in our transformatve fnancial results and is a testament to the strength of our team and strategy,” said John Aballi, President and CEO. “We have contnued to grow proftable revenue and expand gross margins while signifcantly reducing operatng expenses and cash burn.”</w:t>
      </w:r>
    </w:p>
    <w:p>
      <w:pPr>
        <w:spacing w:after="0" w:line="252" w:lineRule="exact"/>
        <w:rPr>
          <w:sz w:val="20"/>
          <w:szCs w:val="20"/>
          <w:color w:val="auto"/>
        </w:rPr>
      </w:pPr>
    </w:p>
    <w:p>
      <w:pPr>
        <w:ind w:right="20"/>
        <w:spacing w:after="0"/>
        <w:rPr>
          <w:sz w:val="20"/>
          <w:szCs w:val="20"/>
          <w:color w:val="auto"/>
        </w:rPr>
      </w:pPr>
      <w:r>
        <w:rPr>
          <w:rFonts w:ascii="Calibri" w:cs="Calibri" w:eastAsia="Calibri" w:hAnsi="Calibri"/>
          <w:sz w:val="20"/>
          <w:szCs w:val="20"/>
          <w:color w:val="auto"/>
        </w:rPr>
        <w:t>“Additonally, the successful launch of our new AVISE CTD biomarkers this past January is a signifcant milestone in our commitment to improving patent care. With these accomplishments, Exagen is beter positoned for success, and I am excited about the momentum we carry into 2025 as we drive towards proftability.”</w:t>
      </w:r>
    </w:p>
    <w:p>
      <w:pPr>
        <w:spacing w:after="0" w:line="39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Financial Outlook</w:t>
      </w:r>
    </w:p>
    <w:p>
      <w:pPr>
        <w:spacing w:after="0" w:line="157" w:lineRule="exact"/>
        <w:rPr>
          <w:sz w:val="20"/>
          <w:szCs w:val="20"/>
          <w:color w:val="auto"/>
        </w:rPr>
      </w:pPr>
    </w:p>
    <w:p>
      <w:pPr>
        <w:spacing w:after="0" w:line="247" w:lineRule="auto"/>
        <w:rPr>
          <w:sz w:val="20"/>
          <w:szCs w:val="20"/>
          <w:color w:val="auto"/>
        </w:rPr>
      </w:pPr>
      <w:r>
        <w:rPr>
          <w:rFonts w:ascii="Calibri" w:cs="Calibri" w:eastAsia="Calibri" w:hAnsi="Calibri"/>
          <w:sz w:val="20"/>
          <w:szCs w:val="20"/>
          <w:color w:val="auto"/>
        </w:rPr>
        <w:t>The company expects total revenue of at least $14.5 million for the frst quarter of 2025, and antcipates to be on-track to deliver positve adjusted EBITDA in the fourth quarter of 2025. The company expects to provide its full-year 2025 fnancial outlook in connecton with the release of its frst quarter 2025 fnancial results.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Conference Call</w:t>
      </w:r>
    </w:p>
    <w:p>
      <w:pPr>
        <w:spacing w:after="0" w:line="157" w:lineRule="exact"/>
        <w:rPr>
          <w:sz w:val="20"/>
          <w:szCs w:val="20"/>
          <w:color w:val="auto"/>
        </w:rPr>
      </w:pPr>
    </w:p>
    <w:p>
      <w:pPr>
        <w:ind w:right="120"/>
        <w:spacing w:after="0"/>
        <w:rPr>
          <w:sz w:val="20"/>
          <w:szCs w:val="20"/>
          <w:color w:val="auto"/>
        </w:rPr>
      </w:pPr>
      <w:r>
        <w:rPr>
          <w:rFonts w:ascii="Calibri" w:cs="Calibri" w:eastAsia="Calibri" w:hAnsi="Calibri"/>
          <w:sz w:val="20"/>
          <w:szCs w:val="20"/>
          <w:color w:val="auto"/>
        </w:rPr>
        <w:t>A conference call to provide a business update and review fourth quarter and full-year 2024 fnancial results is scheduled for today March 11, 2025 at 8:30 AM Eastern Time (5:30 AM Pacifc Time). Interested partes may access the conference call by dialing (201) 389-0918 (U.S.) or (877) 407-0890 (internatonal). Additonally, a link to a live webcast of the call will be available in the Investor Relatons secton of Exagen's website at investors.exagen.com.</w:t>
      </w:r>
    </w:p>
    <w:p>
      <w:pPr>
        <w:spacing w:after="0" w:line="157" w:lineRule="exact"/>
        <w:rPr>
          <w:sz w:val="20"/>
          <w:szCs w:val="20"/>
          <w:color w:val="auto"/>
        </w:rPr>
      </w:pPr>
    </w:p>
    <w:p>
      <w:pPr>
        <w:spacing w:after="0"/>
        <w:rPr>
          <w:sz w:val="20"/>
          <w:szCs w:val="20"/>
          <w:color w:val="auto"/>
        </w:rPr>
      </w:pPr>
      <w:r>
        <w:rPr>
          <w:rFonts w:ascii="Calibri" w:cs="Calibri" w:eastAsia="Calibri" w:hAnsi="Calibri"/>
          <w:sz w:val="20"/>
          <w:szCs w:val="20"/>
          <w:color w:val="auto"/>
        </w:rPr>
        <w:t>Partcipants are asked to join a few minutes prior to the call to register for the event. A replay of the conference call will be available untl Monday, April 14, 2025 at 11:59 PM Eastern Time (8:59 PM Pacifc Time). Interested partes may access the replay by dialing (201) 612-7415 (U.S.) or (877) 660-6853 (internatonal) using passcode 13751928. A link to the replay will also be available in the investor relatons secton of Exagen's website.</w:t>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b w:val="1"/>
          <w:bCs w:val="1"/>
          <w:color w:val="auto"/>
        </w:rPr>
        <w:t>Use of Non-GAAP Financial Measures (Unaudited)</w:t>
      </w:r>
    </w:p>
    <w:p>
      <w:pPr>
        <w:spacing w:after="0" w:line="252"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In additon to the fnancial results prepared in accordance with generally accepted accountng principles in the United States (GAAP), this press release contains the metric adjusted EBITDA, which is not calculated in accordance with GAAP and is a non-GAAP fnancial measure. Adjusted EBITDA excludes from net loss interest income (expense), income tax expense (beneft), depreciaton and amortzaton expense, stock-based compensaton expense and other expenses or income that management believes are not representatve of the company’s operatons. Such items could have a signifcant impact on the calculaton of GAAP net loss.</w:t>
      </w:r>
    </w:p>
    <w:p>
      <w:pPr>
        <w:spacing w:after="0" w:line="249" w:lineRule="exact"/>
        <w:rPr>
          <w:sz w:val="20"/>
          <w:szCs w:val="20"/>
          <w:color w:val="auto"/>
        </w:rPr>
      </w:pPr>
    </w:p>
    <w:p>
      <w:pPr>
        <w:ind w:right="120"/>
        <w:spacing w:after="0" w:line="242" w:lineRule="auto"/>
        <w:rPr>
          <w:sz w:val="20"/>
          <w:szCs w:val="20"/>
          <w:color w:val="auto"/>
        </w:rPr>
      </w:pPr>
      <w:r>
        <w:rPr>
          <w:rFonts w:ascii="Calibri" w:cs="Calibri" w:eastAsia="Calibri" w:hAnsi="Calibri"/>
          <w:sz w:val="20"/>
          <w:szCs w:val="20"/>
          <w:color w:val="auto"/>
        </w:rPr>
        <w:t>Exagen uses adjusted EBITDA internally because the company believes these metrics provide useful supplemental informaton in assessing its operatng performance reported in accordance with GAAP. Exagen believes adjusted EBITDA may enhance an evaluaton of our operatng performance because it excludes the impact of prior decisions made about capital investment, fnancing, investng and certain expenses the company believes are not indicatve of our ongoing performance. However, this non-GAAP fnancial measure may be diferent from non-GAAP fnancial measures used by other companies, even when the same or similarly ttled terms are used to identfy such measures, limitng their usefulness for comparatve purposes.</w:t>
      </w:r>
    </w:p>
    <w:p>
      <w:pPr>
        <w:spacing w:after="0" w:line="251" w:lineRule="exact"/>
        <w:rPr>
          <w:sz w:val="20"/>
          <w:szCs w:val="20"/>
          <w:color w:val="auto"/>
        </w:rPr>
      </w:pPr>
    </w:p>
    <w:p>
      <w:pPr>
        <w:ind w:right="40"/>
        <w:spacing w:after="0" w:line="242" w:lineRule="auto"/>
        <w:rPr>
          <w:sz w:val="20"/>
          <w:szCs w:val="20"/>
          <w:color w:val="auto"/>
        </w:rPr>
      </w:pPr>
      <w:r>
        <w:rPr>
          <w:rFonts w:ascii="Calibri" w:cs="Calibri" w:eastAsia="Calibri" w:hAnsi="Calibri"/>
          <w:sz w:val="20"/>
          <w:szCs w:val="20"/>
          <w:color w:val="auto"/>
        </w:rPr>
        <w:t>This non-GAAP fnancial measure is not meant to be considered in isolaton or used as a substtute for net loss reported in accordance with GAAP, should be considered in conjuncton with our fnancial informaton presented in accordance with GAAP, has no standardized meaning prescribed by GAAP, is unaudited, and is not prepared under any comprehensive set of accountng rules or principles. In additon, from tme to tme in the future, there may be other items that Exagen may exclude for purposes of these non-GAAP fnancial measures, and the company may in the future cease to exclude items that it has historically excluded for purposes of these non-GAAP fnancial measures. Likewise, Exagen may determine to modify the nature of adjustments to arrive at these non-GAAP fnancial measures. Because of the non-standardized defnitons of non-GAAP fnancial measures, the non-GAAP fnancial measure as used by the company in this press release and the accompanying reconciliaton table have limits in their usefulness to investors and may be calculated diferently from, and therefore may not be directly comparable to, similarly ttled measures used by other companies. Accordingly, investors should not place undue reliance on non-GAAP fnancial measures.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A reconciliaton of net loss to non-GAAP adjusted EBITDA is provided in the fnancial schedules that are part of this press release.</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Exagen</w:t>
      </w:r>
    </w:p>
    <w:p>
      <w:pPr>
        <w:spacing w:after="0" w:line="252" w:lineRule="exact"/>
        <w:rPr>
          <w:sz w:val="20"/>
          <w:szCs w:val="20"/>
          <w:color w:val="auto"/>
        </w:rPr>
      </w:pPr>
    </w:p>
    <w:p>
      <w:pPr>
        <w:ind w:right="600"/>
        <w:spacing w:after="0" w:line="228" w:lineRule="auto"/>
        <w:rPr>
          <w:sz w:val="20"/>
          <w:szCs w:val="20"/>
          <w:color w:val="auto"/>
        </w:rPr>
      </w:pPr>
      <w:r>
        <w:rPr>
          <w:rFonts w:ascii="Calibri" w:cs="Calibri" w:eastAsia="Calibri" w:hAnsi="Calibri"/>
          <w:sz w:val="20"/>
          <w:szCs w:val="20"/>
          <w:color w:val="auto"/>
        </w:rPr>
        <w:t>Exagen is a leading provider of autoimmune testng and its purpose as an organizaton is to provide clarity in autoimmune disease decision making with the goal of improving patents’ clinical outcomes. Exagen is located in San Diego County, California.</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For more informaton, please visit Exagen.com or follow @ExagenInc on X.</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sectPr>
          <w:pgSz w:w="11900" w:h="16838" w:orient="portrait"/>
          <w:cols w:equalWidth="0" w:num="1">
            <w:col w:w="11220"/>
          </w:cols>
          <w:pgMar w:left="320" w:top="1401" w:right="359" w:bottom="1440" w:gutter="0" w:footer="0" w:header="0"/>
        </w:sectPr>
      </w:pPr>
    </w:p>
    <w:bookmarkStart w:id="6" w:name="page7"/>
    <w:bookmarkEnd w:id="6"/>
    <w:p>
      <w:pPr>
        <w:spacing w:after="0" w:line="243" w:lineRule="auto"/>
        <w:rPr>
          <w:sz w:val="20"/>
          <w:szCs w:val="20"/>
          <w:color w:val="auto"/>
        </w:rPr>
      </w:pPr>
      <w:r>
        <w:rPr>
          <w:rFonts w:ascii="Calibri" w:cs="Calibri" w:eastAsia="Calibri" w:hAnsi="Calibri"/>
          <w:sz w:val="20"/>
          <w:szCs w:val="20"/>
          <w:color w:val="auto"/>
        </w:rPr>
        <w:t>Exagen cautons you that statements contained in this press release regarding maters that are not historical facts are forward-looking statements. These statements are based on Exagen’s current beliefs and expectatons. Such forward-looking statements include, but are not limited to, statements regarding: Exagen’s goals, strategies, positoning, and ambitons; evaluatons and judgments regarding fnancial results and the potental implicatons of those results, potental future fnancial and business performance, including any improvements to adjusted EBITDA, net loss and potental proftability; the potental utlity and efectveness of Exagen’s services and testng solutons; potental shareholder value and growth and full-year 2025 guidance. The inclusion of forward-looking statements should not be regarded as a representaton by Exagen that any of its plans will be achieved. Actual results may difer from those set forth in this press release due to the risks and uncertaintes inherent in Exagen’s business, including, without limitaton: delays in reimbursement and coverage decisions from Medicare and third-party payors and in interactons with regulatory authorites, and delays in ongoing and planned clinical trials involving its tests; and changes in laws and regulatons related to Exagen’s regulatory requirements. Exagen’s commercial success depends upon ataining and maintaining signifcant market acceptance of its testng products among rheumatologists, patents, third-party payors and others in the medical community; Exagen’s ability to successfully execute on its business strategies; third-party payors not providing coverage and adequate reimbursement for Exagen’s testng products, including Exagen’s ability to collect on funds due; Exagen’s ability to obtain and maintain intellectual property protecton for its testng products; regulatory developments afectng Exagen’s business; and other risks described in Exagen’s prior press releases and Exagen’s flings with the Securites and Exchange Commission (“SEC”), including under the heading “Risk Factors” in Exagen’s Annual Report or Form 10-K for the year ended December 31, 2024, to be fled with the SEC on or before March 14, 2025 and any subsequent flings with the SEC. You are cautoned not to place undue reliance on these forward-looking statements, which speak only as of the date hereof, and Exagen undertakes no obligaton to update such statements to refect events that occur or circumstances that exist afer the date hereof. All forward-looking statements are qualifed in their entrety by this cautonary statement, which is made under the safe harbor provisions of the Private Securites Litgaton Reform Act of 1995.</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Contact:</w:t>
      </w:r>
    </w:p>
    <w:p>
      <w:pPr>
        <w:spacing w:after="0" w:line="231" w:lineRule="auto"/>
        <w:rPr>
          <w:sz w:val="20"/>
          <w:szCs w:val="20"/>
          <w:color w:val="auto"/>
        </w:rPr>
      </w:pPr>
      <w:r>
        <w:rPr>
          <w:rFonts w:ascii="Calibri" w:cs="Calibri" w:eastAsia="Calibri" w:hAnsi="Calibri"/>
          <w:sz w:val="22"/>
          <w:szCs w:val="22"/>
          <w:color w:val="auto"/>
        </w:rPr>
        <w:t>Ryan Douglas</w:t>
      </w:r>
    </w:p>
    <w:p>
      <w:pPr>
        <w:spacing w:after="0" w:line="227" w:lineRule="auto"/>
        <w:rPr>
          <w:sz w:val="20"/>
          <w:szCs w:val="20"/>
          <w:color w:val="auto"/>
        </w:rPr>
      </w:pPr>
      <w:r>
        <w:rPr>
          <w:rFonts w:ascii="Calibri" w:cs="Calibri" w:eastAsia="Calibri" w:hAnsi="Calibri"/>
          <w:sz w:val="22"/>
          <w:szCs w:val="22"/>
          <w:color w:val="auto"/>
        </w:rPr>
        <w:t>Exagen Inc.</w:t>
      </w:r>
    </w:p>
    <w:p>
      <w:pPr>
        <w:spacing w:after="0" w:line="231" w:lineRule="auto"/>
        <w:rPr>
          <w:sz w:val="20"/>
          <w:szCs w:val="20"/>
          <w:color w:val="auto"/>
        </w:rPr>
      </w:pPr>
      <w:r>
        <w:rPr>
          <w:rFonts w:ascii="Calibri" w:cs="Calibri" w:eastAsia="Calibri" w:hAnsi="Calibri"/>
          <w:sz w:val="22"/>
          <w:szCs w:val="22"/>
          <w:u w:val="single" w:color="auto"/>
          <w:color w:val="0563C1"/>
        </w:rPr>
        <w:t>ir@exagen.com</w:t>
      </w:r>
    </w:p>
    <w:p>
      <w:pPr>
        <w:spacing w:after="0" w:line="2" w:lineRule="exact"/>
        <w:rPr>
          <w:sz w:val="20"/>
          <w:szCs w:val="20"/>
          <w:color w:val="auto"/>
        </w:rPr>
      </w:pPr>
    </w:p>
    <w:p>
      <w:pPr>
        <w:spacing w:after="0"/>
        <w:rPr>
          <w:sz w:val="20"/>
          <w:szCs w:val="20"/>
          <w:color w:val="auto"/>
        </w:rPr>
      </w:pPr>
      <w:r>
        <w:rPr>
          <w:rFonts w:ascii="Calibri" w:cs="Calibri" w:eastAsia="Calibri" w:hAnsi="Calibri"/>
          <w:sz w:val="22"/>
          <w:szCs w:val="22"/>
          <w:color w:val="auto"/>
        </w:rPr>
        <w:t>760.560.1525</w:t>
      </w:r>
    </w:p>
    <w:p>
      <w:pPr>
        <w:sectPr>
          <w:pgSz w:w="11900" w:h="16838" w:orient="portrait"/>
          <w:cols w:equalWidth="0" w:num="1">
            <w:col w:w="11220"/>
          </w:cols>
          <w:pgMar w:left="320" w:top="1411" w:right="359"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7"/>
                <w:szCs w:val="17"/>
                <w:color w:val="auto"/>
              </w:rPr>
            </w:pPr>
          </w:p>
        </w:tc>
        <w:tc>
          <w:tcPr>
            <w:tcW w:w="278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13,655</w:t>
            </w:r>
          </w:p>
        </w:tc>
        <w:tc>
          <w:tcPr>
            <w:tcW w:w="12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13,765</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55,641</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52,548</w:t>
            </w:r>
          </w:p>
        </w:tc>
        <w:tc>
          <w:tcPr>
            <w:tcW w:w="0" w:type="dxa"/>
            <w:vAlign w:val="bottom"/>
          </w:tcPr>
          <w:p>
            <w:pPr>
              <w:spacing w:after="0"/>
              <w:rPr>
                <w:sz w:val="1"/>
                <w:szCs w:val="1"/>
                <w:color w:val="auto"/>
              </w:rPr>
            </w:pPr>
          </w:p>
        </w:tc>
      </w:tr>
      <w:tr>
        <w:trPr>
          <w:trHeight w:val="204"/>
        </w:trPr>
        <w:tc>
          <w:tcPr>
            <w:tcW w:w="4860" w:type="dxa"/>
            <w:vAlign w:val="bottom"/>
          </w:tcPr>
          <w:p>
            <w:pPr>
              <w:spacing w:after="0"/>
              <w:rPr>
                <w:sz w:val="20"/>
                <w:szCs w:val="20"/>
                <w:color w:val="auto"/>
              </w:rPr>
            </w:pPr>
            <w:r>
              <w:rPr>
                <w:rFonts w:ascii="Arial" w:cs="Arial" w:eastAsia="Arial" w:hAnsi="Arial"/>
                <w:sz w:val="14"/>
                <w:szCs w:val="14"/>
                <w:color w:val="auto"/>
              </w:rPr>
              <w:t>Costs of revenue</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5,178</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23,092</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4"/>
                <w:szCs w:val="14"/>
                <w:color w:val="auto"/>
              </w:rPr>
              <w:t>Gross margin</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8,477</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33,112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29,456</w:t>
            </w:r>
          </w:p>
        </w:tc>
        <w:tc>
          <w:tcPr>
            <w:tcW w:w="0" w:type="dxa"/>
            <w:vAlign w:val="bottom"/>
          </w:tcPr>
          <w:p>
            <w:pPr>
              <w:spacing w:after="0"/>
              <w:rPr>
                <w:sz w:val="1"/>
                <w:szCs w:val="1"/>
                <w:color w:val="auto"/>
              </w:rPr>
            </w:pPr>
          </w:p>
        </w:tc>
      </w:tr>
      <w:tr>
        <w:trPr>
          <w:trHeight w:val="181"/>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10,204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12,216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41,373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47,428</w:t>
            </w:r>
          </w:p>
        </w:tc>
        <w:tc>
          <w:tcPr>
            <w:tcW w:w="0" w:type="dxa"/>
            <w:vAlign w:val="bottom"/>
          </w:tcPr>
          <w:p>
            <w:pPr>
              <w:spacing w:after="0"/>
              <w:rPr>
                <w:sz w:val="1"/>
                <w:szCs w:val="1"/>
                <w:color w:val="auto"/>
              </w:rPr>
            </w:pPr>
          </w:p>
        </w:tc>
      </w:tr>
      <w:tr>
        <w:trPr>
          <w:trHeight w:val="204"/>
        </w:trPr>
        <w:tc>
          <w:tcPr>
            <w:tcW w:w="4860" w:type="dxa"/>
            <w:vAlign w:val="bottom"/>
          </w:tcPr>
          <w:p>
            <w:pPr>
              <w:ind w:left="340"/>
              <w:spacing w:after="0"/>
              <w:rPr>
                <w:sz w:val="20"/>
                <w:szCs w:val="20"/>
                <w:color w:val="auto"/>
              </w:rPr>
            </w:pPr>
            <w:r>
              <w:rPr>
                <w:rFonts w:ascii="Arial" w:cs="Arial" w:eastAsia="Arial" w:hAnsi="Arial"/>
                <w:sz w:val="14"/>
                <w:szCs w:val="14"/>
                <w:color w:val="auto"/>
              </w:rPr>
              <w:t>Research and development expenses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1,656</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4,865</w:t>
            </w:r>
          </w:p>
        </w:tc>
        <w:tc>
          <w:tcPr>
            <w:tcW w:w="0" w:type="dxa"/>
            <w:vAlign w:val="bottom"/>
          </w:tcPr>
          <w:p>
            <w:pPr>
              <w:spacing w:after="0"/>
              <w:rPr>
                <w:sz w:val="1"/>
                <w:szCs w:val="1"/>
                <w:color w:val="auto"/>
              </w:rPr>
            </w:pPr>
          </w:p>
        </w:tc>
      </w:tr>
      <w:tr>
        <w:trPr>
          <w:trHeight w:val="196"/>
        </w:trPr>
        <w:tc>
          <w:tcPr>
            <w:tcW w:w="4860" w:type="dxa"/>
            <w:vAlign w:val="bottom"/>
          </w:tcPr>
          <w:p>
            <w:pPr>
              <w:ind w:left="66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11,860</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46,748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52,293</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(3,383)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(13,636)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(22,837)</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(2,234)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(2,335)</w:t>
            </w:r>
          </w:p>
        </w:tc>
        <w:tc>
          <w:tcPr>
            <w:tcW w:w="0" w:type="dxa"/>
            <w:vAlign w:val="bottom"/>
          </w:tcPr>
          <w:p>
            <w:pPr>
              <w:spacing w:after="0"/>
              <w:rPr>
                <w:sz w:val="1"/>
                <w:szCs w:val="1"/>
                <w:color w:val="auto"/>
              </w:rPr>
            </w:pPr>
          </w:p>
        </w:tc>
      </w:tr>
      <w:tr>
        <w:trPr>
          <w:trHeight w:val="204"/>
        </w:trPr>
        <w:tc>
          <w:tcPr>
            <w:tcW w:w="486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(3,761)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(5,567)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(15,103)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(23,656)</w:t>
            </w:r>
          </w:p>
        </w:tc>
        <w:tc>
          <w:tcPr>
            <w:tcW w:w="0" w:type="dxa"/>
            <w:vAlign w:val="bottom"/>
          </w:tcPr>
          <w:p>
            <w:pPr>
              <w:spacing w:after="0"/>
              <w:rPr>
                <w:sz w:val="1"/>
                <w:szCs w:val="1"/>
                <w:color w:val="auto"/>
              </w:rPr>
            </w:pPr>
          </w:p>
        </w:tc>
      </w:tr>
      <w:tr>
        <w:trPr>
          <w:trHeight w:val="204"/>
        </w:trPr>
        <w:tc>
          <w:tcPr>
            <w:tcW w:w="4860" w:type="dxa"/>
            <w:vAlign w:val="bottom"/>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(3,761)</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(5,573)</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(15,115)</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(23,689)</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6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4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18,427,887</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17,836,090</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18,203,044</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17,679,467</w:t>
            </w:r>
          </w:p>
        </w:tc>
        <w:tc>
          <w:tcPr>
            <w:tcW w:w="0" w:type="dxa"/>
            <w:vAlign w:val="bottom"/>
          </w:tcPr>
          <w:p>
            <w:pPr>
              <w:spacing w:after="0"/>
              <w:rPr>
                <w:sz w:val="1"/>
                <w:szCs w:val="1"/>
                <w:color w:val="auto"/>
              </w:rPr>
            </w:pPr>
          </w:p>
        </w:tc>
      </w:tr>
      <w:tr>
        <w:trPr>
          <w:trHeight w:val="158"/>
        </w:trPr>
        <w:tc>
          <w:tcPr>
            <w:tcW w:w="4860" w:type="dxa"/>
            <w:vAlign w:val="bottom"/>
          </w:tcPr>
          <w:p>
            <w:pPr>
              <w:spacing w:after="0" w:line="158" w:lineRule="exact"/>
              <w:rPr>
                <w:sz w:val="20"/>
                <w:szCs w:val="20"/>
                <w:color w:val="auto"/>
              </w:rPr>
            </w:pPr>
            <w:r>
              <w:rPr>
                <w:rFonts w:ascii="Arial" w:cs="Arial" w:eastAsia="Arial" w:hAnsi="Arial"/>
                <w:sz w:val="14"/>
                <w:szCs w:val="14"/>
                <w:color w:val="auto"/>
              </w:rPr>
              <w:t>basic and diluted</w:t>
            </w: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7" w:right="339" w:bottom="1440" w:gutter="0" w:footer="0" w:header="0"/>
        </w:sectPr>
      </w:pPr>
    </w:p>
    <w:bookmarkStart w:id="8" w:name="page9"/>
    <w:bookmarkEnd w:id="8"/>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86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660" w:type="dxa"/>
            <w:vAlign w:val="bottom"/>
          </w:tcPr>
          <w:p>
            <w:pPr>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22,036</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36,493</w:t>
            </w: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7,835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6,551</w:t>
            </w:r>
          </w:p>
        </w:tc>
        <w:tc>
          <w:tcPr>
            <w:tcW w:w="0" w:type="dxa"/>
            <w:vAlign w:val="bottom"/>
          </w:tcPr>
          <w:p>
            <w:pPr>
              <w:spacing w:after="0"/>
              <w:rPr>
                <w:sz w:val="1"/>
                <w:szCs w:val="1"/>
                <w:color w:val="auto"/>
              </w:rPr>
            </w:pPr>
          </w:p>
        </w:tc>
      </w:tr>
      <w:tr>
        <w:trPr>
          <w:trHeight w:val="204"/>
        </w:trPr>
        <w:tc>
          <w:tcPr>
            <w:tcW w:w="866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6,584</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94"/>
        </w:trPr>
        <w:tc>
          <w:tcPr>
            <w:tcW w:w="866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36,455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47,841</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5,283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5,201</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2,401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204"/>
        </w:trPr>
        <w:tc>
          <w:tcPr>
            <w:tcW w:w="8660" w:type="dxa"/>
            <w:vAlign w:val="bottom"/>
          </w:tcPr>
          <w:p>
            <w:pPr>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96"/>
        </w:trPr>
        <w:tc>
          <w:tcPr>
            <w:tcW w:w="866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7"/>
        </w:trPr>
        <w:tc>
          <w:tcPr>
            <w:tcW w:w="86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660" w:type="dxa"/>
            <w:vAlign w:val="bottom"/>
          </w:tcPr>
          <w:p>
            <w:pPr>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4,137</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Borrowings-current portion</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04"/>
        </w:trPr>
        <w:tc>
          <w:tcPr>
            <w:tcW w:w="8660" w:type="dxa"/>
            <w:vAlign w:val="bottom"/>
          </w:tcPr>
          <w:p>
            <w:pPr>
              <w:ind w:left="340"/>
              <w:spacing w:after="0"/>
              <w:rPr>
                <w:sz w:val="20"/>
                <w:szCs w:val="20"/>
                <w:color w:val="auto"/>
              </w:rPr>
            </w:pPr>
            <w:r>
              <w:rPr>
                <w:rFonts w:ascii="Arial" w:cs="Arial" w:eastAsia="Arial" w:hAnsi="Arial"/>
                <w:sz w:val="14"/>
                <w:szCs w:val="14"/>
                <w:color w:val="auto"/>
              </w:rPr>
              <w:t>Accrued and other current liabilities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7,850</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7,531</w:t>
            </w:r>
          </w:p>
        </w:tc>
        <w:tc>
          <w:tcPr>
            <w:tcW w:w="0" w:type="dxa"/>
            <w:vAlign w:val="bottom"/>
          </w:tcPr>
          <w:p>
            <w:pPr>
              <w:spacing w:after="0"/>
              <w:rPr>
                <w:sz w:val="1"/>
                <w:szCs w:val="1"/>
                <w:color w:val="auto"/>
              </w:rPr>
            </w:pPr>
          </w:p>
        </w:tc>
      </w:tr>
      <w:tr>
        <w:trPr>
          <w:trHeight w:val="194"/>
        </w:trPr>
        <w:tc>
          <w:tcPr>
            <w:tcW w:w="866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13,506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11,902</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19,822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19,231</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Non-current operating lease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2,760</w:t>
            </w:r>
          </w:p>
        </w:tc>
        <w:tc>
          <w:tcPr>
            <w:tcW w:w="0" w:type="dxa"/>
            <w:vAlign w:val="bottom"/>
          </w:tcPr>
          <w:p>
            <w:pPr>
              <w:spacing w:after="0"/>
              <w:rPr>
                <w:sz w:val="1"/>
                <w:szCs w:val="1"/>
                <w:color w:val="auto"/>
              </w:rPr>
            </w:pPr>
          </w:p>
        </w:tc>
      </w:tr>
      <w:tr>
        <w:trPr>
          <w:trHeight w:val="204"/>
        </w:trPr>
        <w:tc>
          <w:tcPr>
            <w:tcW w:w="86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94"/>
        </w:trPr>
        <w:tc>
          <w:tcPr>
            <w:tcW w:w="866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35,149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34,250</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660" w:type="dxa"/>
            <w:vAlign w:val="bottom"/>
          </w:tcPr>
          <w:p>
            <w:pPr>
              <w:ind w:left="340"/>
              <w:spacing w:after="0"/>
              <w:rPr>
                <w:sz w:val="20"/>
                <w:szCs w:val="20"/>
                <w:color w:val="auto"/>
              </w:rPr>
            </w:pPr>
            <w:r>
              <w:rPr>
                <w:rFonts w:ascii="Arial" w:cs="Arial" w:eastAsia="Arial" w:hAnsi="Arial"/>
                <w:sz w:val="14"/>
                <w:szCs w:val="14"/>
                <w:color w:val="auto"/>
              </w:rPr>
              <w:t>Common stock, $0.001 par value; 200,000,000 shares authorized at December 31, 2024 and December 31, 2023; 17,640,328</w:t>
            </w: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rPr>
                <w:sz w:val="20"/>
                <w:szCs w:val="20"/>
                <w:color w:val="auto"/>
              </w:rPr>
            </w:pPr>
            <w:r>
              <w:rPr>
                <w:rFonts w:ascii="Arial" w:cs="Arial" w:eastAsia="Arial" w:hAnsi="Arial"/>
                <w:sz w:val="14"/>
                <w:szCs w:val="14"/>
                <w:color w:val="auto"/>
              </w:rPr>
              <w:t>and 17,045,954 shares issued and outstanding at December 31, 2024 and December 31, 2023, respectively</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6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303,853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301,893</w:t>
            </w:r>
          </w:p>
        </w:tc>
        <w:tc>
          <w:tcPr>
            <w:tcW w:w="0" w:type="dxa"/>
            <w:vAlign w:val="bottom"/>
          </w:tcPr>
          <w:p>
            <w:pPr>
              <w:spacing w:after="0"/>
              <w:rPr>
                <w:sz w:val="1"/>
                <w:szCs w:val="1"/>
                <w:color w:val="auto"/>
              </w:rPr>
            </w:pPr>
          </w:p>
        </w:tc>
      </w:tr>
      <w:tr>
        <w:trPr>
          <w:trHeight w:val="204"/>
        </w:trPr>
        <w:tc>
          <w:tcPr>
            <w:tcW w:w="866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(294,331)</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(279,216)</w:t>
            </w:r>
          </w:p>
        </w:tc>
        <w:tc>
          <w:tcPr>
            <w:tcW w:w="0" w:type="dxa"/>
            <w:vAlign w:val="bottom"/>
          </w:tcPr>
          <w:p>
            <w:pPr>
              <w:spacing w:after="0"/>
              <w:rPr>
                <w:sz w:val="1"/>
                <w:szCs w:val="1"/>
                <w:color w:val="auto"/>
              </w:rPr>
            </w:pPr>
          </w:p>
        </w:tc>
      </w:tr>
      <w:tr>
        <w:trPr>
          <w:trHeight w:val="196"/>
        </w:trPr>
        <w:tc>
          <w:tcPr>
            <w:tcW w:w="8660" w:type="dxa"/>
            <w:vAlign w:val="bottom"/>
          </w:tcPr>
          <w:p>
            <w:pPr>
              <w:ind w:left="66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9,540</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198"/>
        </w:trPr>
        <w:tc>
          <w:tcPr>
            <w:tcW w:w="866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5"/>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7"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165"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The table below presents the reconciliaton of adjusted EBITDA, which is a non-GAAP fnancial measure. See "Use of Non-GAAP Financial Measures (UNAUDITED)" above for further informaton regarding the Company's use of non-GAAP fnancial measures.</w:t>
      </w:r>
    </w:p>
    <w:p>
      <w:pPr>
        <w:sectPr>
          <w:pgSz w:w="11900" w:h="16838" w:orient="portrait"/>
          <w:cols w:equalWidth="0" w:num="1">
            <w:col w:w="11220"/>
          </w:cols>
          <w:pgMar w:left="320" w:top="1417" w:right="359" w:bottom="1440" w:gutter="0" w:footer="0" w:header="0"/>
        </w:sectPr>
      </w:pPr>
    </w:p>
    <w:p>
      <w:pPr>
        <w:spacing w:after="0" w:line="52" w:lineRule="exact"/>
        <w:rPr>
          <w:sz w:val="20"/>
          <w:szCs w:val="20"/>
          <w:color w:val="auto"/>
        </w:rPr>
      </w:pPr>
    </w:p>
    <w:p>
      <w:pPr>
        <w:jc w:val="center"/>
        <w:ind w:left="4120"/>
        <w:spacing w:after="0"/>
        <w:rPr>
          <w:sz w:val="20"/>
          <w:szCs w:val="20"/>
          <w:color w:val="auto"/>
        </w:rPr>
      </w:pPr>
      <w:r>
        <w:rPr>
          <w:rFonts w:ascii="Arial" w:cs="Arial" w:eastAsia="Arial" w:hAnsi="Arial"/>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23495</wp:posOffset>
            </wp:positionV>
            <wp:extent cx="2245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35" w:lineRule="exact"/>
        <w:rPr>
          <w:sz w:val="20"/>
          <w:szCs w:val="20"/>
          <w:color w:val="auto"/>
        </w:rPr>
      </w:pPr>
    </w:p>
    <w:p>
      <w:pPr>
        <w:ind w:left="4720"/>
        <w:spacing w:after="0"/>
        <w:tabs>
          <w:tab w:leader="none" w:pos="65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23495</wp:posOffset>
            </wp:positionV>
            <wp:extent cx="2254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35" w:lineRule="exact"/>
        <w:rPr>
          <w:sz w:val="20"/>
          <w:szCs w:val="20"/>
          <w:color w:val="auto"/>
        </w:rPr>
      </w:pPr>
    </w:p>
    <w:p>
      <w:pPr>
        <w:ind w:left="160"/>
        <w:spacing w:after="0"/>
        <w:tabs>
          <w:tab w:leader="none" w:pos="19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7480" w:space="720"/>
            <w:col w:w="3020"/>
          </w:cols>
          <w:pgMar w:left="320" w:top="1417" w:right="359" w:bottom="1440" w:gutter="0" w:footer="0" w:header="0"/>
          <w:type w:val="continuous"/>
        </w:sectPr>
      </w:pPr>
    </w:p>
    <w:tbl>
      <w:tblPr>
        <w:tblLayout w:type="fixed"/>
        <w:tblInd w:w="40" w:type="dxa"/>
        <w:tblCellMar>
          <w:top w:w="0" w:type="dxa"/>
          <w:left w:w="0" w:type="dxa"/>
          <w:bottom w:w="0" w:type="dxa"/>
          <w:right w:w="0" w:type="dxa"/>
        </w:tblCellMar>
      </w:tblPr>
      <w:tr>
        <w:trPr>
          <w:trHeight w:val="189"/>
        </w:trPr>
        <w:tc>
          <w:tcPr>
            <w:tcW w:w="40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158"/>
        </w:trPr>
        <w:tc>
          <w:tcPr>
            <w:tcW w:w="12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rPr>
              <w:t>Adjusted EBITDA</w:t>
            </w:r>
          </w:p>
        </w:tc>
        <w:tc>
          <w:tcPr>
            <w:tcW w:w="2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5"/>
        </w:trPr>
        <w:tc>
          <w:tcPr>
            <w:tcW w:w="40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(3,761)</w:t>
            </w:r>
          </w:p>
        </w:tc>
        <w:tc>
          <w:tcPr>
            <w:tcW w:w="120" w:type="dxa"/>
            <w:vAlign w:val="bottom"/>
          </w:tcPr>
          <w:p>
            <w:pPr>
              <w:spacing w:after="0"/>
              <w:rPr>
                <w:sz w:val="18"/>
                <w:szCs w:val="18"/>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(5,573)</w:t>
            </w:r>
          </w:p>
        </w:tc>
        <w:tc>
          <w:tcPr>
            <w:tcW w:w="120" w:type="dxa"/>
            <w:vAlign w:val="bottom"/>
          </w:tcPr>
          <w:p>
            <w:pPr>
              <w:spacing w:after="0"/>
              <w:rPr>
                <w:sz w:val="18"/>
                <w:szCs w:val="18"/>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(15,115)</w:t>
            </w:r>
          </w:p>
        </w:tc>
        <w:tc>
          <w:tcPr>
            <w:tcW w:w="100" w:type="dxa"/>
            <w:vAlign w:val="bottom"/>
          </w:tcPr>
          <w:p>
            <w:pPr>
              <w:spacing w:after="0"/>
              <w:rPr>
                <w:sz w:val="18"/>
                <w:szCs w:val="18"/>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(23,689)</w:t>
            </w:r>
          </w:p>
        </w:tc>
      </w:tr>
      <w:tr>
        <w:trPr>
          <w:trHeight w:val="203"/>
        </w:trPr>
        <w:tc>
          <w:tcPr>
            <w:tcW w:w="4000" w:type="dxa"/>
            <w:vAlign w:val="bottom"/>
            <w:gridSpan w:val="2"/>
          </w:tcPr>
          <w:p>
            <w:pPr>
              <w:ind w:left="340"/>
              <w:spacing w:after="0"/>
              <w:rPr>
                <w:sz w:val="20"/>
                <w:szCs w:val="20"/>
                <w:color w:val="auto"/>
              </w:rPr>
            </w:pPr>
            <w:r>
              <w:rPr>
                <w:rFonts w:ascii="Arial" w:cs="Arial" w:eastAsia="Arial" w:hAnsi="Arial"/>
                <w:sz w:val="14"/>
                <w:szCs w:val="14"/>
                <w:color w:val="auto"/>
              </w:rPr>
              <w:t>Other (Income) Expense</w:t>
            </w: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(1,516)</w:t>
            </w:r>
          </w:p>
        </w:tc>
      </w:tr>
      <w:tr>
        <w:trPr>
          <w:trHeight w:val="203"/>
        </w:trPr>
        <w:tc>
          <w:tcPr>
            <w:tcW w:w="4000" w:type="dxa"/>
            <w:vAlign w:val="bottom"/>
            <w:gridSpan w:val="2"/>
          </w:tcPr>
          <w:p>
            <w:pPr>
              <w:ind w:left="340"/>
              <w:spacing w:after="0"/>
              <w:rPr>
                <w:sz w:val="20"/>
                <w:szCs w:val="20"/>
                <w:color w:val="auto"/>
              </w:rPr>
            </w:pPr>
            <w:r>
              <w:rPr>
                <w:rFonts w:ascii="Arial" w:cs="Arial" w:eastAsia="Arial" w:hAnsi="Arial"/>
                <w:sz w:val="14"/>
                <w:szCs w:val="14"/>
                <w:color w:val="auto"/>
              </w:rPr>
              <w:t>Interest Expense</w:t>
            </w: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2,234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2,335</w:t>
            </w:r>
          </w:p>
        </w:tc>
      </w:tr>
      <w:tr>
        <w:trPr>
          <w:trHeight w:val="203"/>
        </w:trPr>
        <w:tc>
          <w:tcPr>
            <w:tcW w:w="4000" w:type="dxa"/>
            <w:vAlign w:val="bottom"/>
            <w:gridSpan w:val="2"/>
          </w:tcPr>
          <w:p>
            <w:pPr>
              <w:ind w:left="340"/>
              <w:spacing w:after="0"/>
              <w:rPr>
                <w:sz w:val="20"/>
                <w:szCs w:val="20"/>
                <w:color w:val="auto"/>
              </w:rPr>
            </w:pPr>
            <w:r>
              <w:rPr>
                <w:rFonts w:ascii="Arial" w:cs="Arial" w:eastAsia="Arial" w:hAnsi="Arial"/>
                <w:sz w:val="14"/>
                <w:szCs w:val="14"/>
                <w:color w:val="auto"/>
              </w:rPr>
              <w:t>Income tax expense</w:t>
            </w:r>
          </w:p>
        </w:tc>
        <w:tc>
          <w:tcPr>
            <w:tcW w:w="6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3"/>
        </w:trPr>
        <w:tc>
          <w:tcPr>
            <w:tcW w:w="400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 expense</w:t>
            </w: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1,724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2,168</w:t>
            </w:r>
          </w:p>
        </w:tc>
      </w:tr>
      <w:tr>
        <w:trPr>
          <w:trHeight w:val="204"/>
        </w:trPr>
        <w:tc>
          <w:tcPr>
            <w:tcW w:w="4000" w:type="dxa"/>
            <w:vAlign w:val="bottom"/>
            <w:gridSpan w:val="2"/>
          </w:tcPr>
          <w:p>
            <w:pPr>
              <w:ind w:left="340"/>
              <w:spacing w:after="0"/>
              <w:rPr>
                <w:sz w:val="20"/>
                <w:szCs w:val="20"/>
                <w:color w:val="auto"/>
              </w:rPr>
            </w:pPr>
            <w:r>
              <w:rPr>
                <w:rFonts w:ascii="Arial" w:cs="Arial" w:eastAsia="Arial" w:hAnsi="Arial"/>
                <w:sz w:val="14"/>
                <w:szCs w:val="14"/>
                <w:color w:val="auto"/>
              </w:rPr>
              <w:t>Stock-based compensation expense</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3,617</w:t>
            </w:r>
          </w:p>
        </w:tc>
      </w:tr>
      <w:tr>
        <w:trPr>
          <w:trHeight w:val="198"/>
        </w:trPr>
        <w:tc>
          <w:tcPr>
            <w:tcW w:w="4000" w:type="dxa"/>
            <w:vAlign w:val="bottom"/>
            <w:gridSpan w:val="2"/>
          </w:tcPr>
          <w:p>
            <w:pPr>
              <w:spacing w:after="0"/>
              <w:rPr>
                <w:sz w:val="20"/>
                <w:szCs w:val="20"/>
                <w:color w:val="auto"/>
              </w:rPr>
            </w:pPr>
            <w:r>
              <w:rPr>
                <w:rFonts w:ascii="Arial" w:cs="Arial" w:eastAsia="Arial" w:hAnsi="Arial"/>
                <w:sz w:val="14"/>
                <w:szCs w:val="14"/>
                <w:color w:val="auto"/>
              </w:rPr>
              <w:t>Adjusted EBITDA (Non-GAAP)</w:t>
            </w: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(2,535)</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(3,876)</w:t>
            </w:r>
          </w:p>
        </w:tc>
        <w:tc>
          <w:tcPr>
            <w:tcW w:w="120" w:type="dxa"/>
            <w:vAlign w:val="bottom"/>
          </w:tcPr>
          <w:p>
            <w:pPr>
              <w:spacing w:after="0"/>
              <w:rPr>
                <w:sz w:val="17"/>
                <w:szCs w:val="17"/>
                <w:color w:val="auto"/>
              </w:rPr>
            </w:pP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(10,149)</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(17,052)</w:t>
            </w:r>
          </w:p>
        </w:tc>
      </w:tr>
      <w:tr>
        <w:trPr>
          <w:trHeight w:val="24"/>
        </w:trPr>
        <w:tc>
          <w:tcPr>
            <w:tcW w:w="12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20"/>
      </w:cols>
      <w:pgMar w:left="320" w:top="14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2025-03-11T07:13:22Z</dcterms:created>
  <dcterms:modified xsi:type="dcterms:W3CDTF">2025-03-11T07:13:22Z</dcterms:modified>
</cp:coreProperties>
</file>