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5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Hunt Holdings Limited Partnership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4401 N. MESA ST.</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EL PASO</w:t>
            </w:r>
          </w:p>
        </w:tc>
        <w:tc>
          <w:tcPr>
            <w:tcW w:w="940" w:type="dxa"/>
            <w:vAlign w:val="bottom"/>
          </w:tcPr>
          <w:p>
            <w:pPr>
              <w:ind w:left="20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79902</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940" w:type="dxa"/>
            <w:vAlign w:val="bottom"/>
          </w:tcPr>
          <w:p>
            <w:pPr>
              <w:ind w:left="2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right"/>
              <w:ind w:right="856"/>
              <w:spacing w:after="0"/>
              <w:rPr>
                <w:sz w:val="20"/>
                <w:szCs w:val="20"/>
                <w:color w:val="auto"/>
              </w:rPr>
            </w:pPr>
            <w:r>
              <w:rPr>
                <w:rFonts w:ascii="Arial" w:cs="Arial" w:eastAsia="Arial" w:hAnsi="Arial"/>
                <w:sz w:val="18"/>
                <w:szCs w:val="18"/>
                <w:color w:val="0000FF"/>
              </w:rPr>
              <w:t>716</w:t>
            </w:r>
          </w:p>
        </w:tc>
        <w:tc>
          <w:tcPr>
            <w:tcW w:w="84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20" w:type="dxa"/>
            <w:vAlign w:val="bottom"/>
            <w:tcBorders>
              <w:top w:val="single" w:sz="8" w:color="2C2C2C"/>
            </w:tcBorders>
          </w:tcPr>
          <w:p>
            <w:pPr>
              <w:spacing w:after="0"/>
              <w:rPr>
                <w:sz w:val="19"/>
                <w:szCs w:val="19"/>
                <w:color w:val="auto"/>
              </w:rPr>
            </w:pPr>
          </w:p>
        </w:tc>
        <w:tc>
          <w:tcPr>
            <w:tcW w:w="13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6"/>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40" w:type="dxa"/>
            <w:vAlign w:val="bottom"/>
            <w:gridSpan w:val="8"/>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60" w:type="dxa"/>
            <w:vAlign w:val="bottom"/>
          </w:tcPr>
          <w:p>
            <w:pPr>
              <w:spacing w:after="0"/>
              <w:rPr>
                <w:sz w:val="12"/>
                <w:szCs w:val="12"/>
                <w:color w:val="auto"/>
              </w:rPr>
            </w:pP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Warrants</w:t>
            </w:r>
          </w:p>
        </w:tc>
        <w:tc>
          <w:tcPr>
            <w:tcW w:w="1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right"/>
              <w:ind w:right="338"/>
              <w:spacing w:after="0"/>
              <w:rPr>
                <w:sz w:val="20"/>
                <w:szCs w:val="20"/>
                <w:color w:val="auto"/>
              </w:rPr>
            </w:pPr>
            <w:r>
              <w:rPr>
                <w:rFonts w:ascii="Arial" w:cs="Arial" w:eastAsia="Arial" w:hAnsi="Arial"/>
                <w:sz w:val="11"/>
                <w:szCs w:val="11"/>
                <w:color w:val="008000"/>
              </w:rPr>
              <w:t>(2)</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(2)</w:t>
            </w:r>
          </w:p>
        </w:tc>
        <w:tc>
          <w:tcPr>
            <w:tcW w:w="1960" w:type="dxa"/>
            <w:vAlign w:val="bottom"/>
            <w:tcBorders>
              <w:bottom w:val="single" w:sz="8" w:color="2C2C2C"/>
            </w:tcBorders>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8"/>
                <w:szCs w:val="18"/>
                <w:color w:val="0000FF"/>
                <w:w w:val="84"/>
              </w:rPr>
              <w:t>1,434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688.63</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Warrants</w:t>
            </w:r>
          </w:p>
        </w:tc>
        <w:tc>
          <w:tcPr>
            <w:tcW w:w="1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right"/>
              <w:ind w:right="338"/>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960" w:type="dxa"/>
            <w:vAlign w:val="bottom"/>
            <w:tcBorders>
              <w:bottom w:val="single" w:sz="8" w:color="2C2C2C"/>
            </w:tcBorders>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8"/>
                <w:szCs w:val="18"/>
                <w:color w:val="0000FF"/>
                <w:w w:val="89"/>
              </w:rPr>
              <w:t>170,093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1.84</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338"/>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ind w:right="20"/>
              <w:spacing w:after="0"/>
              <w:rPr>
                <w:sz w:val="20"/>
                <w:szCs w:val="20"/>
                <w:color w:val="auto"/>
              </w:rPr>
            </w:pPr>
            <w:r>
              <w:rPr>
                <w:rFonts w:ascii="Arial" w:cs="Arial" w:eastAsia="Arial" w:hAnsi="Arial"/>
                <w:sz w:val="11"/>
                <w:szCs w:val="11"/>
                <w:color w:val="008000"/>
                <w:w w:val="88"/>
              </w:rPr>
              <w:t>(4)</w:t>
            </w:r>
          </w:p>
        </w:tc>
        <w:tc>
          <w:tcPr>
            <w:tcW w:w="1960" w:type="dxa"/>
            <w:vAlign w:val="bottom"/>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tcPr>
          <w:p>
            <w:pPr>
              <w:jc w:val="center"/>
              <w:ind w:left="39"/>
              <w:spacing w:after="0"/>
              <w:rPr>
                <w:sz w:val="20"/>
                <w:szCs w:val="20"/>
                <w:color w:val="auto"/>
              </w:rPr>
            </w:pPr>
            <w:r>
              <w:rPr>
                <w:rFonts w:ascii="Arial" w:cs="Arial" w:eastAsia="Arial" w:hAnsi="Arial"/>
                <w:sz w:val="18"/>
                <w:szCs w:val="18"/>
                <w:color w:val="0000FF"/>
                <w:w w:val="87"/>
              </w:rPr>
              <w:t>31,918</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1.84</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960" w:type="dxa"/>
            <w:vAlign w:val="bottom"/>
            <w:tcBorders>
              <w:top w:val="single" w:sz="8" w:color="2C2C2C"/>
            </w:tcBorders>
          </w:tcPr>
          <w:p>
            <w:pPr>
              <w:jc w:val="center"/>
              <w:ind w:left="16"/>
              <w:spacing w:after="0"/>
              <w:rPr>
                <w:sz w:val="20"/>
                <w:szCs w:val="20"/>
                <w:color w:val="auto"/>
              </w:rPr>
            </w:pPr>
            <w:r>
              <w:rPr>
                <w:rFonts w:ascii="Arial" w:cs="Arial" w:eastAsia="Arial" w:hAnsi="Arial"/>
                <w:sz w:val="18"/>
                <w:szCs w:val="18"/>
                <w:color w:val="0000FF"/>
                <w:w w:val="85"/>
              </w:rPr>
              <w:t>Series E Redeemable</w:t>
            </w:r>
          </w:p>
        </w:tc>
        <w:tc>
          <w:tcPr>
            <w:tcW w:w="8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338"/>
              <w:spacing w:after="0"/>
              <w:rPr>
                <w:sz w:val="20"/>
                <w:szCs w:val="20"/>
                <w:color w:val="auto"/>
              </w:rPr>
            </w:pPr>
            <w:r>
              <w:rPr>
                <w:rFonts w:ascii="Arial" w:cs="Arial" w:eastAsia="Arial" w:hAnsi="Arial"/>
                <w:sz w:val="11"/>
                <w:szCs w:val="11"/>
                <w:color w:val="008000"/>
              </w:rPr>
              <w:t>(2)</w:t>
            </w:r>
          </w:p>
        </w:tc>
        <w:tc>
          <w:tcPr>
            <w:tcW w:w="780" w:type="dxa"/>
            <w:vAlign w:val="bottom"/>
            <w:gridSpan w:val="3"/>
          </w:tcPr>
          <w:p>
            <w:pPr>
              <w:jc w:val="center"/>
              <w:ind w:right="20"/>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ind w:left="36"/>
              <w:spacing w:after="0"/>
              <w:rPr>
                <w:sz w:val="20"/>
                <w:szCs w:val="20"/>
                <w:color w:val="auto"/>
              </w:rPr>
            </w:pPr>
            <w:r>
              <w:rPr>
                <w:rFonts w:ascii="Arial" w:cs="Arial" w:eastAsia="Arial" w:hAnsi="Arial"/>
                <w:sz w:val="18"/>
                <w:szCs w:val="18"/>
                <w:color w:val="0000FF"/>
                <w:w w:val="88"/>
              </w:rPr>
              <w:t>Convertible Preferred</w:t>
            </w:r>
          </w:p>
        </w:tc>
        <w:tc>
          <w:tcPr>
            <w:tcW w:w="840" w:type="dxa"/>
            <w:vAlign w:val="bottom"/>
          </w:tcPr>
          <w:p>
            <w:pPr>
              <w:jc w:val="center"/>
              <w:ind w:left="19"/>
              <w:spacing w:after="0"/>
              <w:rPr>
                <w:sz w:val="20"/>
                <w:szCs w:val="20"/>
                <w:color w:val="auto"/>
              </w:rPr>
            </w:pPr>
            <w:r>
              <w:rPr>
                <w:rFonts w:ascii="Arial" w:cs="Arial" w:eastAsia="Arial" w:hAnsi="Arial"/>
                <w:sz w:val="18"/>
                <w:szCs w:val="18"/>
                <w:color w:val="0000FF"/>
                <w:w w:val="89"/>
              </w:rPr>
              <w:t>604,864</w:t>
            </w:r>
          </w:p>
        </w:tc>
        <w:tc>
          <w:tcPr>
            <w:tcW w:w="880" w:type="dxa"/>
            <w:vAlign w:val="bottom"/>
          </w:tcPr>
          <w:p>
            <w:pPr>
              <w:jc w:val="center"/>
              <w:spacing w:after="0"/>
              <w:rPr>
                <w:sz w:val="20"/>
                <w:szCs w:val="20"/>
                <w:color w:val="auto"/>
              </w:rPr>
            </w:pPr>
            <w:r>
              <w:rPr>
                <w:rFonts w:ascii="Arial" w:cs="Arial" w:eastAsia="Arial" w:hAnsi="Arial"/>
                <w:sz w:val="18"/>
                <w:szCs w:val="18"/>
                <w:color w:val="0000FF"/>
                <w:w w:val="86"/>
              </w:rPr>
              <w:t>14.3235</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line="217" w:lineRule="exact"/>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60" w:type="dxa"/>
            <w:vAlign w:val="bottom"/>
          </w:tcPr>
          <w:p>
            <w:pPr>
              <w:jc w:val="center"/>
              <w:ind w:left="36"/>
              <w:spacing w:after="0"/>
              <w:rPr>
                <w:sz w:val="20"/>
                <w:szCs w:val="20"/>
                <w:color w:val="auto"/>
              </w:rPr>
            </w:pPr>
            <w:r>
              <w:rPr>
                <w:rFonts w:ascii="Arial" w:cs="Arial" w:eastAsia="Arial" w:hAnsi="Arial"/>
                <w:sz w:val="18"/>
                <w:szCs w:val="18"/>
                <w:color w:val="0000FF"/>
                <w:w w:val="88"/>
              </w:rPr>
              <w:t>Stock</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5"/>
          </w:tcPr>
          <w:p>
            <w:pPr>
              <w:ind w:left="60"/>
              <w:spacing w:after="0"/>
              <w:rPr>
                <w:sz w:val="20"/>
                <w:szCs w:val="20"/>
                <w:color w:val="auto"/>
              </w:rPr>
            </w:pPr>
            <w:r>
              <w:rPr>
                <w:rFonts w:ascii="Arial" w:cs="Arial" w:eastAsia="Arial" w:hAnsi="Arial"/>
                <w:sz w:val="18"/>
                <w:szCs w:val="18"/>
                <w:color w:val="0000FF"/>
                <w:w w:val="93"/>
              </w:rPr>
              <w:t>Series A-3 Redeemable Convertible Preferred</w:t>
            </w:r>
          </w:p>
        </w:tc>
        <w:tc>
          <w:tcPr>
            <w:tcW w:w="920" w:type="dxa"/>
            <w:vAlign w:val="bottom"/>
            <w:vMerge w:val="restart"/>
          </w:tcPr>
          <w:p>
            <w:pPr>
              <w:jc w:val="right"/>
              <w:ind w:right="338"/>
              <w:spacing w:after="0"/>
              <w:rPr>
                <w:sz w:val="20"/>
                <w:szCs w:val="20"/>
                <w:color w:val="auto"/>
              </w:rPr>
            </w:pPr>
            <w:r>
              <w:rPr>
                <w:rFonts w:ascii="Arial" w:cs="Arial" w:eastAsia="Arial" w:hAnsi="Arial"/>
                <w:sz w:val="11"/>
                <w:szCs w:val="11"/>
                <w:color w:val="008000"/>
              </w:rPr>
              <w:t>(5)</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008000"/>
                <w:w w:val="88"/>
              </w:rPr>
              <w:t>(5)</w:t>
            </w:r>
          </w:p>
        </w:tc>
        <w:tc>
          <w:tcPr>
            <w:tcW w:w="1960" w:type="dxa"/>
            <w:vAlign w:val="bottom"/>
            <w:vMerge w:val="restart"/>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19"/>
              <w:spacing w:after="0"/>
              <w:rPr>
                <w:sz w:val="20"/>
                <w:szCs w:val="20"/>
                <w:color w:val="auto"/>
              </w:rPr>
            </w:pPr>
            <w:r>
              <w:rPr>
                <w:rFonts w:ascii="Arial" w:cs="Arial" w:eastAsia="Arial" w:hAnsi="Arial"/>
                <w:sz w:val="18"/>
                <w:szCs w:val="18"/>
                <w:color w:val="0000FF"/>
                <w:w w:val="84"/>
              </w:rPr>
              <w:t>1,195</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Stock</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5"/>
          </w:tcPr>
          <w:p>
            <w:pPr>
              <w:ind w:left="60"/>
              <w:spacing w:after="0"/>
              <w:rPr>
                <w:sz w:val="20"/>
                <w:szCs w:val="20"/>
                <w:color w:val="auto"/>
              </w:rPr>
            </w:pPr>
            <w:r>
              <w:rPr>
                <w:rFonts w:ascii="Arial" w:cs="Arial" w:eastAsia="Arial" w:hAnsi="Arial"/>
                <w:sz w:val="18"/>
                <w:szCs w:val="18"/>
                <w:color w:val="0000FF"/>
                <w:w w:val="97"/>
              </w:rPr>
              <w:t>Series C Redeemable Convertible Preferred</w:t>
            </w:r>
          </w:p>
        </w:tc>
        <w:tc>
          <w:tcPr>
            <w:tcW w:w="920" w:type="dxa"/>
            <w:vAlign w:val="bottom"/>
            <w:vMerge w:val="restart"/>
          </w:tcPr>
          <w:p>
            <w:pPr>
              <w:jc w:val="right"/>
              <w:ind w:right="338"/>
              <w:spacing w:after="0"/>
              <w:rPr>
                <w:sz w:val="20"/>
                <w:szCs w:val="20"/>
                <w:color w:val="auto"/>
              </w:rPr>
            </w:pPr>
            <w:r>
              <w:rPr>
                <w:rFonts w:ascii="Arial" w:cs="Arial" w:eastAsia="Arial" w:hAnsi="Arial"/>
                <w:sz w:val="11"/>
                <w:szCs w:val="11"/>
                <w:color w:val="008000"/>
              </w:rPr>
              <w:t>(6)</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008000"/>
                <w:w w:val="88"/>
              </w:rPr>
              <w:t>(6)</w:t>
            </w:r>
          </w:p>
        </w:tc>
        <w:tc>
          <w:tcPr>
            <w:tcW w:w="1960" w:type="dxa"/>
            <w:vAlign w:val="bottom"/>
            <w:vMerge w:val="restart"/>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39"/>
              <w:spacing w:after="0"/>
              <w:rPr>
                <w:sz w:val="20"/>
                <w:szCs w:val="20"/>
                <w:color w:val="auto"/>
              </w:rPr>
            </w:pPr>
            <w:r>
              <w:rPr>
                <w:rFonts w:ascii="Arial" w:cs="Arial" w:eastAsia="Arial" w:hAnsi="Arial"/>
                <w:sz w:val="18"/>
                <w:szCs w:val="18"/>
                <w:color w:val="0000FF"/>
                <w:w w:val="87"/>
              </w:rPr>
              <w:t>23,220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Stock</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5"/>
          </w:tcPr>
          <w:p>
            <w:pPr>
              <w:ind w:left="60"/>
              <w:spacing w:after="0"/>
              <w:rPr>
                <w:sz w:val="20"/>
                <w:szCs w:val="20"/>
                <w:color w:val="auto"/>
              </w:rPr>
            </w:pPr>
            <w:r>
              <w:rPr>
                <w:rFonts w:ascii="Arial" w:cs="Arial" w:eastAsia="Arial" w:hAnsi="Arial"/>
                <w:sz w:val="18"/>
                <w:szCs w:val="18"/>
                <w:color w:val="0000FF"/>
                <w:w w:val="97"/>
              </w:rPr>
              <w:t>Series E Redeemable Convertible Preferred</w:t>
            </w:r>
          </w:p>
        </w:tc>
        <w:tc>
          <w:tcPr>
            <w:tcW w:w="920" w:type="dxa"/>
            <w:vAlign w:val="bottom"/>
            <w:vMerge w:val="restart"/>
          </w:tcPr>
          <w:p>
            <w:pPr>
              <w:jc w:val="right"/>
              <w:ind w:right="338"/>
              <w:spacing w:after="0"/>
              <w:rPr>
                <w:sz w:val="20"/>
                <w:szCs w:val="20"/>
                <w:color w:val="auto"/>
              </w:rPr>
            </w:pPr>
            <w:r>
              <w:rPr>
                <w:rFonts w:ascii="Arial" w:cs="Arial" w:eastAsia="Arial" w:hAnsi="Arial"/>
                <w:sz w:val="11"/>
                <w:szCs w:val="11"/>
                <w:color w:val="008000"/>
              </w:rPr>
              <w:t>(7)</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008000"/>
                <w:w w:val="88"/>
              </w:rPr>
              <w:t>(7)</w:t>
            </w:r>
          </w:p>
        </w:tc>
        <w:tc>
          <w:tcPr>
            <w:tcW w:w="1960" w:type="dxa"/>
            <w:vAlign w:val="bottom"/>
            <w:vMerge w:val="restart"/>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19"/>
              <w:spacing w:after="0"/>
              <w:rPr>
                <w:sz w:val="20"/>
                <w:szCs w:val="20"/>
                <w:color w:val="auto"/>
              </w:rPr>
            </w:pPr>
            <w:r>
              <w:rPr>
                <w:rFonts w:ascii="Arial" w:cs="Arial" w:eastAsia="Arial" w:hAnsi="Arial"/>
                <w:sz w:val="18"/>
                <w:szCs w:val="18"/>
                <w:color w:val="0000FF"/>
                <w:w w:val="89"/>
              </w:rPr>
              <w:t>647,475</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Stock</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5"/>
          </w:tcPr>
          <w:p>
            <w:pPr>
              <w:ind w:left="60"/>
              <w:spacing w:after="0"/>
              <w:rPr>
                <w:sz w:val="20"/>
                <w:szCs w:val="20"/>
                <w:color w:val="auto"/>
              </w:rPr>
            </w:pPr>
            <w:r>
              <w:rPr>
                <w:rFonts w:ascii="Arial" w:cs="Arial" w:eastAsia="Arial" w:hAnsi="Arial"/>
                <w:sz w:val="18"/>
                <w:szCs w:val="18"/>
                <w:color w:val="0000FF"/>
                <w:w w:val="98"/>
              </w:rPr>
              <w:t>Series F Redeemable Convertible Preferred</w:t>
            </w:r>
          </w:p>
        </w:tc>
        <w:tc>
          <w:tcPr>
            <w:tcW w:w="920" w:type="dxa"/>
            <w:vAlign w:val="bottom"/>
            <w:vMerge w:val="restart"/>
          </w:tcPr>
          <w:p>
            <w:pPr>
              <w:jc w:val="right"/>
              <w:ind w:right="338"/>
              <w:spacing w:after="0"/>
              <w:rPr>
                <w:sz w:val="20"/>
                <w:szCs w:val="20"/>
                <w:color w:val="auto"/>
              </w:rPr>
            </w:pPr>
            <w:r>
              <w:rPr>
                <w:rFonts w:ascii="Arial" w:cs="Arial" w:eastAsia="Arial" w:hAnsi="Arial"/>
                <w:sz w:val="11"/>
                <w:szCs w:val="11"/>
                <w:color w:val="008000"/>
              </w:rPr>
              <w:t>(8)</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008000"/>
                <w:w w:val="88"/>
              </w:rPr>
              <w:t>(8)</w:t>
            </w:r>
          </w:p>
        </w:tc>
        <w:tc>
          <w:tcPr>
            <w:tcW w:w="1960" w:type="dxa"/>
            <w:vAlign w:val="bottom"/>
            <w:vMerge w:val="restart"/>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19"/>
              <w:spacing w:after="0"/>
              <w:rPr>
                <w:sz w:val="20"/>
                <w:szCs w:val="20"/>
                <w:color w:val="auto"/>
              </w:rPr>
            </w:pPr>
            <w:r>
              <w:rPr>
                <w:rFonts w:ascii="Arial" w:cs="Arial" w:eastAsia="Arial" w:hAnsi="Arial"/>
                <w:sz w:val="18"/>
                <w:szCs w:val="18"/>
                <w:color w:val="0000FF"/>
                <w:w w:val="89"/>
              </w:rPr>
              <w:t>326,891</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Stock</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5"/>
          </w:tcPr>
          <w:p>
            <w:pPr>
              <w:ind w:left="60"/>
              <w:spacing w:after="0"/>
              <w:rPr>
                <w:sz w:val="20"/>
                <w:szCs w:val="20"/>
                <w:color w:val="auto"/>
              </w:rPr>
            </w:pPr>
            <w:r>
              <w:rPr>
                <w:rFonts w:ascii="Arial" w:cs="Arial" w:eastAsia="Arial" w:hAnsi="Arial"/>
                <w:sz w:val="18"/>
                <w:szCs w:val="18"/>
                <w:color w:val="0000FF"/>
                <w:w w:val="97"/>
              </w:rPr>
              <w:t>Series H Redeemable Convertible Preferred</w:t>
            </w:r>
          </w:p>
        </w:tc>
        <w:tc>
          <w:tcPr>
            <w:tcW w:w="920" w:type="dxa"/>
            <w:vAlign w:val="bottom"/>
            <w:vMerge w:val="restart"/>
          </w:tcPr>
          <w:p>
            <w:pPr>
              <w:jc w:val="right"/>
              <w:ind w:right="338"/>
              <w:spacing w:after="0"/>
              <w:rPr>
                <w:sz w:val="20"/>
                <w:szCs w:val="20"/>
                <w:color w:val="auto"/>
              </w:rPr>
            </w:pPr>
            <w:r>
              <w:rPr>
                <w:rFonts w:ascii="Arial" w:cs="Arial" w:eastAsia="Arial" w:hAnsi="Arial"/>
                <w:sz w:val="11"/>
                <w:szCs w:val="11"/>
                <w:color w:val="008000"/>
              </w:rPr>
              <w:t>(9)</w:t>
            </w: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008000"/>
                <w:w w:val="88"/>
              </w:rPr>
              <w:t>(9)</w:t>
            </w:r>
          </w:p>
        </w:tc>
        <w:tc>
          <w:tcPr>
            <w:tcW w:w="1960" w:type="dxa"/>
            <w:vAlign w:val="bottom"/>
            <w:vMerge w:val="restart"/>
          </w:tcPr>
          <w:p>
            <w:pPr>
              <w:jc w:val="center"/>
              <w:ind w:left="16"/>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19"/>
              <w:spacing w:after="0"/>
              <w:rPr>
                <w:sz w:val="20"/>
                <w:szCs w:val="20"/>
                <w:color w:val="auto"/>
              </w:rPr>
            </w:pPr>
            <w:r>
              <w:rPr>
                <w:rFonts w:ascii="Arial" w:cs="Arial" w:eastAsia="Arial" w:hAnsi="Arial"/>
                <w:sz w:val="18"/>
                <w:szCs w:val="18"/>
                <w:color w:val="0000FF"/>
                <w:w w:val="89"/>
              </w:rPr>
              <w:t>294,854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Stock</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Hunt Holdings Limited Partnership</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40"/>
              <w:spacing w:after="0"/>
              <w:rPr>
                <w:sz w:val="20"/>
                <w:szCs w:val="20"/>
                <w:color w:val="auto"/>
              </w:rPr>
            </w:pPr>
            <w:r>
              <w:rPr>
                <w:rFonts w:ascii="Arial" w:cs="Arial" w:eastAsia="Arial" w:hAnsi="Arial"/>
                <w:sz w:val="14"/>
                <w:szCs w:val="14"/>
                <w:color w:val="auto"/>
              </w:rPr>
              <w:t>(First)</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w w:val="94"/>
              </w:rPr>
              <w:t>(Middle)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0000FF"/>
                <w:w w:val="92"/>
              </w:rPr>
              <w:t>4401 N. MESA ST.</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8"/>
                <w:szCs w:val="18"/>
                <w:color w:val="0000FF"/>
              </w:rPr>
              <w:t>EL PASO</w:t>
            </w:r>
          </w:p>
        </w:tc>
        <w:tc>
          <w:tcPr>
            <w:tcW w:w="1320" w:type="dxa"/>
            <w:vAlign w:val="bottom"/>
          </w:tcPr>
          <w:p>
            <w:pPr>
              <w:ind w:left="40"/>
              <w:spacing w:after="0"/>
              <w:rPr>
                <w:sz w:val="20"/>
                <w:szCs w:val="20"/>
                <w:color w:val="auto"/>
              </w:rPr>
            </w:pPr>
            <w:r>
              <w:rPr>
                <w:rFonts w:ascii="Arial" w:cs="Arial" w:eastAsia="Arial" w:hAnsi="Arial"/>
                <w:sz w:val="18"/>
                <w:szCs w:val="18"/>
                <w:color w:val="0000FF"/>
              </w:rPr>
              <w:t>TX</w:t>
            </w:r>
          </w:p>
        </w:tc>
        <w:tc>
          <w:tcPr>
            <w:tcW w:w="680" w:type="dxa"/>
            <w:vAlign w:val="bottom"/>
            <w:gridSpan w:val="2"/>
          </w:tcPr>
          <w:p>
            <w:pPr>
              <w:ind w:left="180"/>
              <w:spacing w:after="0"/>
              <w:rPr>
                <w:sz w:val="20"/>
                <w:szCs w:val="20"/>
                <w:color w:val="auto"/>
              </w:rPr>
            </w:pPr>
            <w:r>
              <w:rPr>
                <w:rFonts w:ascii="Arial" w:cs="Arial" w:eastAsia="Arial" w:hAnsi="Arial"/>
                <w:sz w:val="18"/>
                <w:szCs w:val="18"/>
                <w:color w:val="0000FF"/>
                <w:w w:val="95"/>
              </w:rPr>
              <w:t>79902</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40"/>
              <w:spacing w:after="0"/>
              <w:rPr>
                <w:sz w:val="20"/>
                <w:szCs w:val="20"/>
                <w:color w:val="auto"/>
              </w:rPr>
            </w:pPr>
            <w:r>
              <w:rPr>
                <w:rFonts w:ascii="Arial" w:cs="Arial" w:eastAsia="Arial" w:hAnsi="Arial"/>
                <w:sz w:val="14"/>
                <w:szCs w:val="14"/>
                <w:color w:val="auto"/>
              </w:rPr>
              <w:t>(State)</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50" w:gutter="0" w:footer="0" w:header="0"/>
          <w:type w:val="continuous"/>
        </w:sectPr>
      </w:pP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HuntVest, LLC</w:t>
        </w:r>
      </w:hyperlink>
    </w:p>
    <w:p>
      <w:pPr>
        <w:sectPr>
          <w:pgSz w:w="11900" w:h="16838" w:orient="portrait"/>
          <w:cols w:equalWidth="0" w:num="1">
            <w:col w:w="11420"/>
          </w:cols>
          <w:pgMar w:left="240" w:top="226" w:right="239" w:bottom="5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w w:val="92"/>
              </w:rPr>
              <w:t>4401 N. MESA ST.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rPr>
              <w:t>EL PASO</w:t>
            </w:r>
          </w:p>
        </w:tc>
        <w:tc>
          <w:tcPr>
            <w:tcW w:w="1320" w:type="dxa"/>
            <w:vAlign w:val="bottom"/>
            <w:gridSpan w:val="2"/>
          </w:tcPr>
          <w:p>
            <w:pPr>
              <w:ind w:left="4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79902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(City)</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Hunt Guaranty Inc.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w w:val="92"/>
              </w:rPr>
              <w:t>4401 N. MESA ST.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rPr>
              <w:t>EL PASO</w:t>
            </w:r>
          </w:p>
        </w:tc>
        <w:tc>
          <w:tcPr>
            <w:tcW w:w="1320" w:type="dxa"/>
            <w:vAlign w:val="bottom"/>
            <w:gridSpan w:val="2"/>
          </w:tcPr>
          <w:p>
            <w:pPr>
              <w:ind w:left="4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79902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(City)</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20" w:type="dxa"/>
            <w:vAlign w:val="bottom"/>
            <w:gridSpan w:val="2"/>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Hunt Woody L</w:t>
              </w:r>
            </w:hyperlink>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w w:val="92"/>
              </w:rPr>
              <w:t>4401 N. MESA ST.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rPr>
              <w:t>EL PASO</w:t>
            </w:r>
          </w:p>
        </w:tc>
        <w:tc>
          <w:tcPr>
            <w:tcW w:w="1320" w:type="dxa"/>
            <w:vAlign w:val="bottom"/>
            <w:gridSpan w:val="2"/>
          </w:tcPr>
          <w:p>
            <w:pPr>
              <w:ind w:left="4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79902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(City)</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489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4489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30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except to the extent of his or its respective pecuniary interest therein, if any.</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terminate upon closing of the Issuer's initial public offering.</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expire on January 19, 2026.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expire on March 31, 2026.</w:t>
      </w:r>
    </w:p>
    <w:p>
      <w:pPr>
        <w:spacing w:after="0" w:line="41"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A-3 Redeemable Convertible Preferred Stock (the "Series A-3") is convertible into the Issuer's Common Stock on a 183.635-for-one basis at the holder's election and has no expiration date. The Series A-3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C Redeemable Convertible Preferred Stock (the "Series C") is convertible into the Issuer's Common Stock on a 57.294-for-one basis at the holder's election and has no expiration date. The Series C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E Redeemable Convertible Preferred Stock (the "Series E") is convertible into the Issuer's Common Stock on a 57.294-for-one basis at the holder's election and has no expiration date. The Series E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F Redeemable Convertible Preferred Stock ("Series F") is convertible into the Issuer's Common Stock on a 183.635-for-one basis at the holder's election and has no expiration date. The Series F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H Redeemable Convertible Preferred Stock ("Series H") is convertible into the Issuer's Common Stock on a 183.635-for-one basis at the holder's election and has no expiration date. The Series H will automatically convert into Common Stock upon the closing of the Issuer's initial public offering.</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Exhibit 24 - Power of Attorney</w:t>
      </w:r>
    </w:p>
    <w:p>
      <w:pPr>
        <w:sectPr>
          <w:pgSz w:w="11900" w:h="16838" w:orient="portrait"/>
          <w:cols w:equalWidth="0" w:num="1">
            <w:col w:w="11280"/>
          </w:cols>
          <w:pgMar w:left="260" w:top="140" w:right="359" w:bottom="252"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Hunt Holdings Limted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95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2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 By: /s/ Matthew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71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Hunt, 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7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487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Guaranty Inc.,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7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3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Name: 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1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02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Hunt Guaranty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13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6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76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769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020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9080" w:space="60"/>
            <w:col w:w="2140"/>
          </w:cols>
          <w:pgMar w:left="260" w:top="140" w:right="359" w:bottom="252" w:gutter="0" w:footer="0" w:header="0"/>
          <w:type w:val="continuous"/>
        </w:sectPr>
      </w:pPr>
    </w:p>
    <w:p>
      <w:pPr>
        <w:ind w:left="6840"/>
        <w:spacing w:after="0" w:line="187" w:lineRule="auto"/>
        <w:rPr>
          <w:sz w:val="20"/>
          <w:szCs w:val="20"/>
          <w:color w:val="auto"/>
        </w:rPr>
      </w:pPr>
      <w:r>
        <w:rPr>
          <w:rFonts w:ascii="Arial" w:cs="Arial" w:eastAsia="Arial" w:hAnsi="Arial"/>
          <w:sz w:val="16"/>
          <w:szCs w:val="16"/>
          <w:color w:val="0000FF"/>
        </w:rPr>
        <w:t xml:space="preserve">/s/ Paul D. Donnelley, attorney- </w:t>
      </w:r>
      <w:r>
        <w:rPr>
          <w:rFonts w:ascii="Arial" w:cs="Arial" w:eastAsia="Arial" w:hAnsi="Arial"/>
          <w:sz w:val="32"/>
          <w:szCs w:val="32"/>
          <w:color w:val="0000FF"/>
          <w:vertAlign w:val="subscript"/>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-28575</wp:posOffset>
            </wp:positionV>
            <wp:extent cx="14109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4109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1170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7030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80"/>
          </w:cols>
          <w:pgMar w:left="260" w:top="140" w:right="359" w:bottom="252"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POWER OF ATTORNEY</w:t>
      </w:r>
    </w:p>
    <w:p>
      <w:pPr>
        <w:ind w:left="860"/>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ind w:left="2960"/>
        <w:spacing w:after="0"/>
        <w:rPr>
          <w:sz w:val="20"/>
          <w:szCs w:val="20"/>
          <w:color w:val="auto"/>
        </w:rPr>
      </w:pPr>
      <w:r>
        <w:rPr>
          <w:rFonts w:ascii="Courier New" w:cs="Courier New" w:eastAsia="Courier New" w:hAnsi="Courier New"/>
          <w:sz w:val="18"/>
          <w:szCs w:val="18"/>
          <w:color w:val="auto"/>
        </w:rPr>
        <w:t>IN RESPECT OF SECURITIES OF</w:t>
      </w:r>
    </w:p>
    <w:p>
      <w:pPr>
        <w:ind w:left="3700"/>
        <w:spacing w:after="0" w:line="237" w:lineRule="auto"/>
        <w:rPr>
          <w:sz w:val="20"/>
          <w:szCs w:val="20"/>
          <w:color w:val="auto"/>
        </w:rPr>
      </w:pPr>
      <w:r>
        <w:rPr>
          <w:rFonts w:ascii="Courier New" w:cs="Courier New" w:eastAsia="Courier New" w:hAnsi="Courier New"/>
          <w:sz w:val="18"/>
          <w:szCs w:val="18"/>
          <w:color w:val="auto"/>
        </w:rPr>
        <w:t>EXAGEN INC.</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undersigned hereby constitutes and appoints Paul D. Donnelly as his true and lawful attorney-in-fact and agent, with full power of substitution and resubstitution for him in his name and stead in any and all capacities, to sign and file for and on his behalf, in respect of any acquisition, disposition or other change in ownership of any Common Stock or derivative securities thereof of Exagen Inc. (the "Company"), the following:</w:t>
      </w:r>
    </w:p>
    <w:p>
      <w:pPr>
        <w:spacing w:after="0" w:line="210" w:lineRule="exact"/>
        <w:rPr>
          <w:sz w:val="20"/>
          <w:szCs w:val="20"/>
          <w:color w:val="auto"/>
        </w:rPr>
      </w:pPr>
    </w:p>
    <w:p>
      <w:pPr>
        <w:ind w:left="1280" w:right="187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(the"SEC");</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Form4 to be filed with the SEC;</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280" w:right="1679" w:hanging="640"/>
        <w:spacing w:after="0" w:line="237"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280" w:right="1579" w:hanging="640"/>
        <w:spacing w:after="0" w:line="238"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agreements, certificates, receipts, or other documents in connection therewith. The undersigned hereby gives full power and authority to the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such attorney-in-fact and agent full power and authority to do and perform each and every act and thing requisite and necessary in connection with such matters and hereby ratifies and confirms all that any such attorney-in-fact and agent or</w:t>
      </w:r>
    </w:p>
    <w:p>
      <w:pPr>
        <w:spacing w:after="0" w:line="4"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substitute may do or cause to be done by virtue hereof. The undersigned acknowledges that:</w:t>
      </w:r>
    </w:p>
    <w:p>
      <w:pPr>
        <w:spacing w:after="0" w:line="208" w:lineRule="exact"/>
        <w:rPr>
          <w:rFonts w:ascii="Courier New" w:cs="Courier New" w:eastAsia="Courier New" w:hAnsi="Courier New"/>
          <w:sz w:val="18"/>
          <w:szCs w:val="18"/>
          <w:color w:val="auto"/>
        </w:rPr>
      </w:pPr>
    </w:p>
    <w:p>
      <w:pPr>
        <w:ind w:left="1800" w:right="1999" w:hanging="528"/>
        <w:spacing w:after="0" w:line="237" w:lineRule="auto"/>
        <w:tabs>
          <w:tab w:leader="none" w:pos="1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Securities Exchange Act of 1934, as amended (the "Exchange Act"), (ii)any liability of the undersigned for any failure to comply with such requirements or (iii) any obligation or liability of the undersigned for profit disgorgement under Section 16(b) of the Exchange Act; and</w:t>
      </w:r>
    </w:p>
    <w:p>
      <w:pPr>
        <w:spacing w:after="0" w:line="212" w:lineRule="exact"/>
        <w:rPr>
          <w:rFonts w:ascii="Courier New" w:cs="Courier New" w:eastAsia="Courier New" w:hAnsi="Courier New"/>
          <w:sz w:val="18"/>
          <w:szCs w:val="18"/>
          <w:color w:val="auto"/>
        </w:rPr>
      </w:pPr>
    </w:p>
    <w:p>
      <w:pPr>
        <w:ind w:left="1800" w:right="1779" w:hanging="528"/>
        <w:spacing w:after="0" w:line="237" w:lineRule="auto"/>
        <w:tabs>
          <w:tab w:leader="none" w:pos="1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13,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Woody L. Hunt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Woody L. Hunt</w:t>
      </w:r>
    </w:p>
    <w:sectPr>
      <w:pgSz w:w="11900" w:h="16838" w:orient="portrait"/>
      <w:cols w:equalWidth="0" w:num="2">
        <w:col w:w="5180" w:space="720"/>
        <w:col w:w="43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1" Type="http://schemas.openxmlformats.org/officeDocument/2006/relationships/hyperlink" Target="http://www.sec.gov/cgi-bin/browse-edgar?action=getcompany&amp;CIK=0001788338" TargetMode="External"/><Relationship Id="rId12" Type="http://schemas.openxmlformats.org/officeDocument/2006/relationships/hyperlink" Target="http://www.sec.gov/cgi-bin/browse-edgar?action=getcompany&amp;CIK=0001274737" TargetMode="External"/><Relationship Id="rId13" Type="http://schemas.openxmlformats.org/officeDocument/2006/relationships/hyperlink" Target="http://www.sec.gov/cgi-bin/browse-edgar?action=getcompany&amp;CIK=0001788613" TargetMode="External"/><Relationship Id="rId14" Type="http://schemas.openxmlformats.org/officeDocument/2006/relationships/hyperlink" Target="http://www.sec.gov/cgi-bin/browse-edgar?action=getcompany&amp;CIK=0001788612" TargetMode="External"/><Relationship Id="rId15"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2019-12-23T16:03:40Z</dcterms:created>
  <dcterms:modified xsi:type="dcterms:W3CDTF">2019-12-23T16:03:40Z</dcterms:modified>
</cp:coreProperties>
</file>