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10-Q/A</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w:t>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June 30, 2022</w:t>
      </w:r>
    </w:p>
    <w:p>
      <w:pPr>
        <w:spacing w:after="0" w:line="60"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03"/>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2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304"/>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36" w:lineRule="exact"/>
        <w:rPr>
          <w:sz w:val="24"/>
          <w:szCs w:val="24"/>
          <w:color w:val="auto"/>
        </w:rPr>
      </w:pPr>
    </w:p>
    <w:p>
      <w:pPr>
        <w:ind w:right="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4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86" w:lineRule="exact"/>
        <w:rPr>
          <w:sz w:val="24"/>
          <w:szCs w:val="24"/>
          <w:color w:val="auto"/>
        </w:rPr>
      </w:pPr>
    </w:p>
    <w:p>
      <w:pPr>
        <w:ind w:right="30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ind w:right="320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July 29, 2022 was 16,260,445.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Exagen Inc. (the Company) hereby amends its Quarterly Report on Form 10-Q for the quarter ended June 30, 2022, filed with the Securities and Exchange Commission (the SEC) on August 4, 2022 (the Original Quarterly Report), as set forth in this Amendment No. 1 on Form 10-</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Q/A (the Form 10-Q/A or Amended Quarterly Report), to amend and restate its financial statements and related disclosures as of and for the three and six months ended June 30,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Background</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13, 2022, management and the audit committee of our board of directors determined that the Company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restatement, the Company has also corrected errors associated with revenue that it determined to be immaterial, both individually and in the aggregate, to the financial statements for the fiscal quarter ended June 30, 2022. A summary of the accounting impacts of these adjustments to the Company's financial statements as of and for the three and six months ended June 30, 2022 is provided in Note 1 "Restatement of Previously Issued Financial Statements," of the Notes to Condensed Financial Statements of this Form 10-Q/A. The effect of these errors was a $1.4 million overstatement of revenue for the three and six months ended June 30, 2022; in addition to, a $0.9 million overstatement of accounts receivable and a $0.5 million understatement of other liabilities as of June 30, 2022.</w:t>
      </w:r>
    </w:p>
    <w:p>
      <w:pPr>
        <w:spacing w:after="0" w:line="18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Amended Quarterly Report also amends and restates the Company's Management's Discussion and Analysis of Financial Condition and Results of Operations, Risk Factors and other disclosures made in the Original Quarterly Report, as appropriate, to reflect the restatement of the relevant periods.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accordance with Rule 12b-15 under the Securities Exchange Act of 1934, as amended, or the Exchange Act, the Company is also including with this Amended Quarterly Report currently dated certifications of the Company's principal executive officer and principal financial officer (attached as Exhibits 31.1, 31.2, and 32.1).</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as discussed above and as further described in Note 1, Note 1A, Note 2 and Note 3 in the Notes to Condensed Financial Statements, the Company has not modified or updated disclosures presented in this Amended Quarterly Report. Accordingly, the Amended Quarterly Report does not reflect events occurring after the Original Quarterly Report or modify or update those disclosures affected by subsequent events. Information not affected by the restatement is unchanged and reflects disclosures made at the time of the filing of the Original Quarterly Report.</w:t>
      </w:r>
    </w:p>
    <w:p>
      <w:pPr>
        <w:spacing w:after="0" w:line="17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connection with the restatement, the Company has concluded there was a material weakness in its internal control over financial reporting as of June 30, 2022, and its disclosure controls and procedures were not effective. See additional discussion included in Part I, Item 4 of this Amended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36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0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500" w:type="dxa"/>
            <w:vAlign w:val="bottom"/>
            <w:gridSpan w:val="21"/>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00" w:type="dxa"/>
            <w:vAlign w:val="bottom"/>
            <w:gridSpan w:val="21"/>
          </w:tcPr>
          <w:p>
            <w:pPr>
              <w:spacing w:after="0" w:line="195" w:lineRule="exact"/>
              <w:rPr>
                <w:sz w:val="20"/>
                <w:szCs w:val="20"/>
                <w:color w:val="auto"/>
              </w:rPr>
            </w:pPr>
            <w:r>
              <w:rPr>
                <w:rFonts w:ascii="Arial" w:cs="Arial" w:eastAsia="Arial" w:hAnsi="Arial"/>
                <w:sz w:val="18"/>
                <w:szCs w:val="18"/>
                <w:color w:val="0000FF"/>
              </w:rPr>
              <w:t>Unaudited Condensed Financial Statements (As Restated)</w:t>
            </w:r>
          </w:p>
        </w:tc>
        <w:tc>
          <w:tcPr>
            <w:tcW w:w="280" w:type="dxa"/>
            <w:vAlign w:val="bottom"/>
            <w:gridSpan w:val="2"/>
          </w:tcPr>
          <w:p>
            <w:pPr>
              <w:ind w:left="18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860" w:type="dxa"/>
            <w:vAlign w:val="bottom"/>
            <w:gridSpan w:val="17"/>
          </w:tcPr>
          <w:p>
            <w:pPr>
              <w:spacing w:after="0"/>
              <w:rPr>
                <w:sz w:val="20"/>
                <w:szCs w:val="20"/>
                <w:color w:val="auto"/>
              </w:rPr>
            </w:pPr>
            <w:r>
              <w:rPr>
                <w:rFonts w:ascii="Arial" w:cs="Arial" w:eastAsia="Arial" w:hAnsi="Arial"/>
                <w:sz w:val="18"/>
                <w:szCs w:val="18"/>
                <w:color w:val="0000FF"/>
                <w:w w:val="99"/>
              </w:rPr>
              <w:t>Unaudited Condensed Balance Sheets as of June 30, 2022 (As Restated) and December 31, 2021</w:t>
            </w:r>
          </w:p>
        </w:tc>
        <w:tc>
          <w:tcPr>
            <w:tcW w:w="640" w:type="dxa"/>
            <w:vAlign w:val="bottom"/>
            <w:gridSpan w:val="4"/>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500" w:type="dxa"/>
            <w:vAlign w:val="bottom"/>
            <w:gridSpan w:val="21"/>
          </w:tcPr>
          <w:p>
            <w:pPr>
              <w:spacing w:after="0"/>
              <w:rPr>
                <w:sz w:val="20"/>
                <w:szCs w:val="20"/>
                <w:color w:val="auto"/>
              </w:rPr>
            </w:pPr>
            <w:r>
              <w:rPr>
                <w:rFonts w:ascii="Arial" w:cs="Arial" w:eastAsia="Arial" w:hAnsi="Arial"/>
                <w:sz w:val="18"/>
                <w:szCs w:val="18"/>
                <w:color w:val="0000FF"/>
              </w:rPr>
              <w:t>Unaudited Condensed Statements of Operations for the Three and Six Months ended June 30, 2022 (As</w:t>
            </w: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Restated) and 2021</w:t>
            </w:r>
          </w:p>
        </w:tc>
        <w:tc>
          <w:tcPr>
            <w:tcW w:w="3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500" w:type="dxa"/>
            <w:vAlign w:val="bottom"/>
            <w:gridSpan w:val="21"/>
            <w:vMerge w:val="restart"/>
          </w:tcPr>
          <w:p>
            <w:pPr>
              <w:spacing w:after="0"/>
              <w:rPr>
                <w:sz w:val="20"/>
                <w:szCs w:val="20"/>
                <w:color w:val="auto"/>
              </w:rPr>
            </w:pPr>
            <w:r>
              <w:rPr>
                <w:rFonts w:ascii="Arial" w:cs="Arial" w:eastAsia="Arial" w:hAnsi="Arial"/>
                <w:sz w:val="18"/>
                <w:szCs w:val="18"/>
                <w:color w:val="0000FF"/>
              </w:rPr>
              <w:t>Unaudited Condensed Statements of Stockholders' Equity for the Three and Six Months ended June 30,</w:t>
            </w: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00" w:type="dxa"/>
            <w:vAlign w:val="bottom"/>
            <w:gridSpan w:val="21"/>
            <w:vMerge w:val="continue"/>
          </w:tcPr>
          <w:p>
            <w:pPr>
              <w:spacing w:after="0"/>
              <w:rPr>
                <w:sz w:val="17"/>
                <w:szCs w:val="17"/>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28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2022 (As Restated) and 2021</w:t>
            </w: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00" w:type="dxa"/>
            <w:vAlign w:val="bottom"/>
            <w:gridSpan w:val="21"/>
          </w:tcPr>
          <w:p>
            <w:pPr>
              <w:spacing w:after="0" w:line="203" w:lineRule="exact"/>
              <w:rPr>
                <w:sz w:val="20"/>
                <w:szCs w:val="20"/>
                <w:color w:val="auto"/>
              </w:rPr>
            </w:pPr>
            <w:r>
              <w:rPr>
                <w:rFonts w:ascii="Arial" w:cs="Arial" w:eastAsia="Arial" w:hAnsi="Arial"/>
                <w:sz w:val="18"/>
                <w:szCs w:val="18"/>
                <w:color w:val="0000FF"/>
              </w:rPr>
              <w:t>Unaudited Condensed Statements of Cash Flows for the Six Months ended June 30, 2022 (As Restated)</w:t>
            </w: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2021</w:t>
            </w:r>
          </w:p>
        </w:tc>
        <w:tc>
          <w:tcPr>
            <w:tcW w:w="7460" w:type="dxa"/>
            <w:vAlign w:val="bottom"/>
            <w:tcBorders>
              <w:top w:val="single" w:sz="8" w:color="0000FF"/>
            </w:tcBorders>
            <w:gridSpan w:val="17"/>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gridSpan w:val="5"/>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8500" w:type="dxa"/>
            <w:vAlign w:val="bottom"/>
            <w:gridSpan w:val="21"/>
          </w:tcPr>
          <w:p>
            <w:pPr>
              <w:spacing w:after="0"/>
              <w:rPr>
                <w:sz w:val="20"/>
                <w:szCs w:val="20"/>
                <w:color w:val="auto"/>
              </w:rPr>
            </w:pPr>
            <w:r>
              <w:rPr>
                <w:rFonts w:ascii="Arial" w:cs="Arial" w:eastAsia="Arial" w:hAnsi="Arial"/>
                <w:sz w:val="18"/>
                <w:szCs w:val="18"/>
                <w:color w:val="0000FF"/>
              </w:rPr>
              <w:t xml:space="preserve">Notes to Unaudited Condensed Financial Statements </w:t>
            </w:r>
            <w:r>
              <w:rPr>
                <w:rFonts w:ascii="Arial" w:cs="Arial" w:eastAsia="Arial" w:hAnsi="Arial"/>
                <w:sz w:val="18"/>
                <w:szCs w:val="18"/>
                <w:color w:val="000000"/>
              </w:rPr>
              <w:t>(As Restated)</w:t>
            </w: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21"/>
          </w:tcPr>
          <w:p>
            <w:pPr>
              <w:spacing w:after="0"/>
              <w:rPr>
                <w:sz w:val="20"/>
                <w:szCs w:val="20"/>
                <w:color w:val="auto"/>
              </w:rPr>
            </w:pPr>
            <w:r>
              <w:rPr>
                <w:rFonts w:ascii="Arial" w:cs="Arial" w:eastAsia="Arial" w:hAnsi="Arial"/>
                <w:sz w:val="18"/>
                <w:szCs w:val="18"/>
                <w:color w:val="0000FF"/>
              </w:rPr>
              <w:t xml:space="preserve">Management's Discussion and Analysis of Financial Condition and Results of Operations </w:t>
            </w:r>
            <w:r>
              <w:rPr>
                <w:rFonts w:ascii="Arial" w:cs="Arial" w:eastAsia="Arial" w:hAnsi="Arial"/>
                <w:sz w:val="18"/>
                <w:szCs w:val="18"/>
                <w:color w:val="000000"/>
              </w:rPr>
              <w:t>(As Restated)</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20" w:type="dxa"/>
            <w:vAlign w:val="bottom"/>
            <w:gridSpan w:val="5"/>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3140" w:type="dxa"/>
            <w:vAlign w:val="bottom"/>
            <w:gridSpan w:val="11"/>
          </w:tcPr>
          <w:p>
            <w:pPr>
              <w:spacing w:after="0"/>
              <w:rPr>
                <w:sz w:val="20"/>
                <w:szCs w:val="20"/>
                <w:color w:val="auto"/>
              </w:rPr>
            </w:pPr>
            <w:r>
              <w:rPr>
                <w:rFonts w:ascii="Arial" w:cs="Arial" w:eastAsia="Arial" w:hAnsi="Arial"/>
                <w:sz w:val="18"/>
                <w:szCs w:val="18"/>
                <w:color w:val="0000FF"/>
                <w:w w:val="99"/>
              </w:rPr>
              <w:t>Controls and Procedures (As Restated)</w:t>
            </w:r>
          </w:p>
        </w:tc>
        <w:tc>
          <w:tcPr>
            <w:tcW w:w="1560" w:type="dxa"/>
            <w:vAlign w:val="bottom"/>
            <w:gridSpan w:val="3"/>
          </w:tcPr>
          <w:p>
            <w:pPr>
              <w:spacing w:after="0"/>
              <w:rPr>
                <w:sz w:val="18"/>
                <w:szCs w:val="18"/>
                <w:color w:val="auto"/>
              </w:rPr>
            </w:pPr>
          </w:p>
        </w:tc>
        <w:tc>
          <w:tcPr>
            <w:tcW w:w="3800" w:type="dxa"/>
            <w:vAlign w:val="bottom"/>
            <w:gridSpan w:val="7"/>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3140" w:type="dxa"/>
            <w:vAlign w:val="bottom"/>
            <w:tcBorders>
              <w:top w:val="single" w:sz="8" w:color="0000FF"/>
            </w:tcBorders>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536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00" w:type="dxa"/>
            <w:vAlign w:val="bottom"/>
            <w:gridSpan w:val="21"/>
          </w:tcPr>
          <w:p>
            <w:pPr>
              <w:spacing w:after="0" w:line="195" w:lineRule="exact"/>
              <w:rPr>
                <w:sz w:val="20"/>
                <w:szCs w:val="20"/>
                <w:color w:val="auto"/>
              </w:rPr>
            </w:pPr>
            <w:r>
              <w:rPr>
                <w:rFonts w:ascii="Arial" w:cs="Arial" w:eastAsia="Arial" w:hAnsi="Arial"/>
                <w:sz w:val="18"/>
                <w:szCs w:val="18"/>
                <w:color w:val="0000FF"/>
              </w:rPr>
              <w:t>Legal Proceedings</w:t>
            </w:r>
          </w:p>
        </w:tc>
        <w:tc>
          <w:tcPr>
            <w:tcW w:w="1440" w:type="dxa"/>
            <w:vAlign w:val="bottom"/>
            <w:gridSpan w:val="4"/>
          </w:tcPr>
          <w:p>
            <w:pPr>
              <w:ind w:left="180"/>
              <w:spacing w:after="0" w:line="195" w:lineRule="exact"/>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500" w:type="dxa"/>
            <w:vAlign w:val="bottom"/>
            <w:gridSpan w:val="21"/>
          </w:tcPr>
          <w:p>
            <w:pPr>
              <w:spacing w:after="0"/>
              <w:rPr>
                <w:sz w:val="20"/>
                <w:szCs w:val="20"/>
                <w:color w:val="auto"/>
              </w:rPr>
            </w:pPr>
            <w:r>
              <w:rPr>
                <w:rFonts w:ascii="Arial" w:cs="Arial" w:eastAsia="Arial" w:hAnsi="Arial"/>
                <w:sz w:val="18"/>
                <w:szCs w:val="18"/>
                <w:color w:val="0000FF"/>
              </w:rPr>
              <w:t xml:space="preserve">Risk Factors </w:t>
            </w:r>
            <w:r>
              <w:rPr>
                <w:rFonts w:ascii="Arial" w:cs="Arial" w:eastAsia="Arial" w:hAnsi="Arial"/>
                <w:sz w:val="18"/>
                <w:szCs w:val="18"/>
                <w:color w:val="000000"/>
              </w:rPr>
              <w:t>(As Restated)</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660" w:type="dxa"/>
            <w:vAlign w:val="bottom"/>
            <w:gridSpan w:val="6"/>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5960" w:type="dxa"/>
            <w:vAlign w:val="bottom"/>
            <w:gridSpan w:val="11"/>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3"/>
          </w:tcPr>
          <w:p>
            <w:pPr>
              <w:spacing w:after="0"/>
              <w:rPr>
                <w:sz w:val="18"/>
                <w:szCs w:val="18"/>
                <w:color w:val="auto"/>
              </w:rPr>
            </w:pPr>
          </w:p>
        </w:tc>
        <w:tc>
          <w:tcPr>
            <w:tcW w:w="6580" w:type="dxa"/>
            <w:vAlign w:val="bottom"/>
            <w:gridSpan w:val="13"/>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0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00" w:type="dxa"/>
            <w:vAlign w:val="bottom"/>
            <w:gridSpan w:val="16"/>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40" w:type="dxa"/>
            <w:vAlign w:val="bottom"/>
            <w:gridSpan w:val="1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June 30, 2022</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88,164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106,849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10,000,000 shares authorized, no shares issued or outstanding as of June 30, 2022 and</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2021</w:t>
            </w: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June 30, 2022 and December 31, 2021; 16,258,807 and</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16,164,994 shares issued and outstanding as of June 30, 2022 and December 31, 2021,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(233,077)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62,824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106,849</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7"/>
                <w:szCs w:val="17"/>
                <w:color w:val="auto"/>
              </w:rPr>
            </w:pPr>
          </w:p>
        </w:tc>
        <w:tc>
          <w:tcPr>
            <w:tcW w:w="27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0" w:type="dxa"/>
            <w:vAlign w:val="bottom"/>
          </w:tcPr>
          <w:p>
            <w:pPr>
              <w:spacing w:after="0"/>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98"/>
        </w:trPr>
        <w:tc>
          <w:tcPr>
            <w:tcW w:w="540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11,171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21,211</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0" w:type="dxa"/>
            <w:vAlign w:val="bottom"/>
          </w:tcPr>
          <w:p>
            <w:pPr>
              <w:spacing w:after="0"/>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Weighted-average number of shares used to compute net loss per share, basic</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17,058,516</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16,928,613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17,025,636</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14,946,935</w:t>
            </w:r>
          </w:p>
        </w:tc>
        <w:tc>
          <w:tcPr>
            <w:tcW w:w="0" w:type="dxa"/>
            <w:vAlign w:val="bottom"/>
          </w:tcPr>
          <w:p>
            <w:pPr>
              <w:spacing w:after="0"/>
              <w:rPr>
                <w:sz w:val="1"/>
                <w:szCs w:val="1"/>
                <w:color w:val="auto"/>
              </w:rPr>
            </w:pPr>
          </w:p>
        </w:tc>
      </w:tr>
      <w:tr>
        <w:trPr>
          <w:trHeight w:val="158"/>
        </w:trPr>
        <w:tc>
          <w:tcPr>
            <w:tcW w:w="5400" w:type="dxa"/>
            <w:vAlign w:val="bottom"/>
          </w:tcPr>
          <w:p>
            <w:pPr>
              <w:ind w:left="20"/>
              <w:spacing w:after="0" w:line="158" w:lineRule="exact"/>
              <w:rPr>
                <w:sz w:val="20"/>
                <w:szCs w:val="20"/>
                <w:color w:val="auto"/>
              </w:rPr>
            </w:pPr>
            <w:r>
              <w:rPr>
                <w:rFonts w:ascii="Arial" w:cs="Arial" w:eastAsia="Arial" w:hAnsi="Arial"/>
                <w:sz w:val="14"/>
                <w:szCs w:val="14"/>
                <w:color w:val="auto"/>
              </w:rPr>
              <w:t>and diluted</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0"/>
                <w:szCs w:val="10"/>
                <w:color w:val="auto"/>
              </w:rPr>
            </w:pPr>
          </w:p>
        </w:tc>
        <w:tc>
          <w:tcPr>
            <w:tcW w:w="158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0"/>
                <w:szCs w:val="10"/>
                <w:color w:val="auto"/>
              </w:rPr>
            </w:pPr>
          </w:p>
        </w:tc>
        <w:tc>
          <w:tcPr>
            <w:tcW w:w="1420" w:type="dxa"/>
            <w:vAlign w:val="bottom"/>
          </w:tcPr>
          <w:p>
            <w:pPr>
              <w:jc w:val="center"/>
              <w:ind w:right="148"/>
              <w:spacing w:after="0" w:line="12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16,164,994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293,060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30,523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35,681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2022</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16,231,198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294,552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76,156</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27,609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 (As Restated)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2022 (As Restated)</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16,258,807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295,885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(233,077)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62,824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740" w:type="dxa"/>
            <w:vAlign w:val="bottom"/>
          </w:tcPr>
          <w:p>
            <w:pPr>
              <w:spacing w:after="0"/>
              <w:rPr>
                <w:sz w:val="24"/>
                <w:szCs w:val="2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rPr>
              <w:t>Paid-In</w:t>
            </w:r>
          </w:p>
        </w:tc>
        <w:tc>
          <w:tcPr>
            <w:tcW w:w="240" w:type="dxa"/>
            <w:vAlign w:val="bottom"/>
          </w:tcPr>
          <w:p>
            <w:pPr>
              <w:spacing w:after="0"/>
              <w:rPr>
                <w:sz w:val="10"/>
                <w:szCs w:val="10"/>
                <w:color w:val="auto"/>
              </w:rPr>
            </w:pPr>
          </w:p>
        </w:tc>
        <w:tc>
          <w:tcPr>
            <w:tcW w:w="1580" w:type="dxa"/>
            <w:vAlign w:val="bottom"/>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8"/>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2020</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223,115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Retirement of common stock in exchange for</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common stock warrant</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of common stock warrant in exchange for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12,775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w:t>
            </w:r>
          </w:p>
        </w:tc>
        <w:tc>
          <w:tcPr>
            <w:tcW w:w="1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2021</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16,126,784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96,380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9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95"/>
        </w:trPr>
        <w:tc>
          <w:tcPr>
            <w:tcW w:w="8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8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(24,937)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(12,619)</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lease expense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2,197</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lease liabilities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and other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2"/>
        </w:trPr>
        <w:tc>
          <w:tcPr>
            <w:tcW w:w="8900" w:type="dxa"/>
            <w:vAlign w:val="bottom"/>
          </w:tcPr>
          <w:p>
            <w:pPr>
              <w:ind w:left="360"/>
              <w:spacing w:after="0"/>
              <w:rPr>
                <w:sz w:val="20"/>
                <w:szCs w:val="20"/>
                <w:color w:val="auto"/>
              </w:rPr>
            </w:pPr>
            <w:r>
              <w:rPr>
                <w:rFonts w:ascii="Arial" w:cs="Arial" w:eastAsia="Arial" w:hAnsi="Arial"/>
                <w:sz w:val="14"/>
                <w:szCs w:val="14"/>
                <w:color w:val="auto"/>
              </w:rPr>
              <w:t>Net cash used in operating activities</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(8,762)</w:t>
            </w:r>
          </w:p>
        </w:tc>
      </w:tr>
      <w:tr>
        <w:trPr>
          <w:trHeight w:val="20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r>
      <w:tr>
        <w:trPr>
          <w:trHeight w:val="200"/>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201"/>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Payments of taxes withheld on vested restricted stock units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69,144</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(4,407)</w:t>
            </w:r>
          </w:p>
        </w:tc>
      </w:tr>
      <w:tr>
        <w:trPr>
          <w:trHeight w:val="200"/>
        </w:trPr>
        <w:tc>
          <w:tcPr>
            <w:tcW w:w="8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64,771</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55,128</w:t>
            </w:r>
          </w:p>
        </w:tc>
      </w:tr>
      <w:tr>
        <w:trPr>
          <w:trHeight w:val="20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99,542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57,548</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76,487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112,676</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4"/>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95"/>
        </w:trPr>
        <w:tc>
          <w:tcPr>
            <w:tcW w:w="8900" w:type="dxa"/>
            <w:vAlign w:val="bottom"/>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As of June 30, 2022, the Company had cash and cash equivalents of $76.4 million and had an accumulated deficit of $ 233.1 million (as restated).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2020, due to the worldwide COVID-19 pandemic, the Company began to experience a reduction in patient test volumes, delays in patient enrollment in ongoing and planned clinical studies, and delays in the procurement of its testing supplies.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Restatement of Previously Issued Financial Statements</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has restated previously issued financial statements and related disclosures as of and for the three and six months ended June 30, 2022 included in our Quarterly Report on Form 10-Q, filed with the Securities and Exchange Commission (the SEC) on August 4, 2022 (the Original Quarterly Report), in order to correct misstatements resulting from erroneous and duplicate billings included in revenue. The applicable Notes to Condensed Financial Statements were also updated to reflect the restatement.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Restatement</w:t>
      </w: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November 2022 management determined that the Company made certain errors in revenue resulting from erroneous and duplicate billings related to changes in billing practices. The errors were due to the inadequate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design and implementation and precision of internal controls and procedures to evaluate and monitor the accounting for revenue recognition. As a result, the Company determined that there were material errors in the financial statements that required a restatement of the financial statements for the three and six months ended June 30, 2022 in the Original Quarterly Report. The effect of these errors was a $1.4 million overstatement of revenue for the three and six months ended June 30, 2022; in addition to, a $0.9 million overstatement of accounts receivable and a $0.5 million understatement of other liabilities as of June 30, 2022.</w:t>
      </w:r>
    </w:p>
    <w:p>
      <w:pPr>
        <w:spacing w:after="0" w:line="16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following tables reflect the impact of the restatement adjustments to the specific line items presented in our previously reported financial statements for the periods indicated. The amounts originally reported were derived from the Original Quarterly Report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Condensed Balance Sheet</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8,715</w:t>
            </w: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88,164</w:t>
            </w: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106,849</w:t>
            </w:r>
          </w:p>
        </w:tc>
      </w:tr>
      <w:tr>
        <w:trPr>
          <w:trHeight w:val="274"/>
        </w:trPr>
        <w:tc>
          <w:tcPr>
            <w:tcW w:w="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4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and other current liabilities</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w:t>
            </w: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9,573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10,054</w:t>
            </w: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44,025</w:t>
            </w: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(231,721)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(233,077)</w:t>
            </w: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62,824</w:t>
            </w:r>
          </w:p>
        </w:tc>
      </w:tr>
      <w:tr>
        <w:trPr>
          <w:trHeight w:val="194"/>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106,849</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Operations</w:t>
            </w:r>
          </w:p>
        </w:tc>
        <w:tc>
          <w:tcPr>
            <w:tcW w:w="600" w:type="dxa"/>
            <w:vAlign w:val="bottom"/>
          </w:tcPr>
          <w:p>
            <w:pPr>
              <w:spacing w:after="0"/>
              <w:rPr>
                <w:sz w:val="14"/>
                <w:szCs w:val="14"/>
                <w:color w:val="auto"/>
              </w:rPr>
            </w:pPr>
          </w:p>
        </w:tc>
        <w:tc>
          <w:tcPr>
            <w:tcW w:w="3260" w:type="dxa"/>
            <w:vAlign w:val="bottom"/>
            <w:gridSpan w:val="6"/>
          </w:tcPr>
          <w:p>
            <w:pPr>
              <w:jc w:val="center"/>
              <w:ind w:left="628"/>
              <w:spacing w:after="0"/>
              <w:rPr>
                <w:sz w:val="20"/>
                <w:szCs w:val="20"/>
                <w:color w:val="auto"/>
              </w:rPr>
            </w:pPr>
            <w:r>
              <w:rPr>
                <w:rFonts w:ascii="Arial" w:cs="Arial" w:eastAsia="Arial" w:hAnsi="Arial"/>
                <w:sz w:val="14"/>
                <w:szCs w:val="14"/>
                <w:b w:val="1"/>
                <w:bCs w:val="1"/>
                <w:color w:val="auto"/>
              </w:rPr>
              <w:t>Three Months Ended June 30, 2022</w:t>
            </w:r>
          </w:p>
        </w:tc>
        <w:tc>
          <w:tcPr>
            <w:tcW w:w="13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7,606</w:t>
            </w:r>
          </w:p>
        </w:tc>
      </w:tr>
      <w:tr>
        <w:trPr>
          <w:trHeight w:val="199"/>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(14,064)</w:t>
            </w:r>
          </w:p>
        </w:tc>
      </w:tr>
      <w:tr>
        <w:trPr>
          <w:trHeight w:val="206"/>
        </w:trPr>
        <w:tc>
          <w:tcPr>
            <w:tcW w:w="2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w:t>
            </w:r>
          </w:p>
        </w:tc>
      </w:tr>
      <w:tr>
        <w:trPr>
          <w:trHeight w:val="19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 per share, basic and diluted</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(0.86)</w:t>
            </w: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Operations</w:t>
            </w:r>
          </w:p>
        </w:tc>
        <w:tc>
          <w:tcPr>
            <w:tcW w:w="600" w:type="dxa"/>
            <w:vAlign w:val="bottom"/>
          </w:tcPr>
          <w:p>
            <w:pPr>
              <w:spacing w:after="0"/>
              <w:rPr>
                <w:sz w:val="14"/>
                <w:szCs w:val="14"/>
                <w:color w:val="auto"/>
              </w:rPr>
            </w:pPr>
          </w:p>
        </w:tc>
        <w:tc>
          <w:tcPr>
            <w:tcW w:w="320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rPr>
              <w:t>Six Months Ended June 30, 2022</w:t>
            </w: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18,000</w:t>
            </w:r>
          </w:p>
        </w:tc>
      </w:tr>
      <w:tr>
        <w:trPr>
          <w:trHeight w:val="198"/>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(23,743)</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(24,937)</w:t>
            </w:r>
          </w:p>
        </w:tc>
      </w:tr>
      <w:tr>
        <w:trPr>
          <w:trHeight w:val="194"/>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 per share, basic and diluted</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Condensed Statement of Cash Flows</w:t>
            </w:r>
          </w:p>
        </w:tc>
        <w:tc>
          <w:tcPr>
            <w:tcW w:w="600" w:type="dxa"/>
            <w:vAlign w:val="bottom"/>
          </w:tcPr>
          <w:p>
            <w:pPr>
              <w:spacing w:after="0"/>
              <w:rPr>
                <w:sz w:val="14"/>
                <w:szCs w:val="14"/>
                <w:color w:val="auto"/>
              </w:rPr>
            </w:pPr>
          </w:p>
        </w:tc>
        <w:tc>
          <w:tcPr>
            <w:tcW w:w="3200" w:type="dxa"/>
            <w:vAlign w:val="bottom"/>
            <w:gridSpan w:val="6"/>
          </w:tcPr>
          <w:p>
            <w:pPr>
              <w:jc w:val="center"/>
              <w:ind w:left="708"/>
              <w:spacing w:after="0"/>
              <w:rPr>
                <w:sz w:val="20"/>
                <w:szCs w:val="20"/>
                <w:color w:val="auto"/>
              </w:rPr>
            </w:pPr>
            <w:r>
              <w:rPr>
                <w:rFonts w:ascii="Arial" w:cs="Arial" w:eastAsia="Arial" w:hAnsi="Arial"/>
                <w:sz w:val="14"/>
                <w:szCs w:val="14"/>
                <w:b w:val="1"/>
                <w:bCs w:val="1"/>
                <w:color w:val="auto"/>
              </w:rPr>
              <w:t>Six Months Ended June 30, 2022</w:t>
            </w: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As Restated</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6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(23,581)</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(24,937)</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Changes in assets and 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939</w:t>
            </w:r>
          </w:p>
        </w:tc>
      </w:tr>
      <w:tr>
        <w:trPr>
          <w:trHeight w:val="207"/>
        </w:trPr>
        <w:tc>
          <w:tcPr>
            <w:tcW w:w="2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and other current liabilities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195"/>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(19,728)</w:t>
            </w: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interim condensed balance sheet as of June 30, 2022, the condensed statements of operations and the condensed statements of stockholders' equity for the three and six months ended June 30, 2022 and 2021, cash flows for the six months ended June 30, 2022 and 2021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June 30, 2022 and its results of operations for the three and six month periods presented. The results for the six months ended June 30, 2022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2021, included in its Annual Report on Form 10-K filed with the SEC on March 22, 2022.</w:t>
      </w:r>
    </w:p>
    <w:p>
      <w:pPr>
        <w:spacing w:after="0" w:line="1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estimated incremental borrowing rate for the determination of the Company's operating lease right-of-use (ROU) assets,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7"/>
                <w:szCs w:val="17"/>
                <w:color w:val="auto"/>
              </w:rPr>
            </w:pPr>
          </w:p>
        </w:tc>
      </w:tr>
      <w:tr>
        <w:trPr>
          <w:trHeight w:val="147"/>
        </w:trPr>
        <w:tc>
          <w:tcPr>
            <w:tcW w:w="5660" w:type="dxa"/>
            <w:vAlign w:val="bottom"/>
          </w:tcPr>
          <w:p>
            <w:pPr>
              <w:spacing w:after="0"/>
              <w:rPr>
                <w:sz w:val="12"/>
                <w:szCs w:val="12"/>
                <w:color w:val="auto"/>
              </w:rPr>
            </w:pPr>
          </w:p>
        </w:tc>
        <w:tc>
          <w:tcPr>
            <w:tcW w:w="2320" w:type="dxa"/>
            <w:vAlign w:val="bottom"/>
            <w:gridSpan w:val="4"/>
          </w:tcPr>
          <w:p>
            <w:pPr>
              <w:jc w:val="center"/>
              <w:ind w:left="348"/>
              <w:spacing w:after="0" w:line="147"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rPr>
              <w:t>Six Months Ended</w:t>
            </w:r>
          </w:p>
        </w:tc>
      </w:tr>
      <w:tr>
        <w:trPr>
          <w:trHeight w:val="185"/>
        </w:trPr>
        <w:tc>
          <w:tcPr>
            <w:tcW w:w="5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8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660" w:type="dxa"/>
            <w:vAlign w:val="bottom"/>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6"/>
        </w:trPr>
        <w:tc>
          <w:tcPr>
            <w:tcW w:w="5660" w:type="dxa"/>
            <w:vAlign w:val="bottom"/>
          </w:tcPr>
          <w:p>
            <w:pPr>
              <w:spacing w:after="0"/>
              <w:rPr>
                <w:sz w:val="17"/>
                <w:szCs w:val="17"/>
                <w:color w:val="auto"/>
              </w:rPr>
            </w:pPr>
          </w:p>
        </w:tc>
        <w:tc>
          <w:tcPr>
            <w:tcW w:w="2320" w:type="dxa"/>
            <w:vAlign w:val="bottom"/>
            <w:gridSpan w:val="4"/>
          </w:tcPr>
          <w:p>
            <w:pPr>
              <w:jc w:val="center"/>
              <w:ind w:right="928"/>
              <w:spacing w:after="0"/>
              <w:rPr>
                <w:sz w:val="20"/>
                <w:szCs w:val="20"/>
                <w:color w:val="auto"/>
              </w:rPr>
            </w:pPr>
            <w:r>
              <w:rPr>
                <w:rFonts w:ascii="Arial" w:cs="Arial" w:eastAsia="Arial" w:hAnsi="Arial"/>
                <w:sz w:val="14"/>
                <w:szCs w:val="14"/>
                <w:b w:val="1"/>
                <w:bCs w:val="1"/>
                <w:color w:val="auto"/>
              </w:rPr>
              <w:t>(As Restated)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Restated)</w:t>
            </w:r>
          </w:p>
        </w:tc>
        <w:tc>
          <w:tcPr>
            <w:tcW w:w="940" w:type="dxa"/>
            <w:vAlign w:val="bottom"/>
          </w:tcPr>
          <w:p>
            <w:pPr>
              <w:spacing w:after="0"/>
              <w:rPr>
                <w:sz w:val="17"/>
                <w:szCs w:val="17"/>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Medicare</w:t>
            </w:r>
          </w:p>
        </w:tc>
        <w:tc>
          <w:tcPr>
            <w:tcW w:w="42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Aetna</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Blue Shield</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25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11"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Accounts Receivable, Net</w:t>
            </w:r>
          </w:p>
        </w:tc>
      </w:tr>
      <w:tr>
        <w:trPr>
          <w:trHeight w:val="412"/>
        </w:trPr>
        <w:tc>
          <w:tcPr>
            <w:tcW w:w="10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10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Restated)</w:t>
            </w:r>
          </w:p>
        </w:tc>
        <w:tc>
          <w:tcPr>
            <w:tcW w:w="1620" w:type="dxa"/>
            <w:vAlign w:val="bottom"/>
          </w:tcPr>
          <w:p>
            <w:pPr>
              <w:spacing w:after="0"/>
              <w:rPr>
                <w:sz w:val="17"/>
                <w:szCs w:val="17"/>
                <w:color w:val="auto"/>
              </w:rPr>
            </w:pPr>
          </w:p>
        </w:tc>
      </w:tr>
      <w:tr>
        <w:trPr>
          <w:trHeight w:val="20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8"/>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Medicare</w:t>
            </w:r>
          </w:p>
        </w:tc>
        <w:tc>
          <w:tcPr>
            <w:tcW w:w="16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Aetna</w:t>
            </w:r>
          </w:p>
        </w:tc>
        <w:tc>
          <w:tcPr>
            <w:tcW w:w="16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62"/>
        </w:trPr>
        <w:tc>
          <w:tcPr>
            <w:tcW w:w="1000" w:type="dxa"/>
            <w:vAlign w:val="bottom"/>
            <w:tcBorders>
              <w:bottom w:val="single" w:sz="8" w:color="auto"/>
            </w:tcBorders>
          </w:tcPr>
          <w:p>
            <w:pPr>
              <w:spacing w:after="0"/>
              <w:rPr>
                <w:sz w:val="14"/>
                <w:szCs w:val="14"/>
                <w:color w:val="auto"/>
              </w:rPr>
            </w:pPr>
          </w:p>
        </w:tc>
        <w:tc>
          <w:tcPr>
            <w:tcW w:w="6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34"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24"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For each of the three months ended June 30, 2022 and 2021, approximately 77%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2022 and 2021, approximately 81%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is dependent on key suppliers for certain laboratory materials. For each of the three months ended June 30, 2022 and 2021, approximately 97% of the Company's diagnostic testing supplies were purchased from two suppliers. For the six months ended June 30, 2022 and 2021, approximately 96% and 97%, respectively, of the Company's diagnostic testing supplies were purchased from two suppliers. An interruption in the supply of these materials would impact the Company's ability to perform testing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28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4,510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7,381</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10,933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13,408</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Client(1)</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3,346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4,392</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1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The estimated fair value of the Company's long-term borrowings are determined by Level 2 inputs and is based primarily on quoted market prices for the same or similar issues. The recorded value of the Company's long-term borrowings approximates the current fair value as the interest rate and other terms are that which are currently available to the Company.</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6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76,387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99,442</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payors) consist of healthcare insurers, government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t>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Included in revenues for the three months ended June 30, 2022 and 2021 was a $1.2 million net revenue decrease and a $ 0.1 million net revenue increase, respectively, associated with changes in estimated variable consideration related to performance obligations satisfied in previous periods. Such amounts of variable consideration for the six months ended June 30, 2022 and 2021 were $1.6 million and $0.1 million, respectively, of net revenue decreases. The transaction price is estimated using an expected value method on a portfolio basis. The Company's portfolios are grouped per payor (i.e. each individual third-party insurance, Medicare,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19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Pursuant to the Janssen Agreement, as amended,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Janssen Agreement, as amended, was cancelable. The Company recognized no co-promotion revenue and $0.3 million during the three months ended June 30, 2022 and 2021, respectively. The Company recognized no co-promotion revenue and $ 0.6 million during the six months ended June 30, 2022 and 2021,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4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which was earned in the year ended December 31, 2021. Pursuant to the terms of the termination, we were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categorizes leases at their commencement as either operating or finance leases. Effective January 1, 2022 upon the adoption of ASC 842,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and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 See Note 5 for details on the Company's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$0.6 million and $0.4 million for the three months ended June 30, 2022 and 2021, respectively, and $0.9 million and $0.6 million for the six months ended June 30, 2022 and 2021, respectively, and are included in selling, general and administrative expenses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$0.7 million and $0.6 million for the three months ended June 30, 2022 and 2021, respectively, and $1.3 million and $1.0 million for the six months ended June 30, 2022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are determined using the Black-Scholes-Merton (BSM) option pricing model, which requires management to make certain assumptions regarding a number of complex and subjective variables. Equity award forfeitures are recorded as they occur.</w:t>
      </w:r>
    </w:p>
    <w:p>
      <w:pPr>
        <w:spacing w:after="0" w:line="17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8" w:right="399" w:bottom="1440" w:gutter="0" w:footer="0" w:header="0"/>
        </w:sectPr>
      </w:pPr>
    </w:p>
    <w:bookmarkStart w:id="14" w:name="page15"/>
    <w:bookmarkEnd w:id="14"/>
    <w:p>
      <w:pPr>
        <w:ind w:right="20"/>
        <w:spacing w:after="0" w:line="256" w:lineRule="auto"/>
        <w:rPr>
          <w:sz w:val="20"/>
          <w:szCs w:val="20"/>
          <w:color w:val="auto"/>
        </w:rPr>
      </w:pPr>
      <w:r>
        <w:rPr>
          <w:rFonts w:ascii="Arial" w:cs="Arial" w:eastAsia="Arial" w:hAnsi="Arial"/>
          <w:sz w:val="18"/>
          <w:szCs w:val="18"/>
          <w:color w:val="auto"/>
        </w:rPr>
        <w:t>stockholders by the weighted-average number of common stock equivalents outstanding for the period determined using the treasury-stock and if-converted methods. The weighted-average number of shares in 2022 and 2021 used to compute basic and diluted shares includes shares issuable upon the exercise of pre-funded warrants at a nominal price. Potentially dilutive common stock equivalents are comprised of warrants for the purchase of common stock, options, restricted stock units outstanding under the Company's 2019 Incentive Award Plan (the 2019 Plan) and shares of the Company's common stock pursuant to the ESPP. For the three and six months ended June 30, 2022 and 2021, there is no difference in the number of shares used to calculate basic and diluted shares outstanding as the inclusion of the potentially dilutive securities would be antidilutive.</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June 30,</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74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r>
      <w:tr>
        <w:trPr>
          <w:trHeight w:val="198"/>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Common stock options</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w w:val="99"/>
              </w:rPr>
              <w:t>1,949,374</w:t>
            </w:r>
          </w:p>
        </w:tc>
        <w:tc>
          <w:tcPr>
            <w:tcW w:w="10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2,123,617</w:t>
            </w:r>
          </w:p>
        </w:tc>
      </w:tr>
      <w:tr>
        <w:trPr>
          <w:trHeight w:val="207"/>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784,940</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375,525</w:t>
            </w:r>
          </w:p>
        </w:tc>
      </w:tr>
      <w:tr>
        <w:trPr>
          <w:trHeight w:val="198"/>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30,303</w:t>
            </w:r>
          </w:p>
        </w:tc>
        <w:tc>
          <w:tcPr>
            <w:tcW w:w="10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12,525</w:t>
            </w:r>
          </w:p>
        </w:tc>
      </w:tr>
      <w:tr>
        <w:trPr>
          <w:trHeight w:val="221"/>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3,173,725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2,938,494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(EGC).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the measurement of expected credit losses for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carried at amortized cost, such as accounts receivable,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For non-EGCs, ASU 2016-13 is effective for fiscal years beginning after December 15, 2019. For EGCs, the standard was to be effective for fiscal years beginning after December 15, 2021. However, in November 2019, the FASB issued ASU 2019 -10, which included a one-year deferral of the effective date of ASU 2016-13 for certain entities. As a result, the ASU 2016-13 is now effective for EGCs for fiscal years beginning after December 15, 2022, including interim periods within those fiscal years. The Company is currently evaluating the impact of Topic 326 on its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which provides narrow</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p>
      <w:pPr>
        <w:ind w:right="80"/>
        <w:spacing w:after="0" w:line="254" w:lineRule="auto"/>
        <w:rPr>
          <w:sz w:val="20"/>
          <w:szCs w:val="20"/>
          <w:color w:val="auto"/>
        </w:rPr>
      </w:pPr>
      <w:r>
        <w:rPr>
          <w:rFonts w:ascii="Arial" w:cs="Arial" w:eastAsia="Arial" w:hAnsi="Arial"/>
          <w:sz w:val="18"/>
          <w:szCs w:val="18"/>
          <w:color w:val="auto"/>
        </w:rPr>
        <w:t xml:space="preserve">amendments to clarify how to apply certain aspects of the new lease standard, 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was issued to provide relief to companies from restating comparative periods. Pursuant to this ASU, in the period of adoption the Company will not restate comparative periods presented in its condensed financial statements. On January 1, 2022, the Company adopted ASU 2016-12 using the modified retrospective transition method. Periods prior to January 1, 2022 have not been restated for the adoption of ASC 842 and continue to reflect the accounting treatment of leases in accordance with the prior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a cumulative effect to accumulated deficit and there was no impact to accumulated deficit upon adoption. The Company elected the package of practical expedients, which among other things allowed the Company to carry forward its historical lease classification. As part of the adoption, the Company recorded operating lease liabilities of $6.4 million, operating lease ROU assets of $5.9 million, adjusted for deferred rent and lease incentive obligations of $0.5 million previously included in other non-current liabilities and accrued and other current liabilities, pertaining to its office and laboratory space operating leases. See Note 5 for details on the Company's leases.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4,361</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11,688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8,656</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r>
      <w:tr>
        <w:trPr>
          <w:trHeight w:val="25"/>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Depreciation and amortization expense for the three months ended June 30, 2022 and 2021 was approximately $0.3 million and $0.2 million, respectively, and for the six months ended June 30, 2022 and 2021, was approximately $0.6 million and $0.4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Restated)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 liability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The 2017 Term Loan was subsequently amended in November 2019 and November 2021. As of June 30, 2022, no additional amounts remain available to borrow under the 2017 Term Loan.</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the 2017 Loan Amendment using the effective interest method. For each of the three months ended June 30, 2022 and 2021, the Company issued PIK Loans totaling $0.1 million. For each of the six months ended June 30, 2022 and 2021, the Company issued PIK Loans totaling $0.3 million.</w:t>
      </w:r>
    </w:p>
    <w:p>
      <w:pPr>
        <w:spacing w:after="0" w:line="18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2017 Loan Amendment requires a prepayment premium of 3% of the aggregate outstanding principal. The prepayment premium decreases by 1% on November 1, 2022, 2023 and 2024.</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7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affirmative covenants require that the Company achieve a specified level of revenue, as measured quarterly on a rolling twelve-month basis, and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Loan Amendment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was in compliance with all covenants of the 2017 Loan Amendment.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June 30, 2022, future minimum aggregate payments, including interest, for outstanding borrowings under the 2017 Loan Amendment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16,152</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14,786</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36,441</w:t>
            </w:r>
          </w:p>
        </w:tc>
      </w:tr>
      <w:tr>
        <w:trPr>
          <w:trHeight w:val="207"/>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(8,431)</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27,828</w:t>
            </w:r>
          </w:p>
        </w:tc>
      </w:tr>
      <w:tr>
        <w:trPr>
          <w:trHeight w:val="25"/>
        </w:trPr>
        <w:tc>
          <w:tcPr>
            <w:tcW w:w="9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2022. Prior period amounts have not been adjusted and continue to be reported in accordance with the Company's historic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leases office and laboratory spaces in Vista, California, under leases that expire in April 2027, with an option to extend portions of the leases for additional 5-year periods. The Company has not included the optional renewal periods in the measurement of the lease liabilities because it is not reasonably certain that the Company will exercise these renewal options. The Company's lease payments under each of these leases are subject to escalation clauses.</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shall increase by approximately 3% annually beginning October 1, 2022. The Company is entitled to base rent abatement for a specified period of time which began on November 1,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ind w:right="460"/>
        <w:spacing w:after="0" w:line="259" w:lineRule="auto"/>
        <w:rPr>
          <w:sz w:val="20"/>
          <w:szCs w:val="20"/>
          <w:color w:val="auto"/>
        </w:rPr>
      </w:pPr>
      <w:r>
        <w:rPr>
          <w:rFonts w:ascii="Arial" w:cs="Arial" w:eastAsia="Arial" w:hAnsi="Arial"/>
          <w:sz w:val="18"/>
          <w:szCs w:val="18"/>
          <w:color w:val="auto"/>
        </w:rPr>
        <w:t>The Company determines if a contract contains a lease at inception or modification of a contract. The Company discounts their lease obligations using its incremental borrowing rate at the commencement date. The incremental borrowing rate is the rate of interest the Company would have to pay to borrow on a collateralized basis over a similar term and amount equal to the lease payments in a similar economic environment. The Company primarily considers industry data, its credit rating and the lease term to determine its incremental borrowing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57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19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5,338</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70"/>
        </w:trPr>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9"/>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6"/>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r>
      <w:tr>
        <w:trPr>
          <w:trHeight w:val="199"/>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06"/>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5,027</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100" w:type="dxa"/>
            <w:vAlign w:val="bottom"/>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100" w:type="dxa"/>
            <w:vAlign w:val="bottom"/>
          </w:tcPr>
          <w:p>
            <w:pPr>
              <w:spacing w:after="0"/>
              <w:rPr>
                <w:sz w:val="17"/>
                <w:szCs w:val="17"/>
                <w:color w:val="auto"/>
              </w:rPr>
            </w:pP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0"/>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$42,000 and $84,000 for the three and six months ended June 30,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Six months ended June 30, 2022</w:t>
            </w:r>
          </w:p>
        </w:tc>
      </w:tr>
      <w:tr>
        <w:trPr>
          <w:trHeight w:val="19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19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June 30, 2022</w:t>
            </w:r>
          </w:p>
        </w:tc>
      </w:tr>
      <w:tr>
        <w:trPr>
          <w:trHeight w:val="184"/>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3760" w:type="dxa"/>
            <w:vAlign w:val="bottom"/>
            <w:shd w:val="clear" w:color="auto" w:fill="CCEEFF"/>
          </w:tcPr>
          <w:p>
            <w:pPr>
              <w:spacing w:after="0"/>
              <w:rPr>
                <w:sz w:val="15"/>
                <w:szCs w:val="15"/>
                <w:color w:val="auto"/>
              </w:rPr>
            </w:pPr>
          </w:p>
        </w:tc>
      </w:tr>
      <w:tr>
        <w:trPr>
          <w:trHeight w:val="198"/>
        </w:trPr>
        <w:tc>
          <w:tcPr>
            <w:tcW w:w="74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7"/>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74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760" w:type="dxa"/>
            <w:vAlign w:val="bottom"/>
          </w:tcPr>
          <w:p>
            <w:pPr>
              <w:spacing w:after="0"/>
              <w:rPr>
                <w:sz w:val="17"/>
                <w:szCs w:val="17"/>
                <w:color w:val="auto"/>
              </w:rPr>
            </w:pPr>
          </w:p>
        </w:tc>
      </w:tr>
      <w:tr>
        <w:trPr>
          <w:trHeight w:val="207"/>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4"/>
        </w:trPr>
        <w:tc>
          <w:tcPr>
            <w:tcW w:w="74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5.5 %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June 30,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r>
      <w:tr>
        <w:trPr>
          <w:trHeight w:val="199"/>
        </w:trPr>
        <w:tc>
          <w:tcPr>
            <w:tcW w:w="6560" w:type="dxa"/>
            <w:vAlign w:val="bottom"/>
          </w:tcPr>
          <w:p>
            <w:pPr>
              <w:ind w:left="20"/>
              <w:spacing w:after="0"/>
              <w:rPr>
                <w:sz w:val="20"/>
                <w:szCs w:val="20"/>
                <w:color w:val="auto"/>
              </w:rPr>
            </w:pPr>
            <w:r>
              <w:rPr>
                <w:rFonts w:ascii="Arial" w:cs="Arial" w:eastAsia="Arial" w:hAnsi="Arial"/>
                <w:sz w:val="14"/>
                <w:szCs w:val="14"/>
                <w:color w:val="auto"/>
              </w:rPr>
              <w:t>2023</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1,446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672</w:t>
            </w:r>
          </w:p>
        </w:tc>
      </w:tr>
      <w:tr>
        <w:trPr>
          <w:trHeight w:val="206"/>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99"/>
        </w:trPr>
        <w:tc>
          <w:tcPr>
            <w:tcW w:w="6560" w:type="dxa"/>
            <w:vAlign w:val="bottom"/>
          </w:tcPr>
          <w:p>
            <w:pPr>
              <w:ind w:left="20"/>
              <w:spacing w:after="0"/>
              <w:rPr>
                <w:sz w:val="20"/>
                <w:szCs w:val="20"/>
                <w:color w:val="auto"/>
              </w:rPr>
            </w:pPr>
            <w:r>
              <w:rPr>
                <w:rFonts w:ascii="Arial" w:cs="Arial" w:eastAsia="Arial" w:hAnsi="Arial"/>
                <w:sz w:val="14"/>
                <w:szCs w:val="14"/>
                <w:color w:val="auto"/>
              </w:rPr>
              <w:t>2025</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1,533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6"/>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(1,290)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r>
      <w:tr>
        <w:trPr>
          <w:trHeight w:val="225"/>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5,027</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Under ASC 840</w:t>
      </w:r>
    </w:p>
    <w:p>
      <w:pPr>
        <w:spacing w:after="0" w:line="22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Minimum annual lease payments under non-cancelable operating lease arrangements as of December 31, 2021 are as follows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940" w:type="dxa"/>
            <w:vAlign w:val="bottom"/>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98"/>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25"/>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rent expense was $0.2 million and $0.3 million,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connection with the acquisition of the medical diagnostics division of Royalty Pharma Collection Trust (Royalty Pharma) (formerly known as Cypress Bioscience, Inc.) in 2010, the Company was required to pay certain amounts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right="180"/>
        <w:spacing w:after="0" w:line="287" w:lineRule="auto"/>
        <w:rPr>
          <w:sz w:val="20"/>
          <w:szCs w:val="20"/>
          <w:color w:val="auto"/>
        </w:rPr>
      </w:pPr>
      <w:r>
        <w:rPr>
          <w:rFonts w:ascii="Arial" w:cs="Arial" w:eastAsia="Arial" w:hAnsi="Arial"/>
          <w:sz w:val="18"/>
          <w:szCs w:val="18"/>
          <w:color w:val="auto"/>
        </w:rPr>
        <w:t>in the event that certain revenue milestones were achieved and upon the first commercial sale of a product associated with this acquisition, for which the obligations no longer exist.</w:t>
      </w:r>
    </w:p>
    <w:p>
      <w:pPr>
        <w:spacing w:after="0" w:line="15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the Company has ongoing royalty payment obligations with Royalty Pharma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(QMUL), to obtain an exclusive license to QMUL's patent rights in certain inventions, pursuant to which the Company paid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 pay royalties in the high single-digits on net sales of testing products using the assigned patents, pending approvals and commercialization.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$6.0 million and $6.9 million for the years ending December 31, 2022 and 2023, respectively, with a 15% annual increase thereafter for unconditional minimum purchase commitments through the year ending December 31,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$0.1 million for each of the three months ended June 30, 2022 and 2021. Collaboration expenses under the master research collaboration agreement were $0.2 million and $0.1 million, for the six months ended June 30, 2022 and 2021, respectively. Collaboration expenses under the AHN collaboration are included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Purchase Obligations</w:t>
      </w:r>
    </w:p>
    <w:p>
      <w:pPr>
        <w:spacing w:after="0" w:line="223"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In May 2022, the Company ordered laboratory equipment costing approximately $1.2 million, which is expected to be received in the third quarter of 2022. Upon receipt of the equipment, monthly payments of approximately $25,000 will commence and continue for 48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payors and managed care organizations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1" w:name="page22"/>
    <w:bookmarkEnd w:id="21"/>
    <w:p>
      <w:pPr>
        <w:ind w:right="40"/>
        <w:spacing w:after="0" w:line="262" w:lineRule="auto"/>
        <w:rPr>
          <w:sz w:val="20"/>
          <w:szCs w:val="20"/>
          <w:color w:val="auto"/>
        </w:rPr>
      </w:pPr>
      <w:r>
        <w:rPr>
          <w:rFonts w:ascii="Arial" w:cs="Arial" w:eastAsia="Arial" w:hAnsi="Arial"/>
          <w:sz w:val="18"/>
          <w:szCs w:val="18"/>
          <w:color w:val="auto"/>
        </w:rPr>
        <w:t>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4"/>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72,078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72,078</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696"/>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4"/>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95,761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95,761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common stock</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June 30, 2022, none of the Exchange Warrants have been exercised.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no warrants to purchase common stock was exercised.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June 30, 2022, 1,430,690 shares of common stock remained available for future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June 30, 2022, 453,484 shares of common stock remained available for issuance under the ESPP.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2,014,330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63,000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(25,846)</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1,949,374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Vested and expected to vest, June 30,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1,949,374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June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June 30, 2022, total unrecognized compensation cost related to option awards was $4.2 million, which is expected to be recognized over a remaining weighted-average vesting period of 1.6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88"/>
              <w:spacing w:after="0" w:line="145"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198"/>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540,225</w:t>
            </w: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(90,821)</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(79,789)</w:t>
            </w:r>
          </w:p>
        </w:tc>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784,940</w:t>
            </w: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 of June 30, 2022, total unrecognized compensation cost related to restricted stock units was $8.2 million, which is expected to be recognized over a remaining weighted-average vesting period of 3.3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83%-84%</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0.8%-1.1%</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5.50-6.08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860" w:type="dxa"/>
            <w:vAlign w:val="bottom"/>
            <w:gridSpan w:val="3"/>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45%</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3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for the ESPP was less than $ 0.1 million for the three and six months ended June 30, 2022 and 2021. As of June 30, 2022, total unrecognized compensation cost related to stock purchase rights granted under the ESPP was less than $0.1 million, which is expected to be recognized over a remaining weighted-average vesting period of 0.2 years.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99"/>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20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92"/>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w:t>
            </w: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Amended Quarterly Report on Form 10-Q/A and with our audited financial statements and notes thereto for the year ended December 31, 2021 included in our Annual Report on Form 10-K for the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the expected benefits from our partnerships or promotion arrangements with third-parties, evaluations and interpretation of study results,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information has been adjusted to reflect the restatement of our financial statements as described in the "Explanatory Note" at the beginning of this Amended Quarterly Report and in Note 1, "Restatement of Previously Issued Financial Statements," in the Notes to Condensed Financial Statements of this Amended Quarterly Report.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Cell-Bound Complement Activation Products (CB-CAPs) technology. Our goal is to enable healthcare providers to improve care for patients through the differential diagnosis, prognosis and monitoring of complex autoimmune and autoimmune-related diseases, including systemic lupus erythematosus (SLE), and rheumatoid arthritis (RA). Our business model of integrating testing products and therapeutics positions us to offer targeted solutions to rheumatologists and, ultimately, better serve patients.</w:t>
      </w:r>
    </w:p>
    <w:p>
      <w:pPr>
        <w:spacing w:after="0" w:line="19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81% and 81% of our revenue for the six months ended June 30, 2022 and 2021,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9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(GSK), Labcorp Drug Development and Parexel, among others, that leverage our testing products and/or the information generated from such tests. We provide GSK, a leader in lupus therapeutics, our test result data to</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26" w:name="page27"/>
    <w:bookmarkEnd w:id="26"/>
    <w:p>
      <w:pPr>
        <w:ind w:right="100"/>
        <w:spacing w:after="0" w:line="259" w:lineRule="auto"/>
        <w:rPr>
          <w:sz w:val="20"/>
          <w:szCs w:val="20"/>
          <w:color w:val="auto"/>
        </w:rPr>
      </w:pPr>
      <w:r>
        <w:rPr>
          <w:rFonts w:ascii="Arial" w:cs="Arial" w:eastAsia="Arial" w:hAnsi="Arial"/>
          <w:sz w:val="18"/>
          <w:szCs w:val="18"/>
          <w:color w:val="auto"/>
        </w:rPr>
        <w:t>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perform all of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tests in our approximately 10,000 square foot clinical laboratory, which is certified under the Clinical Laboratory Improvement Amendments of 1988 (CLIA), by the Centers for Medicare and Medicaid Services (CMS), and accredited by the College of American Pathologists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In the second quarter of 2022, we completed the clinical laboratory space conversion, which is currently being utilized for both clinical laboratory and research and development purposes. We expect to complete the conversion of the research and development facility space by the second half of 2022. The expansion of our clinical laboratory and research and development facility is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market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using our specialized sales force. As of June 30, 2022, we have a sales force of 57 representatives covering a total of 63 territories. Unlike many diagnostic sales forces that are trained only to understand the comparative benefits of their tests, the specialized backgrounds of our sales force coupled with our comprehensive training enable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7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Although our revenue has historically increased sequentially year over year, with the exception of the six months ended June 30, 2022 compared to 2021, we have never been profitable and, as of June 30, 2022, we had an accumulated deficit of $233.1 million. We incurred net losses of $24.9 million and $ 12.6 million for the six months ended June 30, 2022 and 2021,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June 30, 2022, we had $76.4 million of cash and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March 2022, we entered into an agreement with Centene Corporation, pursuant to which, effective June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with Centene Corporation, including its subsidiary WellCare Health Plans, providing enhanced care to over 22.7 million members.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 June 2022, we entered into an agreement with MediNcrease Health Plans, LLC's national provider network, pursuant to which, effective</w:t>
      </w:r>
    </w:p>
    <w:p>
      <w:pPr>
        <w:spacing w:after="0" w:line="220" w:lineRule="auto"/>
        <w:rPr>
          <w:sz w:val="20"/>
          <w:szCs w:val="20"/>
          <w:color w:val="auto"/>
        </w:rPr>
      </w:pPr>
      <w:r>
        <w:rPr>
          <w:rFonts w:ascii="Arial" w:cs="Arial" w:eastAsia="Arial" w:hAnsi="Arial"/>
          <w:sz w:val="18"/>
          <w:szCs w:val="18"/>
          <w:color w:val="auto"/>
        </w:rPr>
        <w:t>July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to its approximately 7.5 million commercial lives. As a result,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will surpass 99 million lives as an in-network benefit for patients.</w:t>
      </w:r>
    </w:p>
    <w:p>
      <w:pPr>
        <w:spacing w:after="0" w:line="15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Last quarter we disclosed that the Centers for Medicare &amp; Medicaid Services (CMS) agreed, effective April 1, 2022, to recognize a new Proprietary Laboratory Analyses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that Noridian, our Medicare Administrative Contractor, priced this PLA code at $1,085 per test. The process for obtaining and maintaining consistent reimbursement for new tests (particularly for protein-based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During the quarter, we submitted to Noridian 3,749 claims for Medicare Part B reimbursement under our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As of August 1, 2022, 76 of these claims have been paid, 335 claims have been denied, 2,778 claims are subject to requests from Noridian for additional information (such as medical records), and the balance of those claims remain pending with no responses received as of this date.</w:t>
      </w:r>
    </w:p>
    <w:p>
      <w:pPr>
        <w:spacing w:after="0" w:line="194" w:lineRule="exact"/>
        <w:rPr>
          <w:sz w:val="20"/>
          <w:szCs w:val="20"/>
          <w:color w:val="auto"/>
        </w:rPr>
      </w:pPr>
    </w:p>
    <w:p>
      <w:pPr>
        <w:ind w:right="100"/>
        <w:spacing w:after="0" w:line="215" w:lineRule="auto"/>
        <w:rPr>
          <w:sz w:val="20"/>
          <w:szCs w:val="20"/>
          <w:color w:val="auto"/>
        </w:rPr>
      </w:pPr>
      <w:r>
        <w:rPr>
          <w:rFonts w:ascii="Arial" w:cs="Arial" w:eastAsia="Arial" w:hAnsi="Arial"/>
          <w:sz w:val="18"/>
          <w:szCs w:val="18"/>
          <w:color w:val="auto"/>
        </w:rPr>
        <w:t>While we are still gathering information from Noridian, we believe these denials and requests for additional information may be due in part to confusion regarding appropriate American Medical Association (AMA) Common Procedural Terminology (CPT) coding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includes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plus conventional antibody tests. We interpret AMA coding guidelines to support that we submit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using the individual codes that describe the other conventional antibody tests included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addition to the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Although we routinely include explanatory notes in our reimbursement requests, this practice can create confusion. We are actively working with Noridian on the issue.</w:t>
      </w:r>
    </w:p>
    <w:p>
      <w:pPr>
        <w:spacing w:after="0" w:line="193"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order to confirm coverage and payment of claims and in addition to ongoing discussions with Noridian regarding our coding approach,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We have not yet received a response. In the meantime, we will continue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w:t>
      </w:r>
    </w:p>
    <w:p>
      <w:pPr>
        <w:spacing w:after="0" w:line="19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However, until this reimbursement issue is resolved, we anticipate a significant interruption to our revenue from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with respect to Medicare claims. The aggregate amount of reimbursement we are seeking for our unpaid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in the second quarter of 2022 is approximately $ 4.0 million, and, as previously noted, all of the unpaid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are either under review, being appealed or subject to requests for additional information, which we are in the process of addressing. Variable consideration for these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Publications</w:t>
      </w:r>
    </w:p>
    <w:p>
      <w:pPr>
        <w:spacing w:after="0" w:line="221"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enables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ind w:right="100"/>
        <w:spacing w:after="0" w:line="287" w:lineRule="auto"/>
        <w:rPr>
          <w:sz w:val="20"/>
          <w:szCs w:val="20"/>
          <w:color w:val="auto"/>
        </w:rPr>
      </w:pPr>
      <w:r>
        <w:rPr>
          <w:rFonts w:ascii="Arial" w:cs="Arial" w:eastAsia="Arial" w:hAnsi="Arial"/>
          <w:sz w:val="18"/>
          <w:szCs w:val="18"/>
          <w:color w:val="auto"/>
        </w:rPr>
        <w:t>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full extent of which the COVID-19 pandemic will directly or indirectly continue to impact our business, results of operations and financial condition and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implemented business continuity plans designed to address the COVID-19 pandemic and minimize disruptions to ongoing operations. While for the three months ended June 30, 2022 as compared to the same period in 2021,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5%, and for the six months ended June 30, 2022 as compared to the same period in 2021,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6%, the patient flow and our related test volumes have in the past been, and may continue to be, impacted by the COVID-19 pandemic. We have experienced, and may again, experience significant impacts on our test volume, delays in patient enrollment for ongoing and planned clinical trials, and delays in procurement of our testing supplies as a result of the COVID-19 pandemic.</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COVID-19 travel limitations and government-mandated work-from-home or shelter-in-place orders have, and may again, cause supply chain delays or reduce the number of in-person meetings between our sales force and healthcare providers and limit the ability of our sales force to engage in various types of healthcare provider education activities, which may lead to a decline in orders of our testing products. To mitigate the impact of COVID-19 on our business, we put in place certain safety measures for our employees, patients, healthcare providers, and suppliers to limit exposure and a portion of our workforce was required to work remotely in an effort to reduce that spread of COVID-19.</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facing and may continue to face increased competition for laboratory and scientific employees due to the increased demand in the industry for such personnel. As the circumstances surrounding the COVID-19 pandemic remain uncertain, we may inaccurately estimate the duration or severity of the COVID-19 pandemic, which could, among other things, cause us to misalign our staffing, spending, activities and precautionary measures with market current or future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72" w:lineRule="exact"/>
        <w:rPr>
          <w:sz w:val="20"/>
          <w:szCs w:val="20"/>
          <w:color w:val="auto"/>
        </w:rPr>
      </w:pPr>
    </w:p>
    <w:p>
      <w:pPr>
        <w:ind w:left="660" w:right="80" w:hanging="328"/>
        <w:spacing w:after="0" w:line="238"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June 30, 2022,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over 680,000 of these tests. Through the second quarter of 2022, 65,822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6% growth over the same period in 2021. The number of ordering healthcare providers in the second quarter of 2022 was a record 2,273, representing an approximate 18% increase over the same period in 2021, and we had a record 797 adopting healthcare providers (defined as those who previously prescribed at least 11 diagnostic tests in the corresponding period) compared to 703 in the same period in 2021. A high percentage of adopting healthcare providers continue to order tests in subsequent quarters, as approximately 99% of adopting healthcare providers from the first quarter of 2022 ordered at least one diagnostic test in the second quarter of 2022. Revenue growth for our testing products will depend on our ability to continue to expand our base of ordering healthcare providers and increase our penetration with existing healthcare providers.</w:t>
      </w:r>
    </w:p>
    <w:p>
      <w:pPr>
        <w:spacing w:after="0" w:line="93" w:lineRule="exact"/>
        <w:rPr>
          <w:rFonts w:ascii="Arial" w:cs="Arial" w:eastAsia="Arial" w:hAnsi="Arial"/>
          <w:sz w:val="18"/>
          <w:szCs w:val="18"/>
          <w:b w:val="1"/>
          <w:bCs w:val="1"/>
          <w:i w:val="1"/>
          <w:iCs w:val="1"/>
          <w:color w:val="auto"/>
        </w:rPr>
      </w:pPr>
    </w:p>
    <w:p>
      <w:pPr>
        <w:ind w:left="660" w:right="100" w:hanging="328"/>
        <w:spacing w:after="0" w:line="259"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ind w:left="660" w:right="100"/>
        <w:spacing w:after="0" w:line="255" w:lineRule="auto"/>
        <w:rPr>
          <w:sz w:val="20"/>
          <w:szCs w:val="20"/>
          <w:color w:val="auto"/>
        </w:rPr>
      </w:pPr>
      <w:r>
        <w:rPr>
          <w:rFonts w:ascii="Arial" w:cs="Arial" w:eastAsia="Arial" w:hAnsi="Arial"/>
          <w:sz w:val="18"/>
          <w:szCs w:val="18"/>
          <w:color w:val="auto"/>
        </w:rPr>
        <w:t>third-party commercial payors, most of which have not contracted with us to be a participating provider. In addition to the challenges described under the heading "Overview - Recent Developments" above,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73" w:lineRule="exact"/>
        <w:rPr>
          <w:sz w:val="20"/>
          <w:szCs w:val="20"/>
          <w:color w:val="auto"/>
        </w:rPr>
      </w:pPr>
    </w:p>
    <w:p>
      <w:pPr>
        <w:ind w:left="660" w:right="60" w:hanging="328"/>
        <w:spacing w:after="0"/>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with SIMPONI</w:t>
      </w:r>
      <w:r>
        <w:rPr>
          <w:rFonts w:ascii="Arial" w:cs="Arial" w:eastAsia="Arial" w:hAnsi="Arial"/>
          <w:sz w:val="23"/>
          <w:szCs w:val="23"/>
          <w:color w:val="auto"/>
          <w:vertAlign w:val="superscript"/>
        </w:rPr>
        <w:t>®</w:t>
      </w:r>
      <w:r>
        <w:rPr>
          <w:rFonts w:ascii="Arial" w:cs="Arial" w:eastAsia="Arial" w:hAnsi="Arial"/>
          <w:sz w:val="18"/>
          <w:szCs w:val="18"/>
          <w:color w:val="auto"/>
        </w:rPr>
        <w:t>,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co-promotion revenue and approximately $0.6 million in revenue during the six months ended June 30, 2022 and 2021, respectively. We will continue to rely on our existing testing products to drive revenue growth.</w:t>
      </w:r>
    </w:p>
    <w:p>
      <w:pPr>
        <w:spacing w:after="0" w:line="84" w:lineRule="exact"/>
        <w:rPr>
          <w:rFonts w:ascii="Arial" w:cs="Arial" w:eastAsia="Arial" w:hAnsi="Arial"/>
          <w:sz w:val="18"/>
          <w:szCs w:val="18"/>
          <w:color w:val="auto"/>
        </w:rPr>
      </w:pPr>
    </w:p>
    <w:p>
      <w:pPr>
        <w:ind w:left="660" w:right="20" w:hanging="328"/>
        <w:spacing w:after="0" w:line="241"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5" w:lineRule="exact"/>
        <w:rPr>
          <w:rFonts w:ascii="Arial" w:cs="Arial" w:eastAsia="Arial" w:hAnsi="Arial"/>
          <w:sz w:val="18"/>
          <w:szCs w:val="18"/>
          <w:color w:val="auto"/>
        </w:rPr>
      </w:pPr>
    </w:p>
    <w:p>
      <w:pPr>
        <w:ind w:left="660" w:right="100" w:hanging="328"/>
        <w:spacing w:after="0" w:line="282"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660" w:hanging="328"/>
        <w:spacing w:after="0" w:line="246"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660" w:right="60" w:hanging="328"/>
        <w:spacing w:after="0" w:line="244"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a payor and other factors. Variable consideration for the open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 Changes to such estimates may increase or decrease revenue recognized in future periods.</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While each of these areas presents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2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December 2018, we entered into the Janssen Agreement, under which we were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we and Janssen mutually agreed to terminate the Janssen Agreement effective August 31, 2021. Pursuant to the Janssen Agreement, as amended,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ind w:right="20"/>
        <w:spacing w:after="0" w:line="262" w:lineRule="auto"/>
        <w:rPr>
          <w:sz w:val="20"/>
          <w:szCs w:val="20"/>
          <w:color w:val="auto"/>
        </w:rPr>
      </w:pPr>
      <w:r>
        <w:rPr>
          <w:rFonts w:ascii="Arial" w:cs="Arial" w:eastAsia="Arial" w:hAnsi="Arial"/>
          <w:sz w:val="18"/>
          <w:szCs w:val="18"/>
          <w:color w:val="auto"/>
        </w:rPr>
        <w:t>quarter over a predetermined baseline. Upon termination of the Janssen Agreement on August 31, 2021, we became entitled to receive an aggregate of $0.6 million in consideration, which was earned in the year ended December 31, 2021. Pursuant to the terms of the termination, we were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recognized no revenue and approximately $0.6 million in revenue during the six months ended June 30, 2022 and 2021, respectively, for our promotional efforts under the Janssen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and other factors. These assessments require significant judgment by management.</w:t>
      </w:r>
    </w:p>
    <w:p>
      <w:pPr>
        <w:spacing w:after="0" w:line="171"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As more fully described under the heading "Overview - Recent Developments" above, we experienced a disruption in our revenue recognition and cash collection during the quarter ended June 30, 2022 in relation to Medicare Part B reimbursements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Variable consideration for the open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w:t>
      </w:r>
    </w:p>
    <w:p>
      <w:pPr>
        <w:spacing w:after="0" w:line="19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of 2020. However, the continued spread of COVID-19, including any of its viral variants, may adversely affect testing volumes in future periods, and the extent of any such adverse effects is highly uncertain.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2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ind w:right="160"/>
        <w:spacing w:after="0" w:line="268"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other volume efficiencies we may gain as the number of tests we perform increases. The decrease in cost per test may be partially offset due to increased depreciation and allocated overhead associated with our clinical laboratory expansion as well as increased labor, material and shipping costs (including as a result of inflation) associated with the commercialization of our portfolio products. As discussed above, the continued spread of COVID-19 may adversely affect testing volumes which may result in an increase in cost per test due to our inability to realize volume efficiencies.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2022 as compared to 2021, due to expected additions to headcount and associated increases for personnel costs, including stock-based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expect that our research and development expenses will increase in absolute dollars in 2022 as compared to 2021, as we continue to invest in research and development activities related to our existing testing products and product candidates, including the expansion of our clinical research and development facility, expected additions to headcount and associated increases for personnel costs, including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(Innovatus).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substantially consistent in the near 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interest income earned on our cash and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information has been adjusted to reflect the restatement of our financial statements as described in the "Explanatory Note" at the beginning of this Amended Quarterly Report and in Note 1, "Restatement of Previously Issued Financial Statements," in the Notes to Condensed Financial Statements of this Amended Quarterly Report.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Restated)</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1,732</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(8,322)</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(14,665)</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(8,255)</w:t>
            </w:r>
          </w:p>
        </w:tc>
      </w:tr>
      <w:tr>
        <w:trPr>
          <w:trHeight w:val="24"/>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decreased $5.2 million, or 40.4%, for the three months ended June 30, 2022 compared to the three months ended June 30, 2021, primarily due a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of $ 4.5 million. The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was primarily due to (i)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(ii) a net negative adjustment associated with changes in estimated variable consideration related to performance obligations satisfied in previous periods and (iii) uncertainty of the outcome of certain claims, which have been deemed fully constrained.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77% of revenue in each of the three months ended June 30, 2022 and 2021, increased to 34,919 tests delivered in the three months ended June 30, 2022 compared to 33,328 tests delivered in the same 2021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healthcare providers for the three months ended June 30, 2022 increased to 2,273 ordering healthcare providers as compared to 1,934 ordering healthcare providers in the same 2021 period. Revenue resulting from the Janssen Agreement contributed no revenue for the three months ended June 30, 2022 compared to $0.3 million for the three months ended June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Costs of revenue increased $0.6 million, or 11.5%, for the three months ended June 30, 2022 compared to the three months ended June 30, 2021. This increase was primarily due to increased direct costs such as labor, materials and supplies, shipping and handling and allocated overhead associated with the increase in test volume in 2022 compared to 2021. Gross margin as a percentage of revenue decreased to 20.1% for the three months ended June 30, 2022, compared to 57.3% for the three months ended June 30, 2021. This was primarily attributable to a decrease in average reimbursement per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 and a decrease in revenue resulting from the Janssen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Selling, general and administrative expenses increased $1.7 million, or 15.5%, for the three months ended June 30, 2022 compared to the three months ended June 30, 2021. This increase was primarily due to an increase of $0.8 million of employee related expenses, including stock-based compensation and recruitment expenses, increases related to audit and professional services of $ 0.2 million, legal fees of $0.2 million, marketing expenses of $0.2 million, allocated overhead of $0.2 million and insurance expenses of $0.1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Research and development expenses increased $ 0.8 million for the three months ended June 30, 2022 compared to the three months ended June 30, 2021. This increase was primarily due to increases in expenses related to current, former and potential future employees, including severance, stock-based compensation and recruitment expenses of $0.7 million, collaboration expenses of $0.4 million, laboratory supplies expense of $0.2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3" w:name="page34"/>
    <w:bookmarkEnd w:id="33"/>
    <w:p>
      <w:pPr>
        <w:ind w:right="100"/>
        <w:spacing w:after="0" w:line="287" w:lineRule="auto"/>
        <w:rPr>
          <w:sz w:val="20"/>
          <w:szCs w:val="20"/>
          <w:color w:val="auto"/>
        </w:rPr>
      </w:pPr>
      <w:r>
        <w:rPr>
          <w:rFonts w:ascii="Arial" w:cs="Arial" w:eastAsia="Arial" w:hAnsi="Arial"/>
          <w:sz w:val="18"/>
          <w:szCs w:val="18"/>
          <w:color w:val="auto"/>
        </w:rPr>
        <w:t>consulting costs of $0.1 million and allocated overhead of $0.1 million, partially offset by decreases in license fees of $0.4 million and clinical trial expenses of $0.3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Interest expense remained substantially consistent for the three months ended June 30, 2022 compared to the three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 income (expense), net, remained substantially consistent for the three months ended June 30, 2022 compared to the three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Restated)</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25,055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7,075</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(12,434)</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(24,937)</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(12,318)</w:t>
            </w:r>
          </w:p>
        </w:tc>
      </w:tr>
      <w:tr>
        <w:trPr>
          <w:trHeight w:val="25"/>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Revenue decreased $5.4 million, or 22.9%, for the six months ended June 30, 2022 compared to the six months ended June 30, 2021, primarily due a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of $ 4.4 million. The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was primarily due to (i)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(ii) a net negative adjustment associated with changes in estimated variable consideration related to performance obligations satisfied in previous periods and (iii) uncertainty of the outcome of certain claims, which have been deemed fully constrained.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of revenue in each of the six months ended June 30, 2022 and 2021, respectively, increased to 65,822 tests delivered in the six months ended June 30, 2022 compared to 62,357 tests delivered in the same 2021 period. The number of ordering healthcare providers increased to 2,273 for the three months ended June 30, 2022 compared to 1,934 in the same 2021 period. Revenue resulting from the Janssen Agreement contributed no revenue for the six months ended June 30, 2022 compared to $0.6 million during the six months ended June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Costs of revenue increased $1.7 million, or 17.1%, for the six months ended June 30, 2022 compared to the six months ended June 30, 2021. This increase was primarily due to increased direct costs such as materials and supplies, labor, shipping and handling and allocated overhead associated with the increase in test volume and increase in cost per test in 2022 compared to 2021. Gross margin as a percentage of revenue decreased to 33.9% for the six months ended June 30, 2022, compared to 56.5% for the six months ended June 30, 2021. This was primarily attributable to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an increase in cost per test, and a decrease in revenue resulting from the Janssen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jc w:val="both"/>
        <w:ind w:right="160"/>
        <w:spacing w:after="0" w:line="262" w:lineRule="auto"/>
        <w:rPr>
          <w:sz w:val="20"/>
          <w:szCs w:val="20"/>
          <w:color w:val="auto"/>
        </w:rPr>
      </w:pPr>
      <w:r>
        <w:rPr>
          <w:rFonts w:ascii="Arial" w:cs="Arial" w:eastAsia="Arial" w:hAnsi="Arial"/>
          <w:sz w:val="18"/>
          <w:szCs w:val="18"/>
          <w:color w:val="auto"/>
        </w:rPr>
        <w:t>Selling, general and administrative expenses increased $3.8 million, or 18.1%, for the six months ended June 30, 2022 compared to the six months ended June 30, 2021. This increase was primarily due to an increase of $2.4 million of employee related expenses, including stock-based compensation and recruitment expenses, increases related to allocated overhead of $0.4 million, legal fees of $0.4 million, audit and professional services of $0.2 million, marketing expenses of $0.2 million and insurance expenses of $0.1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increased $ 1.5 million, or 45.5%, for the six months ended June 30, 2022 compared to the six months ended June 30, 2021. This increase was primarily due to increases in expenses related to current, former and potential employees, including severance, stock-based compensation and recruitment expenses of $1.2 million, collaboration expenses of $0.5 million, allocated overhead of $0.3 million, laboratory supplies expense of $0.3 million and consulting fees of $0.1 million, partially offset by decreases in clinical trial expenses of $0.4 million and license fees of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Interest expense remained substantially consistent for the six months ended June 30, 2022 compared to the six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Other income (expense), net, remained substantially consistent for the six months ended June 30, 2022 compared to the six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incurred net losses since our inception. For the six months ended June 30, 2022 and 2021, we incurred a net loss of $ 24.9 million and $ 12.6 million, respectively, and we expect to incur additional losses and increased operating expenses in future periods. As of June 30, 2022, we had an accumulated deficit of $233.1 million. To date, we have generated only limited revenue, and we may never achieve revenue sufficient to offset our expenses.</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primary sources of capital have been sales of our common stock and redeemable convertible preferred stock, the sale of our common stock in our IPO, and, to a lesser extent, borrowings under various debt financings. On November 10, 2020, we filed a registration statement on Form S-3 (Shelf Registration Statement), which was declared effective by the SEC on November 19, 2020, covering the offering, from time to time, of up to $150.0 million of common stock, preferred stock, debt securities, warrants and units. In March 2021, we completed a 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$ 4.4 million. As of June 30, 2022, we had $76.4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 premium. The prepayment premium was 3% as of November 2021 and decreases by 1% on each of November 1, 2022, November 1, 2023 and November 1, 2024.</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As of June 30, 2022,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began such conversion in the second half of 2021 and completed the conversion for the clinical laboratory space in the second quarter of 2022 and expect to complete the conversion for the additional research and development facility in the second half of 2022. The converted clinical laboratory space is currently being utilized for both clinical laboratory and research and development purposes.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the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5"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60" w:lineRule="exact"/>
        <w:rPr>
          <w:rFonts w:ascii="Arial" w:cs="Arial" w:eastAsia="Arial" w:hAnsi="Arial"/>
          <w:sz w:val="18"/>
          <w:szCs w:val="18"/>
          <w:color w:val="auto"/>
        </w:rPr>
      </w:pPr>
    </w:p>
    <w:p>
      <w:pPr>
        <w:ind w:left="660" w:right="80" w:hanging="328"/>
        <w:spacing w:after="0" w:line="23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6" w:name="page37"/>
    <w:bookmarkEnd w:id="36"/>
    <w:p>
      <w:pPr>
        <w:ind w:left="660" w:right="14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if any, including the expansion of our sales capabilities, and the extent and timing of generating revenue from each such promotion, if any.</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95"/>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204"/>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(8,762)</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19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64,771</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(23,055)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2022 was $19.7 million and primarily resulted from (i) our net loss of $24.9 million adjusted for non-cash charges of $ 4.3 million related to stock-based compensation, depreciation, amortization, non-cash lease expense and non-cash interest and (ii) changes in our net operating assets of $0.9 million primarily related to net decreases in accrued and other current liabilities and operating lease liabilities, partially offset by net increases in accounts payable and net decreases in prepaid expenses and other current assets.</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Net cash used in operating activities for the six months ended June 30, 2021 was $8.8 million and primarily resulted from (i) our net loss of $12.6 million adjusted for non-cash charges of $3.0 million related to stock-based compensation, depreciation, amortization and non-cash interest and (ii) changes in our net operating assets of $0.8 million primarily related to net decreases in prepaid expenses and other current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Net cash used in investing activities for the six months ended June 30, 2022 and 2021 was $3.0 million and $0.9 million, respectively, and was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7" w:name="page38"/>
    <w:bookmarkEnd w:id="37"/>
    <w:p>
      <w:pPr>
        <w:ind w:right="40"/>
        <w:spacing w:after="0" w:line="287" w:lineRule="auto"/>
        <w:rPr>
          <w:sz w:val="20"/>
          <w:szCs w:val="20"/>
          <w:color w:val="auto"/>
        </w:rPr>
      </w:pPr>
      <w:r>
        <w:rPr>
          <w:rFonts w:ascii="Arial" w:cs="Arial" w:eastAsia="Arial" w:hAnsi="Arial"/>
          <w:sz w:val="18"/>
          <w:szCs w:val="18"/>
          <w:color w:val="auto"/>
        </w:rPr>
        <w:t>Net cash used in financing activities for the six months ended June 30, 2022 was $0.3 million and primarily resulted from payment on finance lease obligations and payment of taxes withheld on vested restricted stock units, partially offset by proceeds from ESPP purchases.</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financing activities for the six months ended June 30, 2021 was $64.8 million primarily resulted from the net proceeds received from our public offering in March 2021 of $64.7 million and proceeds from ESPP purchases, partially offset by principal payments on finance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(GAAP). The year-end condensed balance sheet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 Estimates</w:t>
      </w:r>
      <w:r>
        <w:rPr>
          <w:rFonts w:ascii="Arial" w:cs="Arial" w:eastAsia="Arial" w:hAnsi="Arial"/>
          <w:sz w:val="18"/>
          <w:szCs w:val="18"/>
          <w:color w:val="auto"/>
        </w:rPr>
        <w:t>" contained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2021. Except as disclosed in Note 2 to the unaudited condensed financial statements included in this Amended Quarterly Report on Form 10-Q/A, there have been no significant changes in our critical accounting policies and estimates during the three months ended June 30, 2022 as compared to the critical accounting policies and estimates disclosed in the Management’s Discussion and Analysis of Financial Condition and Operations included in our Annual Report on Form 10-K for the year ended December 31, 2021 filed with the SEC on March 22,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Please see Note 2 to the unaudited condensed financial statements included in this Amended Quarterly Report on Form 10-Q/A for a summary of changes in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700" w:firstLine="8"/>
        <w:spacing w:after="0" w:line="258"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the end of the period covered by this Amended Quarterly Report on Form 10-Q/A, 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Exchange Act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7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concluded that these were material errors in the financial statements requiring a restatement of the Form 10-Q for the three and six months ended June 30, 2022.</w:t>
      </w:r>
    </w:p>
    <w:p>
      <w:pPr>
        <w:spacing w:after="0" w:line="153"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Accordingly, management has determined that this control deficiency constituted a material weakness and, as a result, management has concluded that, as of June 30, 2022, our internal control over financial reporting was not effective based on the criteria in Internal Control Integrated Framework (2013) issued by the Committee of Sponsoring Organizations of the Treadway Commission (the COSO criteria).</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Based on that evaluation, our principal executive officer and principal financial officer concluded that our disclosure controls and procedures were not effective to ensure that the information required to be disclosed by us in reports that we file or submit under the Exchange Act is recorded, processed, summarized and reported within the time periods specified in the SEC’s rules and forms.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to Address the Material Weaknesses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is actively engaged in the planning for, and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 The weakness will not be considered remediated, however, until the applicable controls operate for a sufficient period of time and management has concluded, through testing, that these controls are operating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Other than the material weakness and remediation plan discussed above, there were no changes in our internal control over financial reporting (as such term is defined by Rules 13a-15(f) and 15d-15(f) of the Exchange Act)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ind w:right="220"/>
        <w:spacing w:after="0" w:line="271" w:lineRule="auto"/>
        <w:rPr>
          <w:sz w:val="20"/>
          <w:szCs w:val="20"/>
          <w:color w:val="auto"/>
        </w:rPr>
      </w:pPr>
      <w:r>
        <w:rPr>
          <w:rFonts w:ascii="Arial" w:cs="Arial" w:eastAsia="Arial" w:hAnsi="Arial"/>
          <w:sz w:val="18"/>
          <w:szCs w:val="18"/>
          <w:color w:val="auto"/>
        </w:rPr>
        <w:t>during the most recent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2021, other than those set forth below:</w:t>
      </w:r>
    </w:p>
    <w:p>
      <w:pPr>
        <w:spacing w:after="0" w:line="168"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determined that our disclosure controls and procedures were ineffective as of June 30, 2022,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Securities and Exchange Act of 1934, as amended,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and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then determined that there were material errors in the financial statements requiring a restatement of the Form 10-Q for the three and six months ended June 30, 2022.</w:t>
      </w:r>
    </w:p>
    <w:p>
      <w:pPr>
        <w:spacing w:after="0" w:line="99"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Accordingly, management has determined that this control deficiency constituted a material weakness and, as a result, management has concluded that, as of June 30, 2022, our internal control over financial reporting was not effective based on the criteria in Internal Control Integrated Framework (2013) issued by the Committee of Sponsoring Organizations of the Treadway Commission (the COSO criteria).</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Management is actively engaged in the planning for, and implementation of, remediation efforts to address the material weakness. The remediation plan includes: (i) evaluating the staffing level, skills and qualification of accounting department personnel, (ii) enhancement of our existing control structure and processes for revenue recognition and (iii) improving the detailed review process of our revenue recognition models. The elements of our</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1" w:name="page42"/>
    <w:bookmarkEnd w:id="41"/>
    <w:p>
      <w:pPr>
        <w:ind w:right="220"/>
        <w:spacing w:after="0" w:line="287" w:lineRule="auto"/>
        <w:rPr>
          <w:sz w:val="20"/>
          <w:szCs w:val="20"/>
          <w:color w:val="auto"/>
        </w:rPr>
      </w:pPr>
      <w:r>
        <w:rPr>
          <w:rFonts w:ascii="Arial" w:cs="Arial" w:eastAsia="Arial" w:hAnsi="Arial"/>
          <w:sz w:val="18"/>
          <w:szCs w:val="18"/>
          <w:color w:val="auto"/>
        </w:rPr>
        <w:t>remediation plan can only be accomplished over time, and we can offer no assurance that these initiatives will ultimately have the intended effects.</w:t>
      </w:r>
    </w:p>
    <w:p>
      <w:pPr>
        <w:spacing w:after="0" w:line="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are not able to comply with the applicable requirements of the Sarbanes-Oxley Act of 2002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7"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our revenues, gross margins and commercial success could be materially adversely affected.</w:t>
      </w:r>
    </w:p>
    <w:p>
      <w:pPr>
        <w:spacing w:after="0" w:line="1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Successful commercialization of our tests depends, in large part, on the availability of coverage and adequate reimbursement from third-party payors, including government payors, such as Medicare and Medicaid, and private insurers. For the tests that we develop and commercialize, each third-party payor decides whether to cover the test, the amount it will reimburse for a test and the specific conditions for reimbursement.</w:t>
      </w:r>
    </w:p>
    <w:p>
      <w:pPr>
        <w:spacing w:after="0" w:line="122" w:lineRule="exact"/>
        <w:rPr>
          <w:sz w:val="20"/>
          <w:szCs w:val="20"/>
          <w:color w:val="auto"/>
        </w:rPr>
      </w:pPr>
    </w:p>
    <w:p>
      <w:pPr>
        <w:ind w:right="920"/>
        <w:spacing w:after="0" w:line="284"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2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not experimental or investigational;</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medically necessary;</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demonstrated to lead to improved patient outcomes;</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appropriate for the specific patient;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cost-saving or cost-effective;</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supported by peer-reviewed medical journals; and</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included in clinical guidelines.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tests, they may not provide coverage, or may provide limited coverage, which will adversely affect our revenue and our ability to succeed. In addition, clinicians may be less likely to order a test unless a third-party payor pays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 Moreover, the COVID-19 pandemic may cause a delay in coverage decisions from Medicare and third-party payors, and has delayed ongoing and planned clinical trials involving our tests, the occurrence of which may have a material adverse effect on our business.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used by third-party payors and healthcare providers as grounds to deny coverage for or refuse to use a test or procedure. In addition, third-party payors have increased their efforts to control the cost, utilization and delivery of healthcare services. These measures have resulted in reduced payment rates and decreased utilization for the diagnostics industry.</w:t>
      </w:r>
    </w:p>
    <w:p>
      <w:pPr>
        <w:spacing w:after="0" w:line="12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Effective April 25, 2012, Palmetto GBA, the Medicare molecular diagnostic services program contractor, or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Healthcare Solutions, LLC, or Noridian, has adopted this coverage policy.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jc w:val="both"/>
        <w:ind w:right="180"/>
        <w:spacing w:after="0" w:line="237" w:lineRule="auto"/>
        <w:rPr>
          <w:sz w:val="20"/>
          <w:szCs w:val="20"/>
          <w:color w:val="auto"/>
        </w:rPr>
      </w:pPr>
      <w:r>
        <w:rPr>
          <w:rFonts w:ascii="Arial" w:cs="Arial" w:eastAsia="Arial" w:hAnsi="Arial"/>
          <w:sz w:val="17"/>
          <w:szCs w:val="17"/>
          <w:color w:val="auto"/>
        </w:rPr>
        <w:t>We experienced a disruption in our revenue recognition and cash collection during the quarter ended June 30, 2022 in relation to Medicare Part B reimbursements for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test and may experience future disruptions in this revenue and cash collection. Effective April 1, 2022 CMS recognized a new PLA code for our protein-based test,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and Noridian priced this PLA code at $1,085 per test. The process for establishing reimbursement for new tests can be uncertain, lengthy and time consuming. A pricing determination is not</w:t>
      </w:r>
    </w:p>
    <w:p>
      <w:pPr>
        <w:spacing w:after="0" w:line="1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synonymous with a coverage determination. Having a price associated with the PLA code for any particular test does not secure coverage or reimbursement for that PLA code from Medicare or any other third-party payor.</w:t>
      </w:r>
    </w:p>
    <w:p>
      <w:pPr>
        <w:spacing w:after="0" w:line="9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Beginning April 1 2022, we billed Noridian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under its new PLA code. However, to date, we have received few payments, with the substantial majority of these claims either resulting in requests for additional information and denials from Noridian. In order to confirm coverage and payment of claims,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This request may not be successful, and we may ultimately be required to pursue additional strategies for reimbursement with Noridian, which may include seeking a local coverage determination or a local coverage article. These alternative strategies may not be successful and, even if successful, may be time-consuming, resource intensive and require multiple quarterly or annual periods to complete. During the pendency of these efforts, we may be unable to collect reimbursement from Noridian for all or some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claims, which could again result in a disruption in recognizing related revenue for billed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claims. If our efforts to seek reimbursement are ultimately unsuccessful, we may not receive any revenue or cash from these claims.</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Other third-party payors make their own decisions as to whether to establish a policy to reimburse for our tests. Because approvals must be sought on a payor-by-payor basis, establishing broad coverage is a time-consuming and costly process. There are many third-party payors who have not yet established a coverage policy applicable to our tests. In addition, several Blue Cross Blue Shield plans and Aetna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3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While our tests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and cash to fluctuate from period to period.</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are not successful in reversing existing non-coverage policies, obtaining and maintaining consistent reimbursement for billed tests or if other third-party payors issue negative coverage policies, these policies could have a material adverse effect on our business and operations. Even if many third-party payors currently reimburse for our testing products, such payors may withdraw coverage at any time, review and adjust the rate of reimbursement, require co-payments from patients or stop paying for our tests altogether, any of which would reduce our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116"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3" w:name="page44"/>
    <w:bookmarkEnd w:id="43"/>
    <w:p>
      <w:pPr>
        <w:ind w:left="660" w:right="1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116"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16" w:lineRule="exact"/>
        <w:rPr>
          <w:rFonts w:ascii="Arial" w:cs="Arial" w:eastAsia="Arial" w:hAnsi="Arial"/>
          <w:sz w:val="18"/>
          <w:szCs w:val="18"/>
          <w:color w:val="auto"/>
        </w:rPr>
      </w:pPr>
    </w:p>
    <w:p>
      <w:pPr>
        <w:ind w:left="660" w:right="32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22"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98"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71"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98"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7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44" w:name="page45"/>
    <w:bookmarkEnd w:id="44"/>
    <w:p>
      <w:pPr>
        <w:ind w:right="80"/>
        <w:spacing w:after="0" w:line="256" w:lineRule="auto"/>
        <w:rPr>
          <w:sz w:val="20"/>
          <w:szCs w:val="20"/>
          <w:color w:val="auto"/>
        </w:rPr>
      </w:pPr>
      <w:r>
        <w:rPr>
          <w:rFonts w:ascii="Arial" w:cs="Arial" w:eastAsia="Arial" w:hAnsi="Arial"/>
          <w:sz w:val="18"/>
          <w:szCs w:val="18"/>
          <w:color w:val="auto"/>
        </w:rPr>
        <w:t>subject to review by applicable government agencies. However, these laws and regulations are subject to change and additional interpretation and guidance from regulatory authorities. For instance, in April 2022, the Department of Health and Human Services Office of Inspector General issued a new advisory opinion indicating that a particular clinical laboratory’s practice of contracting with hospitals for the collection of samples for testing could, based on the facts provided and assuming the requisite intent, be a violation of the federal Anti-Kickback Statute. If this Advisory Opinion ultimately limits our ability to collect samples in a hospital setting, we may be required to contract for sample collection with other collection sites or sources, such as mobile phlebotomists, that could be more expensive and less convenient for patients, which could adversely affect both demand for our tests and the margins and profitability of our tests.</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2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18"/>
          <w:szCs w:val="18"/>
          <w:color w:val="auto"/>
        </w:rPr>
        <w:t>As of June 30, 2022, we have used all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46" w:name="page47"/>
    <w:bookmarkEnd w:id="46"/>
    <w:p>
      <w:pPr>
        <w:jc w:val="center"/>
        <w:ind w:right="397"/>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23"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rPr>
              <w:t>Exhibit</w:t>
            </w:r>
          </w:p>
        </w:tc>
        <w:tc>
          <w:tcPr>
            <w:tcW w:w="3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12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9"/>
              </w:rPr>
              <w:t>Filed/Furnished</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-6985</wp:posOffset>
            </wp:positionV>
            <wp:extent cx="6069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sectPr>
      </w:pPr>
    </w:p>
    <w:p>
      <w:pPr>
        <w:spacing w:after="0" w:line="3" w:lineRule="exact"/>
        <w:rPr>
          <w:sz w:val="20"/>
          <w:szCs w:val="20"/>
          <w:color w:val="auto"/>
        </w:rPr>
      </w:pPr>
    </w:p>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120" w:type="dxa"/>
            <w:vAlign w:val="bottom"/>
            <w:gridSpan w:val="26"/>
          </w:tcPr>
          <w:p>
            <w:pPr>
              <w:spacing w:after="0"/>
              <w:rPr>
                <w:rFonts w:ascii="Arial" w:cs="Arial" w:eastAsia="Arial" w:hAnsi="Arial"/>
                <w:sz w:val="14"/>
                <w:szCs w:val="14"/>
                <w:color w:val="0000FF"/>
              </w:rPr>
            </w:pPr>
            <w:hyperlink r:id="rId57">
              <w:r>
                <w:rPr>
                  <w:rFonts w:ascii="Arial" w:cs="Arial" w:eastAsia="Arial" w:hAnsi="Arial"/>
                  <w:sz w:val="14"/>
                  <w:szCs w:val="14"/>
                  <w:color w:val="0000FF"/>
                </w:rPr>
                <w:t>Amended and Restated Certificate of</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9/23/2019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Incorporation.</w:t>
              </w:r>
            </w:hyperlink>
          </w:p>
        </w:tc>
        <w:tc>
          <w:tcPr>
            <w:tcW w:w="148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3120" w:type="dxa"/>
            <w:vAlign w:val="bottom"/>
            <w:gridSpan w:val="26"/>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Bylaws.</w:t>
              </w:r>
            </w:hyperlink>
          </w:p>
        </w:tc>
        <w:tc>
          <w:tcPr>
            <w:tcW w:w="94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3/22/2021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120" w:type="dxa"/>
            <w:vAlign w:val="bottom"/>
            <w:tcBorders>
              <w:bottom w:val="single" w:sz="8" w:color="0000FF"/>
            </w:tcBorders>
            <w:gridSpan w:val="26"/>
          </w:tcPr>
          <w:p>
            <w:pPr>
              <w:spacing w:after="0"/>
              <w:rPr>
                <w:rFonts w:ascii="Arial" w:cs="Arial" w:eastAsia="Arial" w:hAnsi="Arial"/>
                <w:sz w:val="14"/>
                <w:szCs w:val="14"/>
                <w:color w:val="0000FF"/>
              </w:rPr>
            </w:pPr>
            <w:hyperlink r:id="rId59">
              <w:r>
                <w:rPr>
                  <w:rFonts w:ascii="Arial" w:cs="Arial" w:eastAsia="Arial" w:hAnsi="Arial"/>
                  <w:sz w:val="14"/>
                  <w:szCs w:val="14"/>
                  <w:color w:val="0000FF"/>
                </w:rPr>
                <w:t>Specimen stock certificate evidencing the shares</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120" w:type="dxa"/>
            <w:vAlign w:val="bottom"/>
            <w:gridSpan w:val="26"/>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of common stock.</w:t>
              </w:r>
            </w:hyperlink>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20" w:type="dxa"/>
            <w:vAlign w:val="bottom"/>
            <w:gridSpan w:val="26"/>
          </w:tcPr>
          <w:p>
            <w:pPr>
              <w:spacing w:after="0"/>
              <w:rPr>
                <w:rFonts w:ascii="Arial" w:cs="Arial" w:eastAsia="Arial" w:hAnsi="Arial"/>
                <w:sz w:val="14"/>
                <w:szCs w:val="14"/>
                <w:color w:val="0000FF"/>
              </w:rPr>
            </w:pPr>
            <w:hyperlink r:id="rId60">
              <w:r>
                <w:rPr>
                  <w:rFonts w:ascii="Arial" w:cs="Arial" w:eastAsia="Arial" w:hAnsi="Arial"/>
                  <w:sz w:val="14"/>
                  <w:szCs w:val="14"/>
                  <w:color w:val="0000FF"/>
                </w:rPr>
                <w:t>Amended and Restated Investors' Rights</w:t>
              </w:r>
            </w:hyperlink>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Agreement, dated July 12, 2019, by and</w:t>
              </w:r>
            </w:hyperlink>
          </w:p>
        </w:tc>
        <w:tc>
          <w:tcPr>
            <w:tcW w:w="520" w:type="dxa"/>
            <w:vAlign w:val="bottom"/>
            <w:gridSpan w:val="12"/>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60">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rFonts w:ascii="Arial" w:cs="Arial" w:eastAsia="Arial" w:hAnsi="Arial"/>
                <w:sz w:val="14"/>
                <w:szCs w:val="14"/>
                <w:color w:val="0000FF"/>
              </w:rPr>
            </w:pPr>
            <w:hyperlink r:id="rId61">
              <w:r>
                <w:rPr>
                  <w:rFonts w:ascii="Arial" w:cs="Arial" w:eastAsia="Arial" w:hAnsi="Arial"/>
                  <w:sz w:val="14"/>
                  <w:szCs w:val="14"/>
                  <w:color w:val="0000FF"/>
                </w:rPr>
                <w:t>Amended and Restated Stockholders'</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120" w:type="dxa"/>
            <w:vAlign w:val="bottom"/>
            <w:gridSpan w:val="26"/>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Agreement, dated July 12, 2019, by and 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rFonts w:ascii="Arial" w:cs="Arial" w:eastAsia="Arial" w:hAnsi="Arial"/>
                <w:sz w:val="14"/>
                <w:szCs w:val="14"/>
                <w:color w:val="0000FF"/>
              </w:rPr>
            </w:pPr>
            <w:hyperlink r:id="rId62">
              <w:r>
                <w:rPr>
                  <w:rFonts w:ascii="Arial" w:cs="Arial" w:eastAsia="Arial" w:hAnsi="Arial"/>
                  <w:sz w:val="14"/>
                  <w:szCs w:val="14"/>
                  <w:color w:val="0000FF"/>
                </w:rPr>
                <w:t>Form of Common Stock Purchase Warrant</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gridSpan w:val="26"/>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connection with private placement financings.</w:t>
              </w:r>
            </w:hyperlink>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80" w:type="dxa"/>
            <w:vAlign w:val="bottom"/>
            <w:tcBorders>
              <w:top w:val="single" w:sz="8" w:color="0000FF"/>
            </w:tcBorders>
            <w:gridSpan w:val="20"/>
          </w:tcPr>
          <w:p>
            <w:pPr>
              <w:spacing w:after="0"/>
              <w:rPr>
                <w:rFonts w:ascii="Arial" w:cs="Arial" w:eastAsia="Arial" w:hAnsi="Arial"/>
                <w:sz w:val="14"/>
                <w:szCs w:val="14"/>
                <w:color w:val="0000FF"/>
              </w:rPr>
            </w:pPr>
            <w:hyperlink r:id="rId63">
              <w:r>
                <w:rPr>
                  <w:rFonts w:ascii="Arial" w:cs="Arial" w:eastAsia="Arial" w:hAnsi="Arial"/>
                  <w:sz w:val="14"/>
                  <w:szCs w:val="14"/>
                  <w:color w:val="0000FF"/>
                </w:rPr>
                <w:t>Form of Common Stock Purchase Warrant to</w:t>
              </w:r>
            </w:hyperlink>
          </w:p>
        </w:tc>
        <w:tc>
          <w:tcPr>
            <w:tcW w:w="24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4.5</w:t>
            </w:r>
          </w:p>
        </w:tc>
        <w:tc>
          <w:tcPr>
            <w:tcW w:w="3120" w:type="dxa"/>
            <w:vAlign w:val="bottom"/>
            <w:gridSpan w:val="26"/>
          </w:tcPr>
          <w:p>
            <w:pPr>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purchase common stock issued to investors by</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4.8</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63">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5"/>
          </w:tcPr>
          <w:p>
            <w:pPr>
              <w:spacing w:after="0"/>
              <w:rPr>
                <w:rFonts w:ascii="Arial" w:cs="Arial" w:eastAsia="Arial" w:hAnsi="Arial"/>
                <w:sz w:val="14"/>
                <w:szCs w:val="14"/>
                <w:color w:val="0000FF"/>
              </w:rPr>
            </w:pPr>
            <w:hyperlink r:id="rId64">
              <w:r>
                <w:rPr>
                  <w:rFonts w:ascii="Arial" w:cs="Arial" w:eastAsia="Arial" w:hAnsi="Arial"/>
                  <w:sz w:val="14"/>
                  <w:szCs w:val="14"/>
                  <w:color w:val="0000FF"/>
                </w:rPr>
                <w:t>Form of Exchange Warrant</w:t>
              </w:r>
            </w:hyperlink>
          </w:p>
        </w:tc>
        <w:tc>
          <w:tcPr>
            <w:tcW w:w="1400" w:type="dxa"/>
            <w:vAlign w:val="bottom"/>
            <w:gridSpan w:val="21"/>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8/9/2021</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Certificate of Principal Executive Officer,</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120" w:type="dxa"/>
            <w:vAlign w:val="bottom"/>
            <w:gridSpan w:val="26"/>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20" w:type="dxa"/>
            <w:vAlign w:val="bottom"/>
            <w:tcBorders>
              <w:top w:val="single" w:sz="8" w:color="0000FF"/>
            </w:tcBorders>
            <w:gridSpan w:val="15"/>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00" w:type="dxa"/>
            <w:vAlign w:val="bottom"/>
            <w:gridSpan w:val="2"/>
          </w:tcPr>
          <w:p>
            <w:pPr>
              <w:spacing w:after="0"/>
              <w:rPr>
                <w:sz w:val="10"/>
                <w:szCs w:val="10"/>
                <w:color w:val="auto"/>
              </w:rPr>
            </w:pPr>
          </w:p>
        </w:tc>
        <w:tc>
          <w:tcPr>
            <w:tcW w:w="2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00" w:type="dxa"/>
            <w:vAlign w:val="bottom"/>
            <w:tcBorders>
              <w:top w:val="single" w:sz="8" w:color="0000FF"/>
            </w:tcBorders>
            <w:gridSpan w:val="25"/>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2"/>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60" w:type="dxa"/>
            <w:vAlign w:val="bottom"/>
            <w:gridSpan w:val="14"/>
          </w:tcPr>
          <w:p>
            <w:pPr>
              <w:spacing w:after="0" w:line="122" w:lineRule="exact"/>
              <w:rPr>
                <w:sz w:val="20"/>
                <w:szCs w:val="20"/>
                <w:color w:val="auto"/>
              </w:rPr>
            </w:pPr>
            <w:r>
              <w:rPr>
                <w:rFonts w:ascii="Arial" w:cs="Arial" w:eastAsia="Arial" w:hAnsi="Arial"/>
                <w:sz w:val="14"/>
                <w:szCs w:val="14"/>
                <w:color w:val="0000FF"/>
              </w:rPr>
              <w:t>-Oxley</w:t>
            </w: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020" w:type="dxa"/>
            <w:vAlign w:val="bottom"/>
            <w:tcBorders>
              <w:top w:val="single" w:sz="8" w:color="0000FF"/>
            </w:tcBorders>
            <w:gridSpan w:val="23"/>
          </w:tcPr>
          <w:p>
            <w:pPr>
              <w:spacing w:after="0" w:line="129" w:lineRule="exact"/>
              <w:rPr>
                <w:sz w:val="20"/>
                <w:szCs w:val="20"/>
                <w:color w:val="auto"/>
              </w:rPr>
            </w:pPr>
            <w:r>
              <w:rPr>
                <w:rFonts w:ascii="Arial" w:cs="Arial" w:eastAsia="Arial" w:hAnsi="Arial"/>
                <w:sz w:val="14"/>
                <w:szCs w:val="14"/>
                <w:color w:val="0000FF"/>
              </w:rPr>
              <w:t>Act of 2002.</w:t>
            </w:r>
          </w:p>
        </w:tc>
        <w:tc>
          <w:tcPr>
            <w:tcW w:w="100" w:type="dxa"/>
            <w:vAlign w:val="bottom"/>
            <w:gridSpan w:val="3"/>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Certifications Pursuant to U.S.C. Section 1350,</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000" w:type="dxa"/>
            <w:vAlign w:val="bottom"/>
            <w:tcBorders>
              <w:top w:val="single" w:sz="8" w:color="0000FF"/>
            </w:tcBorders>
            <w:gridSpan w:val="22"/>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20" w:type="dxa"/>
            <w:vAlign w:val="bottom"/>
            <w:gridSpan w:val="4"/>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00" w:type="dxa"/>
            <w:vAlign w:val="bottom"/>
            <w:gridSpan w:val="9"/>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40" w:type="dxa"/>
            <w:vAlign w:val="bottom"/>
            <w:gridSpan w:val="13"/>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12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Inline XBRL Instance Document - the instance</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20" w:type="dxa"/>
            <w:vAlign w:val="bottom"/>
            <w:gridSpan w:val="26"/>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3120" w:type="dxa"/>
            <w:vAlign w:val="bottom"/>
            <w:gridSpan w:val="26"/>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within the Inline XBRL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101.SCH</w:t>
            </w:r>
          </w:p>
        </w:tc>
        <w:tc>
          <w:tcPr>
            <w:tcW w:w="3120" w:type="dxa"/>
            <w:vAlign w:val="bottom"/>
            <w:gridSpan w:val="26"/>
          </w:tcPr>
          <w:p>
            <w:pPr>
              <w:spacing w:after="0"/>
              <w:rPr>
                <w:sz w:val="20"/>
                <w:szCs w:val="20"/>
                <w:color w:val="auto"/>
              </w:rPr>
            </w:pPr>
            <w:r>
              <w:rPr>
                <w:rFonts w:ascii="Arial" w:cs="Arial" w:eastAsia="Arial" w:hAnsi="Arial"/>
                <w:sz w:val="14"/>
                <w:szCs w:val="14"/>
                <w:color w:val="auto"/>
              </w:rPr>
              <w:t>Inline XBRL Taxonomy Extension Schema</w:t>
            </w: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120" w:type="dxa"/>
            <w:vAlign w:val="bottom"/>
            <w:gridSpan w:val="26"/>
          </w:tcPr>
          <w:p>
            <w:pPr>
              <w:spacing w:after="0" w:line="145" w:lineRule="exact"/>
              <w:rPr>
                <w:sz w:val="20"/>
                <w:szCs w:val="20"/>
                <w:color w:val="auto"/>
              </w:rPr>
            </w:pPr>
            <w:r>
              <w:rPr>
                <w:rFonts w:ascii="Arial" w:cs="Arial" w:eastAsia="Arial" w:hAnsi="Arial"/>
                <w:sz w:val="14"/>
                <w:szCs w:val="14"/>
                <w:color w:val="auto"/>
              </w:rPr>
              <w:t>Report on Form 10-Q for the quarter ended June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30, 2022, has been formatted in Inline XBRL.</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72" w:lineRule="exact"/>
        <w:rPr>
          <w:sz w:val="20"/>
          <w:szCs w:val="20"/>
          <w:color w:val="auto"/>
        </w:rPr>
      </w:pPr>
    </w:p>
    <w:p>
      <w:pPr>
        <w:sectPr>
          <w:pgSz w:w="11900" w:h="16838" w:orient="portrait"/>
          <w:cols w:equalWidth="0" w:num="2">
            <w:col w:w="8223" w:space="720"/>
            <w:col w:w="1220"/>
          </w:cols>
          <w:pgMar w:left="1057" w:top="1133" w:right="679" w:bottom="1440" w:gutter="0" w:footer="0" w:header="0"/>
          <w:type w:val="continuous"/>
        </w:sectPr>
      </w:pPr>
    </w:p>
    <w:p>
      <w:pPr>
        <w:spacing w:after="0" w:line="117" w:lineRule="exact"/>
        <w:rPr>
          <w:sz w:val="20"/>
          <w:szCs w:val="20"/>
          <w:color w:val="auto"/>
        </w:rPr>
      </w:pPr>
    </w:p>
    <w:p>
      <w:pPr>
        <w:ind w:left="643" w:hanging="643"/>
        <w:spacing w:after="0" w:line="287" w:lineRule="auto"/>
        <w:tabs>
          <w:tab w:leader="none" w:pos="31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type w:val="continuous"/>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4020" w:type="dxa"/>
            <w:vAlign w:val="bottom"/>
          </w:tcPr>
          <w:p>
            <w:pPr>
              <w:spacing w:after="0"/>
              <w:rPr>
                <w:sz w:val="20"/>
                <w:szCs w:val="20"/>
                <w:color w:val="auto"/>
              </w:rPr>
            </w:pPr>
            <w:r>
              <w:rPr>
                <w:rFonts w:ascii="Arial" w:cs="Arial" w:eastAsia="Arial" w:hAnsi="Arial"/>
                <w:sz w:val="18"/>
                <w:szCs w:val="18"/>
                <w:color w:val="auto"/>
              </w:rPr>
              <w:t>Date: November 21,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18"/>
        </w:trPr>
        <w:tc>
          <w:tcPr>
            <w:tcW w:w="4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30"/>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4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4020" w:type="dxa"/>
            <w:vAlign w:val="bottom"/>
          </w:tcPr>
          <w:p>
            <w:pPr>
              <w:spacing w:after="0"/>
              <w:rPr>
                <w:sz w:val="20"/>
                <w:szCs w:val="20"/>
                <w:color w:val="auto"/>
              </w:rPr>
            </w:pPr>
            <w:r>
              <w:rPr>
                <w:rFonts w:ascii="Arial" w:cs="Arial" w:eastAsia="Arial" w:hAnsi="Arial"/>
                <w:sz w:val="18"/>
                <w:szCs w:val="18"/>
                <w:color w:val="auto"/>
              </w:rPr>
              <w:t>Date: November 21,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18"/>
        </w:trPr>
        <w:tc>
          <w:tcPr>
            <w:tcW w:w="40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40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40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1133" w:right="4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9" w:name="page50"/>
    <w:bookmarkEnd w:id="49"/>
    <w:p>
      <w:pPr>
        <w:ind w:left="-20" w:firstLine="332"/>
        <w:spacing w:after="0" w:line="396"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November 21,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51" w:name="page52"/>
    <w:bookmarkEnd w:id="51"/>
    <w:p>
      <w:pPr>
        <w:ind w:left="-20" w:firstLine="332"/>
        <w:spacing w:after="0" w:line="396"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November 21,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62"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10-Q/A of the Company for the quarterly period ended June 30, 2022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21, 2022</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320" w:hanging="4"/>
        <w:spacing w:after="0" w:line="370"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quarterly report on Form 10-Q/A of the Company for the quarterly period ended June 30, 2022 (the "Report") fully complies with the requirements of Section 13(a) or 15(d), as applicable, of the Securities Exchange Act of 1934, as amended; and</w:t>
      </w:r>
    </w:p>
    <w:p>
      <w:pPr>
        <w:spacing w:after="0" w:line="10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21, 2022</w:t>
      </w:r>
    </w:p>
    <w:p>
      <w:pPr>
        <w:sectPr>
          <w:pgSz w:w="11900" w:h="16838" w:orient="portrait"/>
          <w:cols w:equalWidth="0" w:num="1">
            <w:col w:w="11240"/>
          </w:cols>
          <w:pgMar w:left="320" w:top="958" w:right="339" w:bottom="1440" w:gutter="0" w:footer="0" w:header="0"/>
        </w:sectPr>
      </w:pPr>
    </w:p>
    <w:bookmarkStart w:id="53" w:name="page54"/>
    <w:bookmarkEnd w:id="53"/>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18"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57" Type="http://schemas.openxmlformats.org/officeDocument/2006/relationships/hyperlink" Target="http://www.sec.gov/Archives/edgar/data/1274737/000119312519252366/d769261dex31.htm" TargetMode="External"/><Relationship Id="rId58" Type="http://schemas.openxmlformats.org/officeDocument/2006/relationships/hyperlink" Target="http://www.sec.gov/Archives/edgar/data/1274737/000127473721000017/ex31-amendedandrestatedbyl.htm" TargetMode="External"/><Relationship Id="rId59" Type="http://schemas.openxmlformats.org/officeDocument/2006/relationships/hyperlink" Target="http://www.sec.gov/Archives/edgar/data/1274737/000119312519240403/d692844dex41.htm" TargetMode="External"/><Relationship Id="rId60" Type="http://schemas.openxmlformats.org/officeDocument/2006/relationships/hyperlink" Target="http://www.sec.gov/Archives/edgar/data/1274737/000119312519228011/d692844dex42.htm" TargetMode="External"/><Relationship Id="rId61" Type="http://schemas.openxmlformats.org/officeDocument/2006/relationships/hyperlink" Target="http://www.sec.gov/Archives/edgar/data/1274737/000119312519228011/d692844dex43.htm" TargetMode="External"/><Relationship Id="rId62" Type="http://schemas.openxmlformats.org/officeDocument/2006/relationships/hyperlink" Target="http://www.sec.gov/Archives/edgar/data/1274737/000119312519228011/d692844dex44.htm" TargetMode="External"/><Relationship Id="rId63" Type="http://schemas.openxmlformats.org/officeDocument/2006/relationships/hyperlink" Target="http://www.sec.gov/Archives/edgar/data/1274737/000119312519228011/d692844dex48.htm" TargetMode="External"/><Relationship Id="rId64" Type="http://schemas.openxmlformats.org/officeDocument/2006/relationships/hyperlink" Target="http://www.sec.gov/Archives/edgar/data/1274737/000127473721000094/ex45-formofprexfundedwa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2022-11-21T15:20:01Z</dcterms:created>
  <dcterms:modified xsi:type="dcterms:W3CDTF">2022-11-21T15:20:01Z</dcterms:modified>
</cp:coreProperties>
</file>