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June 30, 2024</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4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August 1, 2024 was 17,386,389.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360" w:type="dxa"/>
            <w:vAlign w:val="bottom"/>
            <w:gridSpan w:val="11"/>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3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340" w:type="dxa"/>
            <w:vAlign w:val="bottom"/>
            <w:gridSpan w:val="19"/>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9"/>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4820" w:type="dxa"/>
            <w:vAlign w:val="bottom"/>
            <w:gridSpan w:val="10"/>
          </w:tcPr>
          <w:p>
            <w:pPr>
              <w:spacing w:after="0"/>
              <w:rPr>
                <w:sz w:val="16"/>
                <w:szCs w:val="16"/>
                <w:color w:val="auto"/>
              </w:rPr>
            </w:pPr>
          </w:p>
        </w:tc>
        <w:tc>
          <w:tcPr>
            <w:tcW w:w="440" w:type="dxa"/>
            <w:vAlign w:val="bottom"/>
            <w:gridSpan w:val="2"/>
          </w:tcPr>
          <w:p>
            <w:pPr>
              <w:ind w:left="34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0000FF"/>
              </w:rPr>
              <w:t>Unaudited Condensed Balance Sheets as of June 30, 2024 and December 31, 2023</w:t>
            </w:r>
          </w:p>
        </w:tc>
        <w:tc>
          <w:tcPr>
            <w:tcW w:w="440" w:type="dxa"/>
            <w:vAlign w:val="bottom"/>
            <w:gridSpan w:val="2"/>
          </w:tcPr>
          <w:p>
            <w:pPr>
              <w:ind w:left="34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0000FF"/>
                <w:w w:val="99"/>
              </w:rPr>
              <w:t>Unaudited Condensed Statements of Operations for the Three and Six Months ended June 30, 2024 and</w:t>
            </w:r>
          </w:p>
        </w:tc>
        <w:tc>
          <w:tcPr>
            <w:tcW w:w="440" w:type="dxa"/>
            <w:vAlign w:val="bottom"/>
            <w:gridSpan w:val="2"/>
            <w:vMerge w:val="restart"/>
          </w:tcPr>
          <w:p>
            <w:pPr>
              <w:ind w:left="34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2023</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340" w:type="dxa"/>
            <w:vAlign w:val="bottom"/>
            <w:gridSpan w:val="19"/>
            <w:vMerge w:val="restart"/>
          </w:tcPr>
          <w:p>
            <w:pPr>
              <w:spacing w:after="0"/>
              <w:rPr>
                <w:sz w:val="20"/>
                <w:szCs w:val="20"/>
                <w:color w:val="auto"/>
              </w:rPr>
            </w:pPr>
            <w:r>
              <w:rPr>
                <w:rFonts w:ascii="Arial" w:cs="Arial" w:eastAsia="Arial" w:hAnsi="Arial"/>
                <w:sz w:val="18"/>
                <w:szCs w:val="18"/>
                <w:color w:val="0000FF"/>
              </w:rPr>
              <w:t>Unaudited Condensed Statements of Stockholders' Equity for the Three and Six Months ended June 30,</w:t>
            </w: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8340" w:type="dxa"/>
            <w:vAlign w:val="bottom"/>
            <w:gridSpan w:val="19"/>
            <w:vMerge w:val="continue"/>
          </w:tcPr>
          <w:p>
            <w:pPr>
              <w:spacing w:after="0"/>
              <w:rPr>
                <w:sz w:val="19"/>
                <w:szCs w:val="19"/>
                <w:color w:val="auto"/>
              </w:rPr>
            </w:pPr>
          </w:p>
        </w:tc>
        <w:tc>
          <w:tcPr>
            <w:tcW w:w="440" w:type="dxa"/>
            <w:vAlign w:val="bottom"/>
            <w:gridSpan w:val="2"/>
            <w:vMerge w:val="restart"/>
          </w:tcPr>
          <w:p>
            <w:pPr>
              <w:ind w:left="34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0" w:type="dxa"/>
            <w:vAlign w:val="bottom"/>
            <w:tcBorders>
              <w:top w:val="single" w:sz="8" w:color="0000FF"/>
            </w:tcBorders>
            <w:gridSpan w:val="6"/>
          </w:tcPr>
          <w:p>
            <w:pPr>
              <w:spacing w:after="0" w:line="136" w:lineRule="exact"/>
              <w:rPr>
                <w:sz w:val="20"/>
                <w:szCs w:val="20"/>
                <w:color w:val="auto"/>
              </w:rPr>
            </w:pPr>
            <w:r>
              <w:rPr>
                <w:rFonts w:ascii="Arial" w:cs="Arial" w:eastAsia="Arial" w:hAnsi="Arial"/>
                <w:sz w:val="15"/>
                <w:szCs w:val="15"/>
                <w:color w:val="0000FF"/>
              </w:rPr>
              <w:t>2024 and 2023</w:t>
            </w:r>
          </w:p>
        </w:tc>
        <w:tc>
          <w:tcPr>
            <w:tcW w:w="3840" w:type="dxa"/>
            <w:vAlign w:val="bottom"/>
            <w:tcBorders>
              <w:top w:val="single" w:sz="8" w:color="0000FF"/>
            </w:tcBorders>
            <w:gridSpan w:val="6"/>
          </w:tcPr>
          <w:p>
            <w:pPr>
              <w:spacing w:after="0"/>
              <w:rPr>
                <w:sz w:val="11"/>
                <w:szCs w:val="11"/>
                <w:color w:val="auto"/>
              </w:rPr>
            </w:pPr>
          </w:p>
        </w:tc>
        <w:tc>
          <w:tcPr>
            <w:tcW w:w="1840" w:type="dxa"/>
            <w:vAlign w:val="bottom"/>
            <w:tcBorders>
              <w:top w:val="single" w:sz="8" w:color="0000FF"/>
            </w:tcBorders>
            <w:gridSpan w:val="2"/>
          </w:tcPr>
          <w:p>
            <w:pPr>
              <w:spacing w:after="0"/>
              <w:rPr>
                <w:sz w:val="11"/>
                <w:szCs w:val="11"/>
                <w:color w:val="auto"/>
              </w:rPr>
            </w:pPr>
          </w:p>
        </w:tc>
        <w:tc>
          <w:tcPr>
            <w:tcW w:w="900" w:type="dxa"/>
            <w:vAlign w:val="bottom"/>
            <w:tcBorders>
              <w:top w:val="single" w:sz="8" w:color="0000FF"/>
            </w:tcBorders>
            <w:gridSpan w:val="3"/>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gridSpan w:val="3"/>
          </w:tcPr>
          <w:p>
            <w:pPr>
              <w:spacing w:after="0"/>
              <w:rPr>
                <w:sz w:val="2"/>
                <w:szCs w:val="2"/>
                <w:color w:val="auto"/>
              </w:rPr>
            </w:pPr>
          </w:p>
        </w:tc>
        <w:tc>
          <w:tcPr>
            <w:tcW w:w="90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w w:val="99"/>
              </w:rPr>
              <w:t>Unaudited Condensed Statements of Cash Flows for the Six Months ended June 30, 2024 and 2023</w:t>
            </w:r>
          </w:p>
        </w:tc>
        <w:tc>
          <w:tcPr>
            <w:tcW w:w="360" w:type="dxa"/>
            <w:vAlign w:val="bottom"/>
            <w:gridSpan w:val="2"/>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3740" w:type="dxa"/>
            <w:vAlign w:val="bottom"/>
            <w:gridSpan w:val="7"/>
          </w:tcPr>
          <w:p>
            <w:pPr>
              <w:spacing w:after="0"/>
              <w:rPr>
                <w:sz w:val="18"/>
                <w:szCs w:val="18"/>
                <w:color w:val="auto"/>
              </w:rPr>
            </w:pPr>
          </w:p>
        </w:tc>
        <w:tc>
          <w:tcPr>
            <w:tcW w:w="360" w:type="dxa"/>
            <w:vAlign w:val="bottom"/>
            <w:gridSpan w:val="2"/>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260" w:type="dxa"/>
            <w:vAlign w:val="bottom"/>
            <w:gridSpan w:val="5"/>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260" w:type="dxa"/>
            <w:vAlign w:val="bottom"/>
            <w:gridSpan w:val="5"/>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c>
          <w:tcPr>
            <w:tcW w:w="3640" w:type="dxa"/>
            <w:vAlign w:val="bottom"/>
            <w:gridSpan w:val="8"/>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636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340" w:type="dxa"/>
            <w:vAlign w:val="bottom"/>
            <w:gridSpan w:val="19"/>
          </w:tcPr>
          <w:p>
            <w:pPr>
              <w:spacing w:after="0" w:line="195" w:lineRule="exact"/>
              <w:rPr>
                <w:sz w:val="20"/>
                <w:szCs w:val="20"/>
                <w:color w:val="auto"/>
              </w:rPr>
            </w:pPr>
            <w:r>
              <w:rPr>
                <w:rFonts w:ascii="Arial" w:cs="Arial" w:eastAsia="Arial" w:hAnsi="Arial"/>
                <w:sz w:val="18"/>
                <w:szCs w:val="18"/>
                <w:color w:val="0000FF"/>
              </w:rPr>
              <w:t>Legal Proceedings</w:t>
            </w:r>
          </w:p>
        </w:tc>
        <w:tc>
          <w:tcPr>
            <w:tcW w:w="1600" w:type="dxa"/>
            <w:vAlign w:val="bottom"/>
            <w:gridSpan w:val="4"/>
          </w:tcPr>
          <w:p>
            <w:pPr>
              <w:ind w:left="340"/>
              <w:spacing w:after="0" w:line="195" w:lineRule="exact"/>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18"/>
                <w:szCs w:val="18"/>
                <w:color w:val="auto"/>
              </w:rPr>
            </w:pPr>
          </w:p>
        </w:tc>
        <w:tc>
          <w:tcPr>
            <w:tcW w:w="6860" w:type="dxa"/>
            <w:vAlign w:val="bottom"/>
            <w:gridSpan w:val="12"/>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94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6940" w:type="dxa"/>
            <w:vAlign w:val="bottom"/>
            <w:gridSpan w:val="13"/>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6940" w:type="dxa"/>
            <w:vAlign w:val="bottom"/>
            <w:gridSpan w:val="13"/>
          </w:tcPr>
          <w:p>
            <w:pPr>
              <w:spacing w:after="0"/>
              <w:rPr>
                <w:sz w:val="18"/>
                <w:szCs w:val="18"/>
                <w:color w:val="auto"/>
              </w:rPr>
            </w:pP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600" w:type="dxa"/>
            <w:vAlign w:val="bottom"/>
            <w:gridSpan w:val="4"/>
          </w:tcPr>
          <w:p>
            <w:pPr>
              <w:ind w:left="3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 non-current portion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June 30, 2024</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and December 31, 2023</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June 30, 2024 and December 31, 2023;</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17,381,575 and 17,045,954 shares issued and outstanding as of June 30, 2024 and December 31, 2023,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(285,542)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0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r>
      <w:tr>
        <w:trPr>
          <w:trHeight w:val="238"/>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11,762</w:t>
            </w:r>
          </w:p>
        </w:tc>
      </w:tr>
      <w:tr>
        <w:trPr>
          <w:trHeight w:val="198"/>
        </w:trPr>
        <w:tc>
          <w:tcPr>
            <w:tcW w:w="68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23,837</w:t>
            </w:r>
          </w:p>
        </w:tc>
      </w:tr>
      <w:tr>
        <w:trPr>
          <w:trHeight w:val="207"/>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w:t>
            </w:r>
          </w:p>
        </w:tc>
      </w:tr>
      <w:tr>
        <w:trPr>
          <w:trHeight w:val="192"/>
        </w:trPr>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37,988</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(1,212)</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(12,701)</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18,178,185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17,655,483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18,061,312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17,591,478</w:t>
            </w:r>
          </w:p>
        </w:tc>
      </w:tr>
      <w:tr>
        <w:trPr>
          <w:trHeight w:val="21"/>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2023</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17,045,954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301,893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54,605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2024</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17,317,941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302,550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62,998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2024</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17,381,575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303,110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(285,542)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50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restart"/>
          </w:tcPr>
          <w:p>
            <w:pPr>
              <w:jc w:val="center"/>
              <w:ind w:right="340"/>
              <w:spacing w:after="0" w:line="122"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4"/>
                <w:szCs w:val="4"/>
                <w:color w:val="auto"/>
              </w:rPr>
            </w:pPr>
          </w:p>
        </w:tc>
        <w:tc>
          <w:tcPr>
            <w:tcW w:w="1560" w:type="dxa"/>
            <w:vAlign w:val="bottom"/>
            <w:gridSpan w:val="2"/>
            <w:vMerge w:val="restart"/>
          </w:tcPr>
          <w:p>
            <w:pPr>
              <w:ind w:left="160"/>
              <w:spacing w:after="0" w:line="12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4"/>
                <w:szCs w:val="4"/>
                <w:color w:val="auto"/>
              </w:rPr>
            </w:pPr>
          </w:p>
        </w:tc>
        <w:tc>
          <w:tcPr>
            <w:tcW w:w="1400" w:type="dxa"/>
            <w:vAlign w:val="bottom"/>
            <w:vMerge w:val="restart"/>
          </w:tcPr>
          <w:p>
            <w:pPr>
              <w:jc w:val="center"/>
              <w:ind w:right="14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16,549,984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53"/>
        </w:trPr>
        <w:tc>
          <w:tcPr>
            <w:tcW w:w="386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113,378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60" w:type="dxa"/>
            <w:vAlign w:val="bottom"/>
          </w:tcPr>
          <w:p>
            <w:pPr>
              <w:ind w:left="360"/>
              <w:spacing w:after="0"/>
              <w:rPr>
                <w:sz w:val="20"/>
                <w:szCs w:val="20"/>
                <w:color w:val="auto"/>
              </w:rPr>
            </w:pPr>
            <w:r>
              <w:rPr>
                <w:rFonts w:ascii="Arial" w:cs="Arial" w:eastAsia="Arial" w:hAnsi="Arial"/>
                <w:sz w:val="14"/>
                <w:szCs w:val="14"/>
                <w:color w:val="auto"/>
              </w:rPr>
              <w:t>units</w:t>
            </w: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3"/>
        </w:trPr>
        <w:tc>
          <w:tcPr>
            <w:tcW w:w="386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70,317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5"/>
        </w:trPr>
        <w:tc>
          <w:tcPr>
            <w:tcW w:w="3860" w:type="dxa"/>
            <w:vAlign w:val="bottom"/>
          </w:tcPr>
          <w:p>
            <w:pPr>
              <w:ind w:left="360"/>
              <w:spacing w:after="0"/>
              <w:rPr>
                <w:sz w:val="20"/>
                <w:szCs w:val="20"/>
                <w:color w:val="auto"/>
              </w:rPr>
            </w:pPr>
            <w:r>
              <w:rPr>
                <w:rFonts w:ascii="Arial" w:cs="Arial" w:eastAsia="Arial" w:hAnsi="Arial"/>
                <w:sz w:val="14"/>
                <w:szCs w:val="14"/>
                <w:color w:val="auto"/>
              </w:rPr>
              <w:t>Purchase Plan</w:t>
            </w: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0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16,827,014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299,135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(263,215)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35,937</w:t>
            </w:r>
          </w:p>
        </w:tc>
        <w:tc>
          <w:tcPr>
            <w:tcW w:w="0" w:type="dxa"/>
            <w:vAlign w:val="bottom"/>
          </w:tcPr>
          <w:p>
            <w:pPr>
              <w:spacing w:after="0"/>
              <w:rPr>
                <w:sz w:val="1"/>
                <w:szCs w:val="1"/>
                <w:color w:val="auto"/>
              </w:rPr>
            </w:pPr>
          </w:p>
        </w:tc>
      </w:tr>
      <w:tr>
        <w:trPr>
          <w:trHeight w:val="153"/>
        </w:trPr>
        <w:tc>
          <w:tcPr>
            <w:tcW w:w="386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31,180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60" w:type="dxa"/>
            <w:vAlign w:val="bottom"/>
          </w:tcPr>
          <w:p>
            <w:pPr>
              <w:ind w:left="360"/>
              <w:spacing w:after="0"/>
              <w:rPr>
                <w:sz w:val="20"/>
                <w:szCs w:val="20"/>
                <w:color w:val="auto"/>
              </w:rPr>
            </w:pPr>
            <w:r>
              <w:rPr>
                <w:rFonts w:ascii="Arial" w:cs="Arial" w:eastAsia="Arial" w:hAnsi="Arial"/>
                <w:sz w:val="14"/>
                <w:szCs w:val="14"/>
                <w:color w:val="auto"/>
              </w:rPr>
              <w:t>units</w:t>
            </w: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22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16,858,194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(268,228)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(12,701)</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(10,158)</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(19,903)</w:t>
            </w:r>
          </w:p>
        </w:tc>
        <w:tc>
          <w:tcPr>
            <w:tcW w:w="0" w:type="dxa"/>
            <w:vAlign w:val="bottom"/>
          </w:tcPr>
          <w:p>
            <w:pPr>
              <w:spacing w:after="0"/>
              <w:rPr>
                <w:sz w:val="1"/>
                <w:szCs w:val="1"/>
                <w:color w:val="auto"/>
              </w:rPr>
            </w:pP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7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long-term debt</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(10,304)</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(30,925)</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36,693</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62,591</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24,679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31,666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1"/>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5"/>
        </w:trPr>
        <w:tc>
          <w:tcPr>
            <w:tcW w:w="754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Exagen Inc. (the Company) is a commercial-stage diagnostics company which exists to provide clarity in autoimmune disease decision making with the goal of improving patients' clinical outcomes.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As of June 30, 2024, the Company had cash and cash equivalents of $24.5 million and had an accumulated deficit of $285.5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interim condensed balance sheet as of June 30, 2024, condensed statements of operations and stockholders' equity for the three and six months ended June 30, 2024 and 2023, cash flows for the six months ended June 30, 2024 and 2023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2023, included in its Annual Report on Form 10-K filed with the SEC on March 18, 2024. In management's opinion, the unaudited interim condensed financial statements have been prepared on the same basis as the audited financial statements and include all normal adjustments, necessary for the fair presentation of the Company's financial position as of June 30, 2024 and its results of operations for the periods presented. The results for the three and six months ended June 30, 2024 are not necessarily indicative of the results expected for the full fiscal year or any other interim period. The year-end condensed balance sheet data was derived from audited financial statements, but does not include all disclosures required by GAAP.</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recoverability of its long-lived assets and net deferred tax assets (and related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8" w:name="page9"/>
    <w:bookmarkEnd w:id="8"/>
    <w:p>
      <w:pPr>
        <w:ind w:right="140"/>
        <w:spacing w:after="0" w:line="268" w:lineRule="auto"/>
        <w:rPr>
          <w:sz w:val="20"/>
          <w:szCs w:val="20"/>
          <w:color w:val="auto"/>
        </w:rPr>
      </w:pPr>
      <w:r>
        <w:rPr>
          <w:rFonts w:ascii="Arial" w:cs="Arial" w:eastAsia="Arial" w:hAnsi="Arial"/>
          <w:sz w:val="18"/>
          <w:szCs w:val="18"/>
          <w:color w:val="auto"/>
        </w:rPr>
        <w:t>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17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Revenue</w:t>
            </w: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47"/>
        </w:trPr>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3"/>
          </w:tcPr>
          <w:p>
            <w:pPr>
              <w:jc w:val="center"/>
              <w:ind w:left="568"/>
              <w:spacing w:after="0" w:line="147" w:lineRule="exact"/>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2"/>
                <w:szCs w:val="12"/>
                <w:color w:val="auto"/>
              </w:rPr>
            </w:pPr>
          </w:p>
        </w:tc>
      </w:tr>
      <w:tr>
        <w:trPr>
          <w:trHeight w:val="185"/>
        </w:trPr>
        <w:tc>
          <w:tcPr>
            <w:tcW w:w="1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r>
      <w:tr>
        <w:trPr>
          <w:trHeight w:val="195"/>
        </w:trPr>
        <w:tc>
          <w:tcPr>
            <w:tcW w:w="100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r>
      <w:tr>
        <w:trPr>
          <w:trHeight w:val="197"/>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8"/>
        </w:trPr>
        <w:tc>
          <w:tcPr>
            <w:tcW w:w="1000" w:type="dxa"/>
            <w:vAlign w:val="bottom"/>
          </w:tcPr>
          <w:p>
            <w:pPr>
              <w:ind w:left="20"/>
              <w:spacing w:after="0"/>
              <w:rPr>
                <w:sz w:val="20"/>
                <w:szCs w:val="20"/>
                <w:color w:val="auto"/>
              </w:rPr>
            </w:pPr>
            <w:r>
              <w:rPr>
                <w:rFonts w:ascii="Arial" w:cs="Arial" w:eastAsia="Arial" w:hAnsi="Arial"/>
                <w:sz w:val="14"/>
                <w:szCs w:val="14"/>
                <w:color w:val="auto"/>
              </w:rPr>
              <w:t>Medicare</w:t>
            </w:r>
          </w:p>
        </w:tc>
        <w:tc>
          <w:tcPr>
            <w:tcW w:w="2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2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000" w:type="dxa"/>
            <w:vAlign w:val="bottom"/>
            <w:tcBorders>
              <w:bottom w:val="single" w:sz="8" w:color="auto"/>
            </w:tcBorders>
          </w:tcPr>
          <w:p>
            <w:pPr>
              <w:spacing w:after="0"/>
              <w:rPr>
                <w:sz w:val="15"/>
                <w:szCs w:val="15"/>
                <w:color w:val="auto"/>
              </w:rPr>
            </w:pPr>
          </w:p>
        </w:tc>
        <w:tc>
          <w:tcPr>
            <w:tcW w:w="384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3840" w:type="dxa"/>
            <w:vAlign w:val="bottom"/>
            <w:gridSpan w:val="2"/>
          </w:tcPr>
          <w:p>
            <w:pPr>
              <w:jc w:val="right"/>
              <w:ind w:right="2768"/>
              <w:spacing w:after="0"/>
              <w:rPr>
                <w:sz w:val="20"/>
                <w:szCs w:val="20"/>
                <w:color w:val="auto"/>
              </w:rPr>
            </w:pPr>
            <w:r>
              <w:rPr>
                <w:rFonts w:ascii="Arial" w:cs="Arial" w:eastAsia="Arial" w:hAnsi="Arial"/>
                <w:sz w:val="14"/>
                <w:szCs w:val="14"/>
                <w:color w:val="auto"/>
              </w:rPr>
              <w:t>Less than 10%.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Accounts Receivable, Net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June 30, 2024</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6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r>
      <w:tr>
        <w:trPr>
          <w:trHeight w:val="194"/>
        </w:trPr>
        <w:tc>
          <w:tcPr>
            <w:tcW w:w="886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400" w:type="dxa"/>
            <w:vAlign w:val="bottom"/>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170"/>
        </w:trPr>
        <w:tc>
          <w:tcPr>
            <w:tcW w:w="1000" w:type="dxa"/>
            <w:vAlign w:val="bottom"/>
            <w:tcBorders>
              <w:bottom w:val="single" w:sz="8" w:color="auto"/>
            </w:tcBorders>
          </w:tcPr>
          <w:p>
            <w:pPr>
              <w:spacing w:after="0"/>
              <w:rPr>
                <w:sz w:val="14"/>
                <w:szCs w:val="14"/>
                <w:color w:val="auto"/>
              </w:rPr>
            </w:pPr>
          </w:p>
        </w:tc>
        <w:tc>
          <w:tcPr>
            <w:tcW w:w="786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7860" w:type="dxa"/>
            <w:vAlign w:val="bottom"/>
            <w:gridSpan w:val="2"/>
          </w:tcPr>
          <w:p>
            <w:pPr>
              <w:ind w:left="20"/>
              <w:spacing w:after="0"/>
              <w:rPr>
                <w:sz w:val="20"/>
                <w:szCs w:val="20"/>
                <w:color w:val="auto"/>
              </w:rPr>
            </w:pPr>
            <w:r>
              <w:rPr>
                <w:rFonts w:ascii="Arial" w:cs="Arial" w:eastAsia="Arial" w:hAnsi="Arial"/>
                <w:sz w:val="14"/>
                <w:szCs w:val="14"/>
                <w:color w:val="auto"/>
              </w:rPr>
              <w:t>Less than 10%.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300"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For the three months ended June 30, 2024 and 2023, approximately 90% and 88%,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Revenue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2024 and 2023 was approximately 90% and 88%, respectively.</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June 30, 2024 and 2023, approximately 99% and 95%, respectively, of the Company's diagnostic testing supplies were purchased from two suppliers. For the six months ended June 30, 2024 and 2023, approximately 97% and 96%, respectively, of the Company's diagnostic testing supplies were purchased from two suppliers. An interruption in the supply of these materials would impact the Company's ability to perform testing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8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8,672</w:t>
            </w:r>
          </w:p>
        </w:tc>
        <w:tc>
          <w:tcPr>
            <w:tcW w:w="100" w:type="dxa"/>
            <w:vAlign w:val="bottom"/>
          </w:tcPr>
          <w:p>
            <w:pPr>
              <w:spacing w:after="0"/>
              <w:rPr>
                <w:sz w:val="17"/>
                <w:szCs w:val="17"/>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7,484</w:t>
            </w:r>
          </w:p>
        </w:tc>
        <w:tc>
          <w:tcPr>
            <w:tcW w:w="1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15,535</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11,699</w:t>
            </w:r>
          </w:p>
        </w:tc>
      </w:tr>
      <w:tr>
        <w:trPr>
          <w:trHeight w:val="20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8,615</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Client(1)</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6,194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4,680</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29,479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25,367</w:t>
            </w:r>
          </w:p>
        </w:tc>
      </w:tr>
      <w:tr>
        <w:trPr>
          <w:trHeight w:val="21"/>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24,479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36,493</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intangible assets and other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520"/>
        <w:spacing w:after="0" w:line="287" w:lineRule="auto"/>
        <w:rPr>
          <w:sz w:val="20"/>
          <w:szCs w:val="20"/>
          <w:color w:val="auto"/>
        </w:rPr>
      </w:pPr>
      <w:r>
        <w:rPr>
          <w:rFonts w:ascii="Arial" w:cs="Arial" w:eastAsia="Arial" w:hAnsi="Arial"/>
          <w:sz w:val="18"/>
          <w:szCs w:val="18"/>
          <w:color w:val="auto"/>
        </w:rPr>
        <w:t>these products. The parties that pay for these services (each, a payor) consist of commercial payors (healthcare insurers), government payors (primarily Medicare and Medicaid), client payors (hospitals, other laboratories, etc.) and patient self-pay.</w:t>
      </w:r>
    </w:p>
    <w:p>
      <w:pPr>
        <w:spacing w:after="0" w:line="153"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follows a five-step process to determine the amount and timing of revenue recognized: (1) identify the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June 30, 2024 and 2023 was a $3.1 million net revenue increase and a $1.5 million net revenue increase, respectively, associated with changes in estimated variable consideration related to performance obligations satisfied in previous periods. Included in revenues for the six months ended June 30, 2024 and 2023 was a $5.1 million net revenue increase and a $1.8 million net revenue increase, respectively, associated with changes in estimated variable consideration related to performance obligations satisfied in previous periods. The transaction price is estimated using an expected value method on a portfolio basis.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our billed tests may vary by payor and other circumstances. Contracts do not contain significant financing components based on the typical period of time between performance of services and collection of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June 30, 2024 and 2023. Adjustments for implicit price concessions attributable to variable consideration, as discussed above, are incorporated into the measurement of the accounts receivable balances and are not part of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ind w:right="760"/>
        <w:spacing w:after="0" w:line="287" w:lineRule="auto"/>
        <w:rPr>
          <w:sz w:val="20"/>
          <w:szCs w:val="20"/>
          <w:color w:val="auto"/>
        </w:rPr>
      </w:pPr>
      <w:r>
        <w:rPr>
          <w:rFonts w:ascii="Arial" w:cs="Arial" w:eastAsia="Arial" w:hAnsi="Arial"/>
          <w:sz w:val="18"/>
          <w:szCs w:val="18"/>
          <w:color w:val="auto"/>
        </w:rPr>
        <w:t>supplies; consulting costs; costs associated with setting up and conducting clinical studies; depreciation; amortization and allocated overhead, including rent and utilities.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$ 0.4 million for each of the three months ended June 30, 2024 and 2023. For the six months ended June 30, 2024 and 2023, total advertising and marketing costs were approximately $ 0.6 million and $0.7 million, respectively. These costs are included in selling, general and administrative expenses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were approximately $0.9 million and $0.6 million for the three months ended June 30, 2024 and 2023, respectively. For the six months ended June 30, 2024 and 2023, shipping and handling costs were approximately $1.7 million and $1.3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we have concluded that our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8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and six months ended June 30, 2024 and 2023, there is no</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2" w:name="page13"/>
    <w:bookmarkEnd w:id="12"/>
    <w:p>
      <w:pPr>
        <w:ind w:right="20"/>
        <w:spacing w:after="0" w:line="287" w:lineRule="auto"/>
        <w:rPr>
          <w:sz w:val="20"/>
          <w:szCs w:val="20"/>
          <w:color w:val="auto"/>
        </w:rPr>
      </w:pPr>
      <w:r>
        <w:rPr>
          <w:rFonts w:ascii="Arial" w:cs="Arial" w:eastAsia="Arial" w:hAnsi="Arial"/>
          <w:sz w:val="18"/>
          <w:szCs w:val="18"/>
          <w:color w:val="auto"/>
        </w:rPr>
        <w:t>difference in the number of shares used to calculate basic and diluted shares outstanding, as the inclusion of the potentially dilutive securities would be antidilutive.</w:t>
      </w:r>
    </w:p>
    <w:p>
      <w:pPr>
        <w:spacing w:after="0" w:line="15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2024</w:t>
            </w: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817,046</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994,526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1,679,469</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1,598,578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38,299</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60,719</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2,943,922</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3,062,931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which requires public entities to disclose significant segment expenses that are regularly provided to the Chief Operating Decision Maker (CODM) and details of how the CODM uses financial reporting to assess the performance of a segment. ASU 2023-07 is effective for fiscal years beginning after December 15, 2023, and interim periods within fiscal years beginning after December 15, 2024, with early adoption permitted. This ASU will likely result in additional required disclosure when adopted. The Company is currently evaluating the provisions of this ASU and the impact on its financial statements and related disclosures.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The Company is currently evaluating the impact of this standard, but does not expect that it will have a material impact on its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25"/>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5,312</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10,714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10,970</w:t>
            </w: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(5,769)</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Depreciation and amortization expense for the three months ended June 30, 2024 and 2023 was approximately $0.4 million and $0.5 million, respectively. For the six months ended June 30, 2024 and 2023, depreciation and amortization expense was approximately $0.9 million and $1.1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463</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9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As of June 30, 2024, no additional amounts remained available to borrow under the Amended Loan Agreement.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line="253" w:lineRule="auto"/>
        <w:rPr>
          <w:sz w:val="20"/>
          <w:szCs w:val="20"/>
          <w:color w:val="auto"/>
        </w:rPr>
      </w:pPr>
      <w:r>
        <w:rPr>
          <w:rFonts w:ascii="Arial" w:cs="Arial" w:eastAsia="Arial" w:hAnsi="Arial"/>
          <w:sz w:val="18"/>
          <w:szCs w:val="18"/>
          <w:color w:val="auto"/>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is the sum (the Basic Rate) of (a) 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11.0% as of June 30, 2024.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 For each of the three months ended June 30, 2024 and 2023, the Company issued PIK Loans totaling $0.1 million. For the six months ended June 30, 2024 and 2023, the Company issued PIK Loans totaling $0.1 million and $0.2 million, respectively. The issuances of the PIK Loans are included in borrowings-non-current portion on the accompanying balance sheet.</w:t>
      </w:r>
    </w:p>
    <w:p>
      <w:pPr>
        <w:spacing w:after="0" w:line="200" w:lineRule="exact"/>
        <w:rPr>
          <w:sz w:val="20"/>
          <w:szCs w:val="20"/>
          <w:color w:val="auto"/>
        </w:rPr>
      </w:pPr>
    </w:p>
    <w:p>
      <w:pPr>
        <w:spacing w:after="0" w:line="20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Amended Loan Agreement currently requires a prepayment premium of 1% of the aggregate outstanding principal for any prepayments made prior to November 1, 2024.</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financial plan approved by the Company's board of directors (the Board)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the Company was in compliance with all covenants of the Amended Loan Agreement.</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condensed financial statements. Accordingly,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Company has reflected the amounts of the Amended Loan Agreement due beyond twelve months of the balance sheet date as non-current.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 Payable</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notes payable outstanding from the purchase of laboratory equipment. At June 30, 2024, the total notes payable balance related to this financed equipment was $1.3 million, with $ 0.4 million classified within borrowings-current portion and $0.9 million within borrowings-non-current portion, net of discounts and debt issuance costs in the accompanying balance sheets. The financed equipment is subject to a 5.28% effective interest rate and will mature on October 1,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future minimum aggregate payments, including interest, for outstanding borrowings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2,190</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21,483</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2027</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25,042</w:t>
            </w:r>
          </w:p>
        </w:tc>
      </w:tr>
      <w:tr>
        <w:trPr>
          <w:trHeight w:val="207"/>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(4,696)</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20,253</w:t>
            </w:r>
          </w:p>
        </w:tc>
      </w:tr>
      <w:tr>
        <w:trPr>
          <w:trHeight w:val="20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Borrowings-current portion</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200"/>
        </w:trPr>
        <w:tc>
          <w:tcPr>
            <w:tcW w:w="944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19,830</w:t>
            </w:r>
          </w:p>
        </w:tc>
      </w:tr>
      <w:tr>
        <w:trPr>
          <w:trHeight w:val="20"/>
        </w:trPr>
        <w:tc>
          <w:tcPr>
            <w:tcW w:w="9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2.0% to 7.0% on net sales of products which incorporate licensed technology, as defined in such agreements. Royalties are accrued when incurred and recorded in costs of revenue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2021, the Company entered into a master research collaboration agreement with Allegheny Health Network Research Institute (AHN), pursuant to which the Company is required to pay AHN a collaboration fee of $0.4 million per year. Collaboration expenses under the master research collaboration agreement were $0.1 million for each of the three months ended June 30, 2024 and 2023. For each of the six months ended June 30, 2024 and 2023, collaboration expenses under the master research collaboration agreement were $0.2 million. Collaboration expenses under the AHN collaboration are included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December 2021, the Company amended a supply agreement with one supplier for reagents which includes minimum annual purchase commitments of $8.0 million and $9.2 million for the years ending December 31, 2024 and 2025,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in October 2023, the Company resolved an investigation with the U.S. Attorney’s Office for the District of Massachusetts that was initiated by a qui tam lawsuit. Pursuant to a settlement agreement entered into by and between the Company and the U.S. Department of Justice (the Settlement Agreement), the Company made a single lump-sum remittance to the government in the amount of $0.7 million in connection with specimen processing arrangements that Exagen historically had with physicians. The U.S. Attorney’s Office dismissed this “covered conduct” in the qui tam lawsuit with prejudice, while non-covered conduct was dismissed without prejudice. In November 2023 the complaint was unsealed and served on Exagen. Exagen filed a motion to dismiss the complaint. In December 2023, the Company's insurance carrier provided reimbursement for certain defense costs the Company incurred in the October 2023 qui tam lawsuit. In February 2024, the relator filed a motion for leave to amend the complaint. Exagen opposed this motion, and all motions are still pending. The Company cannot predict when these matters will be resolved, the outcome of these matters, or their potential impact, which may materially and adversely affect the Company’s business, prospects, and financial condition. The Company intends to vigorously defend against the claims being asserted in the complaint.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participation in federal healthcare programs is not affected by the Settlement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carrying value of the Company's cash, cash equivalents and restricted cash, accounts receivable, prepaid expenses and other current assets, accounts payable and accrued and other current liabilities approximate their fair values due to their short-term nature, which are determined to be a Level 1 measurement. The estimated fair value of the Company's long-term borrowings is determined by Level 2 inputs and based primarily on quoted market prices for the same or similar issues. As of June 30, 2024, the 2017 Term Loan had a carrying value of $18.9 million and a fair value of $18.9 million. As of December 31, 2023, the 2017 Term Loan had a carrying value of $18.7 million and a fair value of $19.7 million. The estimated fair value of the 2017 Term Loan was determined based on a discounted cash flow approach using available market information on discount and borrowing rates with similar terms, maturities, and credit ratings. The carrying value of the Company's other long-term borrowing at June 30, 2024 was $1.3 million and approximated its fair value. At December 31, 2023, the carrying value of the Company's other long-term borrowing was $0.8 million and approximated its fair value.</w:t>
      </w:r>
    </w:p>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40" w:hanging="1295"/>
        <w:spacing w:after="0" w:line="26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7" w:name="page18"/>
    <w:bookmarkEnd w:id="17"/>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21"/>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1"/>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14,386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14,386</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1"/>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June 30,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2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June 30, 2024, the Company has not sold any shares of its common stock pursuant to the Sales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2024, no warrants to purchase common stock were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2019,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w:t>
      </w:r>
    </w:p>
    <w:p>
      <w:pPr>
        <w:spacing w:after="0" w:line="5" w:lineRule="exact"/>
        <w:rPr>
          <w:sz w:val="20"/>
          <w:szCs w:val="20"/>
          <w:color w:val="auto"/>
        </w:rPr>
      </w:pPr>
    </w:p>
    <w:p>
      <w:pPr>
        <w:ind w:right="400" w:firstLine="8"/>
        <w:spacing w:after="0" w:line="266"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of the outstanding capital stock on each December 31st, or (ii) such lesser amount determined by the Board. As of June 30, 2024, 2,109,692 shares of common stock remained available for future awards under the 2019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1,387,459</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98"/>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920,175</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(280,054)</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(348,111)</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2024</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1,679,469</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June 30, 2024, all of the outstanding RSUs were unvested. The fair value of RSUs vested in the six months ended June 30, 2024 and 2023 was $0.5 million and $0.4 million, respectively. The weighted average grant date fair value for RSUs granted in the six months ended June 30, 2024 and 2023 was $ 1.89 and $2.42, respectively. As of June 30, 2024, total unrecognized compensation cost related to RSUs was $3.8 million, which is expected to be recognized over a remaining weighted-average vesting period of 3.0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55,500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Pr>
          <w:p>
            <w:pPr>
              <w:jc w:val="right"/>
              <w:spacing w:after="0"/>
              <w:rPr>
                <w:sz w:val="20"/>
                <w:szCs w:val="20"/>
                <w:color w:val="auto"/>
              </w:rPr>
            </w:pPr>
            <w:r>
              <w:rPr>
                <w:rFonts w:ascii="Arial" w:cs="Arial" w:eastAsia="Arial" w:hAnsi="Arial"/>
                <w:sz w:val="14"/>
                <w:szCs w:val="14"/>
                <w:color w:val="auto"/>
              </w:rPr>
              <w:t>(7,695)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color w:val="auto"/>
              </w:rPr>
              <w:t>Outstanding, June 30,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817,046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June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817,046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tcPr>
          <w:p>
            <w:pPr>
              <w:ind w:left="20"/>
              <w:spacing w:after="0"/>
              <w:rPr>
                <w:sz w:val="20"/>
                <w:szCs w:val="20"/>
                <w:color w:val="auto"/>
              </w:rPr>
            </w:pPr>
            <w:r>
              <w:rPr>
                <w:rFonts w:ascii="Arial" w:cs="Arial" w:eastAsia="Arial" w:hAnsi="Arial"/>
                <w:sz w:val="14"/>
                <w:szCs w:val="14"/>
                <w:color w:val="auto"/>
              </w:rPr>
              <w:t>Options exercisable, June 30,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786,623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There were 55,500 and 58,500 stock options granted in the six months ended June 30, 2024 and 2023, respectively. The intrinsic value is calculated as the difference between the fair value of the Company's common stock and the exercise price of the stock options. The aggregate intrinsic value of options exercised during the six months ended June 30, 2024 was negligible. The aggregate intrinsic value of options exercised during the six months ended June 30, 2023 was $0.2 million. As of June 30, 2024, total unrecognized compensation cost related to option awards was $0.1 million, which is expected to be recognized over a remaining weighted-average vesting period of 2.23 years.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As of June 30, 2024, 565,187 shares of common stock remained available for issuance under the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1,705</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r>
      <w:tr>
        <w:trPr>
          <w:trHeight w:val="21"/>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included in our Annual Report on Form 10-K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estimates regarding profitability and the time that may elapse before we may become profitable,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Annual Report on Form 10-K for the fiscal year ended December 31, 2023 and Part II, Item 1A, “Risk Factors” in this Quarterly Report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exist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autoimmune and autoimmune-related diseases. We believe our focus on and experience in the field of rheumatology, combined with our commitment to excellent customer service and support, position us very well to respond to the needs of rheumatologists and the patients they serve. There is an unmet need for rheumatologists to add clarity in their connective tissue disease (CTD) clinical evaluation, and we believe there is a significant opportunity for our tests in this market, particularly for potentially life-threatening diseases such as systemic lupus erythematosus (SLE).</w:t>
      </w:r>
    </w:p>
    <w:p>
      <w:pPr>
        <w:spacing w:after="0" w:line="1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We commercially launched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included as part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and employs a patent-protected method for diagnosing patients with SLE based on levels of CB-CAPs (e.g. EC4d and BC4d), ANA, and ds-DNA.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also employs patent-protected algorithms used to generate risk scores to diagnose patients with SLE based on the levels of the biomarkers. These proprietary, patent-protected methods vastly improve the diagnostic sensitivity of our test compared to the current standard of care.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Revenue from this product comprised 90% and 88% of our revenue for the six months ended June 30, 2024 and 2023, respectively. For the six months ended June 30, 2024 and 2023, we incurred net losses of $6.3 million and $12.7 million, respectively, and we expect to continue to incur operating losses in the near term. Our operations have been funded primarily through equity financings, debt financings and revenue from product sales. We have never been profitable and, as of June 30, 2024, we had $24.5 million of cash and cash equivalents and an accumulated deficit of $285.5 million.</w:t>
      </w:r>
    </w:p>
    <w:p>
      <w:pPr>
        <w:spacing w:after="0" w:line="19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Medicaid), client payors (such as hospitals, other laboratories, etc.) and patients. Reimbursement rates vary by product and payor.</w:t>
      </w:r>
    </w:p>
    <w:p>
      <w:pPr>
        <w:spacing w:after="0" w:line="22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performed in our approximately 13,000 square-foot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clinical research organizations for the use of our testing products and/or the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TC4d, TIgG and TIgM Biomarkers</w:t>
      </w:r>
    </w:p>
    <w:p>
      <w:pPr>
        <w:spacing w:after="0" w:line="2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collaborative efforts with the Allegheny Health Network Research Institute (AHN) have resulted in further development of three innovative biomarkers, TC4d, TIgG, and TIgM (the T-Cell Biomarkers), for which we obtained an exclusive, worldwide license from AHN in May 2021. These biomarkers have been clinically validated, exhibit a high degree of specificity for lupus and are more sensitive for lupus compared to conventional biomarkers. TC4d is patent protected through 2035, representing a proprietary expansion of CB-CAPs, involving a biochemical process wherein complement activation products are measured on T-cells. We currently plan to incorporate these three biomarkers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toward the end of 2024. Once incorporated, we believe these biomarkers will significantly enhance the diagnostic sensitivity for lupus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beyond its current 80% sensitivity.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 Sub-Profile</w:t>
      </w:r>
    </w:p>
    <w:p>
      <w:pPr>
        <w:spacing w:after="0" w:line="2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Approximately 70% of rheumatoid arthritis (RA) patients show serological evidence of RA, identified by key biomarkers: anti-CCP and Rheumatoid Factor. The remaining 30% of patients, despite lacking these serological markers, are clinically diagnosed with RA; this subgroup is referred to as “seronegative RA.” These patients often face delays in diagnosis due to the absence of serological evidence. In cases of early inflammatory arthritis, differential diagnosis is broad, including conditions like reactive arthritis, crystal arthropathy, spondyloarthropathy, and other systemic rheumatic diseases such as SLE and Sjogren’s syndrome, alongside seronegative RA. We have identified three unique biomarkers specific to seronegative RA (the RA Sub-Profile Biomarkers) that help bridge this diagnostic gap and would enable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to correctly identify approximately a third of the traditional seronegative RA subgroup. We currently plan to incorporate these new biomarkers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toward the end of 2024, allowing for more timely and targeted treatment plans for these patients.</w:t>
      </w:r>
    </w:p>
    <w:p>
      <w:pPr>
        <w:spacing w:after="0" w:line="19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believe that the addition of the biomarkers discussed above will further differentiate our core test offerings in the market and be accretive to our financial performance. Additionally, we anticipate progressive incremental improvements in demand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over time, as we educate physicians about the benefits these new markers provide. Given the financial impact we expect from the planned launch of these new biomarkers, we estimate that we will achieve positive cash flows within a year of launching both the T-Cell Biomarkers and the RA Sub-Profile Biomarkers. This estimate assumes, among other things, that we are able to incrementally increase the average selling price per test. This estimate may ultimately be incorrect.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74" w:lineRule="exact"/>
        <w:rPr>
          <w:sz w:val="20"/>
          <w:szCs w:val="20"/>
          <w:color w:val="auto"/>
        </w:rPr>
      </w:pPr>
    </w:p>
    <w:p>
      <w:pPr>
        <w:ind w:left="660" w:hanging="328"/>
        <w:spacing w:after="0" w:line="252" w:lineRule="auto"/>
        <w:tabs>
          <w:tab w:leader="none" w:pos="65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we've held claims in the first half of the year which has resulted in increases in our accounts receivable and an accelerated decrease in our cash in the first half of the year. We expect this trend to reverse in the second half of the year, as cash is collected on billed tests.</w:t>
      </w:r>
    </w:p>
    <w:p>
      <w:pPr>
        <w:spacing w:after="0" w:line="57" w:lineRule="exact"/>
        <w:rPr>
          <w:rFonts w:ascii="Arial" w:cs="Arial" w:eastAsia="Arial" w:hAnsi="Arial"/>
          <w:sz w:val="18"/>
          <w:szCs w:val="18"/>
          <w:b w:val="1"/>
          <w:bCs w:val="1"/>
          <w:i w:val="1"/>
          <w:iCs w:val="1"/>
          <w:color w:val="auto"/>
        </w:rPr>
      </w:pPr>
    </w:p>
    <w:p>
      <w:pPr>
        <w:ind w:left="660" w:right="20" w:hanging="328"/>
        <w:spacing w:after="0" w:line="238" w:lineRule="auto"/>
        <w:tabs>
          <w:tab w:leader="none" w:pos="649" w:val="left"/>
        </w:tabs>
        <w:numPr>
          <w:ilvl w:val="0"/>
          <w:numId w:val="5"/>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Continued Growth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June 30, 2024,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approximately 950,000 of these tests. During the three months ended June 30, 2024,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declined by approximately 13% over the same period in 2023. Revenue growth for our testing products will depend, in part, on our ability to continue to expand our base of ordering healthcare providers and increase our penetration with existing healthcare providers, in addition to our ability to successfully and timely launch the T-Cell Biomarkers and RA Sub-Profile Biomarkers we plan to add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3" w:lineRule="exact"/>
        <w:rPr>
          <w:rFonts w:ascii="Arial" w:cs="Arial" w:eastAsia="Arial" w:hAnsi="Arial"/>
          <w:sz w:val="20"/>
          <w:szCs w:val="20"/>
          <w:color w:val="auto"/>
        </w:rPr>
      </w:pPr>
    </w:p>
    <w:p>
      <w:pPr>
        <w:ind w:left="660" w:right="120" w:hanging="328"/>
        <w:spacing w:after="0"/>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spacing w:after="0" w:line="86" w:lineRule="exact"/>
        <w:rPr>
          <w:rFonts w:ascii="Arial" w:cs="Arial" w:eastAsia="Arial" w:hAnsi="Arial"/>
          <w:sz w:val="18"/>
          <w:szCs w:val="18"/>
          <w:color w:val="auto"/>
        </w:rPr>
      </w:pPr>
    </w:p>
    <w:p>
      <w:pPr>
        <w:ind w:left="660" w:hanging="328"/>
        <w:spacing w:after="0" w:line="259"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seek to maintain meaningful margin through a continued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certain internal initiatives, such as leveraging validation, utility and reimbursement oriented clinical studies to facilitate payor coverage of our testing products. We center our efforts around long-term reimbursement and average sales price (ASP) growth and seek to improve our per-test costs by focusing on profitable, core test offerings and limiting fixed costs and overhead.</w:t>
      </w:r>
    </w:p>
    <w:p>
      <w:pPr>
        <w:spacing w:after="0" w:line="71" w:lineRule="exact"/>
        <w:rPr>
          <w:rFonts w:ascii="Arial" w:cs="Arial" w:eastAsia="Arial" w:hAnsi="Arial"/>
          <w:sz w:val="18"/>
          <w:szCs w:val="18"/>
          <w:color w:val="auto"/>
        </w:rPr>
      </w:pPr>
    </w:p>
    <w:p>
      <w:pPr>
        <w:ind w:left="660" w:right="60" w:hanging="328"/>
        <w:spacing w:after="0" w:line="245"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82" w:lineRule="exact"/>
        <w:rPr>
          <w:rFonts w:ascii="Arial" w:cs="Arial" w:eastAsia="Arial" w:hAnsi="Arial"/>
          <w:sz w:val="18"/>
          <w:szCs w:val="18"/>
          <w:color w:val="auto"/>
        </w:rPr>
      </w:pPr>
    </w:p>
    <w:p>
      <w:pPr>
        <w:ind w:left="660" w:right="320" w:hanging="328"/>
        <w:spacing w:after="0" w:line="268"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3" w:name="page24"/>
    <w:bookmarkEnd w:id="23"/>
    <w:p>
      <w:pPr>
        <w:spacing w:after="0" w:line="262"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as well as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2023, filed with the SEC on March 18,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 xml:space="preserve">We recognize revenue in accordance with the provisions of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We record revenue on an accrual basis, using an estimate of the amount we will ultimately receive, as determined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analysis of amounts collected by test and by payor, among other factors. These assessments require significant judgment by management.</w:t>
      </w:r>
    </w:p>
    <w:p>
      <w:pPr>
        <w:spacing w:after="0" w:line="17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9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5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April 2022, we were granted a Proprietary Laboratory Code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our Medicare Administrative Contractor, has set the current pricing for this PLA code at $840.65 per test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9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and on September 27, 2022, we received notice that Noridian has deemed our application for a Local Coverage Determination (LCD) to be valid.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In the meantime, we have continued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 On January 31, 2024, CMS released a coverage article under which all multi-analyte proteomic testing will be considered within the scope of molecular diagnostic services (MolDX) and reviewed through their technology assessment process. The article listed several such tests, including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and requires all laboratories furnishing multi-analyte proteomics testing in MolDX jurisdictions to register with the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ind w:right="40"/>
        <w:spacing w:after="0" w:line="238" w:lineRule="auto"/>
        <w:rPr>
          <w:sz w:val="20"/>
          <w:szCs w:val="20"/>
          <w:color w:val="auto"/>
        </w:rPr>
      </w:pPr>
      <w:r>
        <w:rPr>
          <w:rFonts w:ascii="Arial" w:cs="Arial" w:eastAsia="Arial" w:hAnsi="Arial"/>
          <w:sz w:val="18"/>
          <w:szCs w:val="18"/>
          <w:color w:val="auto"/>
        </w:rPr>
        <w:t>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Diagnostics Exchange Registry and obtain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We were issued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May 2024. To determine if the submitted tests are compliant with relevant policy requirements, these tests will undergo technical assessment by Palmetto GBA as part of the MolDX program.</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We experienced moderate declines in test volume in the second half of 2023 and into January 2024, as rheumatologists and patients adjusted to these changes.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during the three months ended June 30, 2024 grew by approximately 8% as compared to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during the three months ended March 31, 2024. We consider reporting of absolute test volumes to be a competitive disadvantage. As a result, beginning in the quarter ended June 30, 2024, we will be providing the percentage change in test volume on a quarterly basis and the annual test volume on an annual basis in our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costs of revenue will remain relatively consistent in the near-term.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selling, general and administrative expenses will remain relatively consistent in the near-term.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research and development expenses will remain relatively consistent in the near-term.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w:t>
      </w:r>
    </w:p>
    <w:p>
      <w:pPr>
        <w:sectPr>
          <w:pgSz w:w="11900" w:h="16838" w:orient="portrait"/>
          <w:cols w:equalWidth="0" w:num="1">
            <w:col w:w="11240"/>
          </w:cols>
          <w:pgMar w:left="320" w:top="1104"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2024 and 2023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99"/>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99"/>
        </w:trPr>
        <w:tc>
          <w:tcPr>
            <w:tcW w:w="57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10,464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(1,489)</w:t>
            </w:r>
          </w:p>
        </w:tc>
      </w:tr>
      <w:tr>
        <w:trPr>
          <w:trHeight w:val="20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9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17,651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w:t>
            </w: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Revenue increased $0.9 million, or 6.6%, for the three months ended June 30, 2024 compared to the three months ended June 30, 2023, primarily due to improved ASP, and cash collections from tests performed in prior periods above accrued of $3.1 million, partially offset by decreased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year-over-year volume in the amount of $1.7 million.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90% of revenue and 88% of revenue in the three months ended June 30, 2024 and 2023, respectively, declined by approximately 13% in the three months ended June 30, 2024 as compared to the same period in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Costs of revenue increased $0.2 million, or 2.9%, for the three months ended June 30, 2024 compared to the three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 This increase was primarily due to an increase of $0.4 million in direct labor; an increase of $0.2 million in shipping and handling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increased cost-per-shipment, partially offset by reduced shipping volume; and an increase of $0.1 million in royalty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a decrease of $0.4 million in materials and supplies expenses, and a decrease of $0.1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facilities and allocated overhead expenses. Gross margin as a percentage of revenue increased to 60.1%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2024, compared to 58.7% for the three months ended June 30, 2023, primarily due to the changes to revenue and costs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decreased $1.5 million, or 12.5%, for the three months ended June 30, 2024 compared to the three months ended June 30, 2023. This decrease was primarily due to decreases of $0.7 million in legal settlement costs, $0.5 million in employee-related expenses (including salaries, benefits and stock-based compensation) resulting from reduced headcount, $ 0.2 million in facilities and allocated overhead expenses, $0.1 million in audit and tax services, partially offset by an increase of $0.1 million in commissions.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Research and development expenses decreased $0.1 million, or 6.7%, for the three months ended June 30, 2024 compared to the three months ended June 30, 2023, primarily due to a decrease of $0.1 million in clinical trial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6" w:name="page27"/>
    <w:bookmarkEnd w:id="26"/>
    <w:p>
      <w:pPr>
        <w:ind w:right="340"/>
        <w:spacing w:after="0" w:line="287" w:lineRule="auto"/>
        <w:rPr>
          <w:sz w:val="20"/>
          <w:szCs w:val="20"/>
          <w:color w:val="auto"/>
        </w:rPr>
      </w:pPr>
      <w:r>
        <w:rPr>
          <w:rFonts w:ascii="Arial" w:cs="Arial" w:eastAsia="Arial" w:hAnsi="Arial"/>
          <w:sz w:val="18"/>
          <w:szCs w:val="18"/>
          <w:color w:val="auto"/>
        </w:rPr>
        <w:t>Interest expense remained relatively consistent for the three months ended June 30, 2024 compared to the three months ended June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Interest income decreased by $ 0.3 million for the three months ended June 30, 2024 compared to the three months ended June 30, 2023, primarily due to lower cash and cash equivalents balances of interest-earning accounts.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2024 and 2023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29,479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11,825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21,006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(2,831)</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35,069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r>
      <w:tr>
        <w:trPr>
          <w:trHeight w:val="21"/>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Revenue increased $4.1 million, or 16.2%, for the six months ended June 30, 2024 compared to the six months ended June 30, 2023, primarily due to improved ASP, and cash collections from tests performed in prior periods above accrued of $5.1 million, partially offset by decreased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year-over-year volume in the amount of $3.6 million.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90% of revenue and 88% of revenue in the six months ended June 30, 2024 and 2023, respectively, declined by approximately 16% in the six months ended June 30, 2024 as compared to the same period in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Costs of revenue increased $0.1 million, or 0.5%, for the six months ended June 30, 2024 compared to the six months ended June 30, 2023. This increase was primarily due to an increase of $0.4 million in direct labor; an increase of $0.4 million in shipping and handling costs resulting from increased cost-per-shipment, offset in-part by reduced shipping volume; and an increase of $0.2 million in royalty expenses. These increases were partially offset by a decrease of $0.9 million in materials and supplies expenses. Gross margin as a percentage of revenue increased to 59.9% for the six months ended June 30, 2024, compared to 53.6% for the six months ended June 30, 2023, primarily due to the changes to revenue and costs of revenue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decreased $2.8 million, or 11.9%, for the six months ended June 30, 2024 compared to the six months ended June 30, 2023. This decrease was primarily due to decreases of $1.3 million in employee-related expenses (including salaries, benefits and stock-based compensation) resulting from reduced headcount, $0.8 million in legal settlement costs, $0.2 million in insurance expenses, $0.2 million in audit and tax services, $0.2 million in facilities and allocated overhead expenses, and $0.2 million in commissions.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Research and development expenses decreased $ 0.2 million, or 6.3%, for the six months ended June 30, 2024 compared to the six months ended June 30, 2023. This decrease was primarily due to decreases of $0.2 million in clinical trial expenses and $0.1 million in facilities and allocated overhead expenses, partially offset by an increase of $0.1 million in employee-related expenses (including salaries, benefits and stock-based compensation).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expense decreased by $0.1 million for the six months ended June 30, 2024 compared to the six months ended June 30, 2023. This decrease was due to interest savings related to the term loan agreement entered into in September 2017 (the 2017 Term Loan), by and between the Company and Innovatus Life Sciences Lending Fund I, LP, as amended.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Interest income decreased by $ 0.8 million for the six months ended June 30, 2024 compared to the six months ended June 30, 2023, primarily due to lower cash and cash equivalents balances of interest-earning accounts.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incurred net losses since our inception. For the six months ended June 30, 2024 and 2023, we incurred a net loss of $6.3 million and $12.7 million, respectively, and we expect to incur additional losses in future periods. To date, we have generated only limited revenue, and, despite any estimates we may make regarding our ability to become profitable, we may never achieve revenue sufficient to offset our expenses. As of June 30, 2024, we had an accumulated deficit of $285.5 million and cash and cash equivalents of $24.5 million. Cash in excess of immediate requirements is invested in accordance with our investment policy, primarily with a view to liquidity and capital preservation. Currently, our funds are held in cash and money market funds.</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Borrowings, to the unaudited condensed financial statements included in this Quarterly Report on Form 10-Q for additional information.</w:t>
      </w:r>
    </w:p>
    <w:p>
      <w:pPr>
        <w:spacing w:after="0" w:line="17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 (i) within thirty days of failing to achieve the performance covenant, we submit a new financial plan approved by our Board of Directors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June 30, 2024,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9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On November 17, 2023, we filed a registration statement on Form S-3 covering the offering, from time to time, of up to $150.0 million of common stock, preferred stock, debt securities, warrants and units, all of which remained unsold at June 30, 2024.</w:t>
      </w:r>
    </w:p>
    <w:p>
      <w:pPr>
        <w:spacing w:after="0" w:line="15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September 15, 2022, we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June 30, 2024, the Company has not sold any shares of its common stock pursuant to the Sales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8" w:right="39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Borrowings, and Note 5, Commitments and Contingencies, to our unaudited financial statements included in this Quarterly Report on Form 10-Q).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4" w:lineRule="exact"/>
        <w:rPr>
          <w:sz w:val="20"/>
          <w:szCs w:val="20"/>
          <w:color w:val="auto"/>
        </w:rPr>
      </w:pPr>
    </w:p>
    <w:p>
      <w:pPr>
        <w:ind w:left="660" w:right="38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5" w:lineRule="exact"/>
        <w:rPr>
          <w:rFonts w:ascii="Arial" w:cs="Arial" w:eastAsia="Arial" w:hAnsi="Arial"/>
          <w:sz w:val="18"/>
          <w:szCs w:val="18"/>
          <w:color w:val="auto"/>
        </w:rPr>
      </w:pPr>
    </w:p>
    <w:p>
      <w:pPr>
        <w:ind w:left="660" w:right="80" w:hanging="328"/>
        <w:spacing w:after="0" w:line="23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76"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 and</w:t>
      </w:r>
    </w:p>
    <w:p>
      <w:pPr>
        <w:spacing w:after="0" w:line="1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6"/>
        </w:trPr>
        <w:tc>
          <w:tcPr>
            <w:tcW w:w="8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r>
      <w:tr>
        <w:trPr>
          <w:trHeight w:val="197"/>
        </w:trPr>
        <w:tc>
          <w:tcPr>
            <w:tcW w:w="8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8"/>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(11,466)</w:t>
            </w:r>
          </w:p>
        </w:tc>
        <w:tc>
          <w:tcPr>
            <w:tcW w:w="10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(19,903)</w:t>
            </w:r>
          </w:p>
        </w:tc>
      </w:tr>
      <w:tr>
        <w:trPr>
          <w:trHeight w:val="20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(10,304)</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(30,925)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2024 was $11.5 million, primarily resulting from (i) our net loss of $6.3 million adjusted for non-cash charges of $ 2.8 million primarily related to stock-based compensation, depreciation, amortization and non-cash lease expense and (ii) changes in our net operating assets of $7.9 million primarily related to net increases in accounts receivable and net decreases in accounts payable, operating lease liabilities and accrued and other current liabilities, partially offset by net decreases in prepaid expenses. The increase in accounts receivable was primarily due to delays in claim submission as part of our revenue cycle management initiatives.</w:t>
      </w:r>
    </w:p>
    <w:p>
      <w:pPr>
        <w:spacing w:after="0" w:line="1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used in operating activities for the six months ended June 30, 2023 was $19.9 million, primarily resulting from (i) our net loss of $12.7 million adjusted for non-cash charges of $3.9 million primarily related to stock-based compensation, depreciation, amortization, non-cash lease expense and non-cash interest and (ii) changes in our net operating assets of $11.1 million primarily related to net increases in accounts receivable and accrued and other current liabilities, partially offset by net decreases in accounts payable, prepaid expenses, other current assets and operating lease liabilities. The increase in accounts receivable was primarily due to delays in claim submission as part of our revenue cycle management initiatives and delayed claim processing by Medicare due to a request for medical records on submitted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Net cash used in investing activities for the six months ended June 30, 2024 and 2023 was $0.2 million and $0.7 million, respectively, due to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Net cash used in financing activities for the six months ended June 30, 2024 was $0.3 million, primarily resulting from payments on finance lease and notes payable obligations, partially offset by proceeds from purchases under the Company's 2019 Employee Stock Purchase Plan.</w:t>
      </w:r>
    </w:p>
    <w:p>
      <w:pPr>
        <w:spacing w:after="0" w:line="130"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Net cash used in financing activities for the six months ended June 30, 2023 was $10.3 million, primarily resulting from the Term Loan Prepayment of $10.0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accounting principles generally accepted in the United States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filed with the Securities and Exchange Commission (SEC) on March 18, 2024. There have been no significant changes in our critical accounting policies and estimates during the six months ended June 30, 2024 as compared to the critical accounting policies and estimates disclosed in the Management’s Discussion and Analysis of Financial Condition and Operations included in our Annual Report on Form 10-K for the year ended December 31, 2023, filed with the SEC on March 18,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Please see Note 2, Summary of Significant Accounting Policies, to the unaudited condensed financial statements included in this Quarterly Report on Form 10-Q for a summary of recent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like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580" w:firstLine="8"/>
        <w:spacing w:after="0" w:line="258"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which will occur in on December 31,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6" w:right="459" w:bottom="1440" w:gutter="0" w:footer="0" w:header="0"/>
        </w:sectPr>
      </w:pPr>
    </w:p>
    <w:bookmarkStart w:id="31" w:name="page32"/>
    <w:bookmarkEnd w:id="31"/>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June 30, 2024, our disclosure controls and procedures were effective at a reasonable level of assurance.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2024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2023, we resolved an investigation with the U.S. Attorney’s Office for the District of Massachusetts that was initiated by a qui tam lawsuit. Pursuant to a settlement agreement entered into by and between us and the U.S. Department of Justice (the Settlement Agreement), we made a single lump-sum remittance to the government in the amount of $0.7 million plus interest in connection with specimen processing arrangements that we historically had with physicians. The U.S. Attorney’s Office dismissed this “covered conduct” in the qui tam with prejudice, while non-covered conduct was dismissed without prejudice. In November 2023, the complaint was unsealed and served on us. We filed a motion to dismiss the complaint. In February 2024, the relator filed a motion for leave to amend the complaint. We opposed this motion, and all motions are still pending. We cannot predict when these matters will be resolved, the outcome of these matters, or their potential impact, which may materially and adversely affect our business, prospects, and financial condition. We intend to vigorously defend against the claims being asserted in the complaint.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participation in federal healthcare programs is not affected by the Settlement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2023, other than those set forth below:</w:t>
      </w:r>
    </w:p>
    <w:p>
      <w:pPr>
        <w:spacing w:after="0" w:line="155"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laboratory developed tests (LDTs) and may, in the future, market other tests as LDTs. Although historically the Food and Drug Administration (FDA) has applied a policy of enforcement discretion with respect to LDTs whereby the FDA does not generally actively enforce its regulatory requirements for such tests, in October 2023, the FDA issued a proposed rule to regulate LDTs under the current medical device framework. The agency’s final rule was released to the public on April 29, 2024, officially published in the Federal Register on May 6, 2024, and became effective as of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the FDA has stated that if premarket submissions are pending review it will continue to exercise enforcement discretion with respect to those tests.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We have begun the process of evaluating the final rule’s potential impact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our operations, and our business more generally.</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Moreover, on May 29, 2024, the American Clinical Laboratory Association (ACLA) and one of its members filed a complaint against the FDA in the Eastern District of Texas, alleging that the agency does not have authority to promulgate the LDT final rule and seeking to vacate the FDA’s action. The outcome of such litigation is uncertain. The ongoing litigation could potentially affect the FDA’s plans to implement these new LDT requirements, making the implementation timeline somewhat uncertain. 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3" w:name="page34"/>
    <w:bookmarkEnd w:id="33"/>
    <w:p>
      <w:pPr>
        <w:ind w:right="420"/>
        <w:spacing w:after="0" w:line="287" w:lineRule="auto"/>
        <w:rPr>
          <w:sz w:val="20"/>
          <w:szCs w:val="20"/>
          <w:color w:val="auto"/>
        </w:rPr>
      </w:pPr>
      <w:r>
        <w:rPr>
          <w:rFonts w:ascii="Arial" w:cs="Arial" w:eastAsia="Arial" w:hAnsi="Arial"/>
          <w:sz w:val="18"/>
          <w:szCs w:val="18"/>
          <w:color w:val="auto"/>
        </w:rPr>
        <w:t xml:space="preserve">harmonize the regulatory paradigms applicable to LDTs and other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as discussed further below, making it unclear whether any legislative efforts would be successful going forward.</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FDA implements the LDT final rule or Congress enacts comprehensive legislation to regulate in vitro diagnostics, such that the agency begins to exercise oversight over LDTs, or if the FDA disagrees that our marketed tests are within the scope of its criteria used for defining LDTs, we may become subject to extensive regulatory requirements and may be required to stop selling our existing tests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tests may decline.</w:t>
      </w:r>
    </w:p>
    <w:p>
      <w:pPr>
        <w:spacing w:after="0" w:line="1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as noted above, Congress had been working on legislation to create an LDT and IVD, regulatory framework that would be separate and distinct from the existing medical device regulatory framework. Reform legislation called the Verifying Accurate Learning-edge IVCT Development ACT of 2023 (the VALID Act) garnered bipartisan and bicameral support in recent years but failed to move out of committee during the last congressional session. As drafted and re-introduced for consideration by the current Congress, the VALID Act would codify the term IVCT to create a new medical product category separate from medical devices to include products currently regulated as IVDs as well as LDTs, among other provisions. The VALID Act would also create a new system for laboratories to use to submit their tests electronically to the FDA for approval, which is aimed at reducing the amount of time it would take for the agency to approve such tests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establish a new program to expedite the development of diagnostic tests that can be used to address a current unmet need for patients. </w:t>
      </w:r>
      <w:r>
        <w:rPr>
          <w:rFonts w:ascii="Times New Roman" w:cs="Times New Roman" w:eastAsia="Times New Roman" w:hAnsi="Times New Roman"/>
          <w:sz w:val="21"/>
          <w:szCs w:val="21"/>
          <w:color w:val="auto"/>
        </w:rPr>
        <w:t>O</w:t>
      </w:r>
      <w:r>
        <w:rPr>
          <w:rFonts w:ascii="Arial" w:cs="Arial" w:eastAsia="Arial" w:hAnsi="Arial"/>
          <w:sz w:val="18"/>
          <w:szCs w:val="18"/>
          <w:color w:val="auto"/>
        </w:rPr>
        <w:t>n March 21, 2024, the House Energy and Commerce held a subcommittee hearing titled “Evaluating Approaches to Diagnostic Test Regulation and the Impact of the FDA’s Proposed Rule.” The private witnesses testifying at the hearing expressed broad support for the bipartisan VALID Act instead of the FDA’s plan to use its medical device authorities to regulate LDTs. More recently, following FDA’s release of the final rule at the end of April, certain members of Congress have objected strenuously to the agency’s action. The FY2025 funding bill for FDA that was passed by the House Appropriations Committee on July 17, 2024 also recommends that the agency suspend its efforts to implement the rule and to instead partner with Congress on developing legislation for the field.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Congress were to pass the VALID Act or any other legislation applicable to the FDA’s regulation of LDTs, we will likely be subject to increased regulatory burdens such as registration and listing requirements, adverse event reporting requirements and quality control requirements. Any legislation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outcome and ultimate impact on our business of the changes to the federal government’s regulation of LDTs is difficult to predict. It is unclear whether Congress will take action, through the VALID Act or otherwise, to supersede FDA’s recent final rule with comprehensive diagnostic reform legislation, or whether such legislation would be signed into law by President Biden. In addition, at this time it is unclear what testing and data may be required to support any required FDA clearance or approval of our tests, should the final rule be fully implemented as envisioned by FDA and HHS.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Furthermore, should it be required in the future under either the final rule or legislative amendments, we cannot be sure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or any new tests that we may develop, will be reviewed and authorized for marketing by the FDA in a timely or cost-effective manner, if authorized at all. Even if such tests are authorized for marketing by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4" w:name="page35"/>
    <w:bookmarkEnd w:id="34"/>
    <w:p>
      <w:pPr>
        <w:ind w:right="420"/>
        <w:spacing w:after="0" w:line="287" w:lineRule="auto"/>
        <w:rPr>
          <w:sz w:val="20"/>
          <w:szCs w:val="20"/>
          <w:color w:val="auto"/>
        </w:rPr>
      </w:pPr>
      <w:r>
        <w:rPr>
          <w:rFonts w:ascii="Arial" w:cs="Arial" w:eastAsia="Arial" w:hAnsi="Arial"/>
          <w:sz w:val="18"/>
          <w:szCs w:val="18"/>
          <w:color w:val="auto"/>
        </w:rPr>
        <w:t>the FDA, the agency could limit the test’s indications for use, which may significantly limit the market for that product and may adversely affect our business and financial condition.</w:t>
      </w:r>
    </w:p>
    <w:p>
      <w:pPr>
        <w:spacing w:after="0" w:line="15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 We have a history of losses, we expect to incur net losses in the near term and we may not be able to generate sufficient revenue to achieve and maintain profitability. Our estimates regarding profitability and the time in which we may achieve profitability may ultimately be incorrect.</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addition, we have incurred net losses since our inception. For the years ended December 31, 2023 and 2022, we incurred net losses of $23.7 million and $47.4 million, respectively. As of June 30, 2024, we had an accumulated deficit of $285.5 million, and we expect to incur additional losses in the remainder of 2024 and in the near term. We also expect to continue to devote substantial resources to increase adoption of, and reimbursement for, our testing products and to develop future testing products. The estimated time in which we may achieve profitability and fluctuations in our operating results may vary from period to period due to a variety of factors, many of which are beyond our control. These factors include, but are not limited to:</w:t>
      </w:r>
    </w:p>
    <w:p>
      <w:pPr>
        <w:spacing w:after="0" w:line="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70"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increase the average selling price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46" w:lineRule="exact"/>
        <w:rPr>
          <w:rFonts w:ascii="Arial" w:cs="Arial" w:eastAsia="Arial" w:hAnsi="Arial"/>
          <w:sz w:val="22"/>
          <w:szCs w:val="22"/>
          <w:color w:val="auto"/>
        </w:rPr>
      </w:pPr>
    </w:p>
    <w:p>
      <w:pPr>
        <w:ind w:left="660" w:right="360" w:hanging="328"/>
        <w:spacing w:after="0" w:line="263"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36" w:lineRule="exact"/>
        <w:rPr>
          <w:rFonts w:ascii="Arial" w:cs="Arial" w:eastAsia="Arial" w:hAnsi="Arial"/>
          <w:sz w:val="20"/>
          <w:szCs w:val="20"/>
          <w:color w:val="auto"/>
        </w:rPr>
      </w:pPr>
    </w:p>
    <w:p>
      <w:pPr>
        <w:ind w:left="660" w:right="560" w:hanging="328"/>
        <w:spacing w:after="0" w:line="276"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w:t>
      </w:r>
    </w:p>
    <w:p>
      <w:pPr>
        <w:spacing w:after="0" w:line="50" w:lineRule="exact"/>
        <w:rPr>
          <w:rFonts w:ascii="Arial" w:cs="Arial" w:eastAsia="Arial" w:hAnsi="Arial"/>
          <w:sz w:val="20"/>
          <w:szCs w:val="20"/>
          <w:color w:val="auto"/>
        </w:rPr>
      </w:pPr>
    </w:p>
    <w:p>
      <w:pPr>
        <w:ind w:left="660" w:right="180" w:hanging="328"/>
        <w:spacing w:after="0" w:line="249" w:lineRule="auto"/>
        <w:tabs>
          <w:tab w:leader="none" w:pos="656"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successfully commercialize new testing products and to do so in the timelines in which we expect, including the future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with our T-Cell Biomarkers and RA Sub-Profile Biomarkers;</w:t>
      </w:r>
    </w:p>
    <w:p>
      <w:pPr>
        <w:ind w:left="660" w:right="40" w:hanging="328"/>
        <w:spacing w:after="0" w:line="247"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65"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level of demand for our testing products, which may vary significantly;</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receipt, timing and mix of revenue for our testing products;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future accounting pronouncements or changes in our accounting policies;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our ability to collect timely reimbursement for our tests;</w:t>
      </w:r>
    </w:p>
    <w:p>
      <w:pPr>
        <w:spacing w:after="0" w:line="80" w:lineRule="exact"/>
        <w:rPr>
          <w:rFonts w:ascii="Arial" w:cs="Arial" w:eastAsia="Arial" w:hAnsi="Arial"/>
          <w:sz w:val="20"/>
          <w:szCs w:val="20"/>
          <w:color w:val="auto"/>
        </w:rPr>
      </w:pPr>
    </w:p>
    <w:p>
      <w:pPr>
        <w:ind w:left="660" w:right="300" w:hanging="328"/>
        <w:spacing w:after="0" w:line="276"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23" w:lineRule="exact"/>
        <w:rPr>
          <w:rFonts w:ascii="Arial" w:cs="Arial" w:eastAsia="Arial" w:hAnsi="Arial"/>
          <w:sz w:val="20"/>
          <w:szCs w:val="20"/>
          <w:color w:val="auto"/>
        </w:rPr>
      </w:pPr>
    </w:p>
    <w:p>
      <w:pPr>
        <w:ind w:left="660" w:right="140" w:hanging="328"/>
        <w:spacing w:after="0" w:line="276"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and could cause our estimates regarding profitability to ultimately be incorrect. For instance during 2023, our operating results varied due, in part, to our efforts regarding revenue cycle management.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profitability estimates or operating results fall below the expectations of analysts or investors or below any forecasts we may provide to the market, this could have a material adverse effect on our business, financial condition and results of operations and/or cause the market price of our common stock to decline.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six months ended June 30, 2024,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6" w:right="4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5"/>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5"/>
          </w:tcPr>
          <w:p>
            <w:pPr>
              <w:spacing w:after="0" w:line="155" w:lineRule="exact"/>
              <w:rPr>
                <w:rFonts w:ascii="Arial" w:cs="Arial" w:eastAsia="Arial" w:hAnsi="Arial"/>
                <w:sz w:val="14"/>
                <w:szCs w:val="14"/>
                <w:color w:val="0000FF"/>
              </w:rPr>
            </w:pPr>
            <w:hyperlink r:id="rId45">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45">
              <w:r>
                <w:rPr>
                  <w:rFonts w:ascii="Arial" w:cs="Arial" w:eastAsia="Arial" w:hAnsi="Arial"/>
                  <w:sz w:val="14"/>
                  <w:szCs w:val="14"/>
                  <w:color w:val="0000FF"/>
                </w:rPr>
                <w:t>Incorporation.</w:t>
              </w:r>
            </w:hyperlink>
          </w:p>
        </w:tc>
        <w:tc>
          <w:tcPr>
            <w:tcW w:w="1480" w:type="dxa"/>
            <w:vAlign w:val="bottom"/>
            <w:tcBorders>
              <w:top w:val="single" w:sz="8" w:color="0000FF"/>
            </w:tcBorders>
            <w:gridSpan w:val="7"/>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5"/>
          </w:tcPr>
          <w:p>
            <w:pPr>
              <w:spacing w:after="0"/>
              <w:rPr>
                <w:rFonts w:ascii="Arial" w:cs="Arial" w:eastAsia="Arial" w:hAnsi="Arial"/>
                <w:sz w:val="14"/>
                <w:szCs w:val="14"/>
                <w:color w:val="0000FF"/>
              </w:rPr>
            </w:pPr>
            <w:hyperlink r:id="rId46">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35"/>
          </w:tcPr>
          <w:p>
            <w:pPr>
              <w:spacing w:after="0"/>
              <w:rPr>
                <w:rFonts w:ascii="Arial" w:cs="Arial" w:eastAsia="Arial" w:hAnsi="Arial"/>
                <w:sz w:val="14"/>
                <w:szCs w:val="14"/>
                <w:color w:val="0000FF"/>
              </w:rPr>
            </w:pPr>
            <w:hyperlink r:id="rId47">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dated January 19,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35"/>
          </w:tcPr>
          <w:p>
            <w:pPr>
              <w:spacing w:after="0"/>
              <w:rPr>
                <w:rFonts w:ascii="Arial" w:cs="Arial" w:eastAsia="Arial" w:hAnsi="Arial"/>
                <w:sz w:val="14"/>
                <w:szCs w:val="14"/>
                <w:color w:val="0000FF"/>
              </w:rPr>
            </w:pPr>
            <w:hyperlink r:id="rId48">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5"/>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Amended and Restated Investors' Rights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62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Agreement, dated July 12, 2019, by and</w:t>
              </w:r>
            </w:hyperlink>
          </w:p>
        </w:tc>
        <w:tc>
          <w:tcPr>
            <w:tcW w:w="520" w:type="dxa"/>
            <w:vAlign w:val="bottom"/>
            <w:gridSpan w:val="19"/>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49">
              <w:r>
                <w:rPr>
                  <w:rFonts w:ascii="Arial" w:cs="Arial" w:eastAsia="Arial" w:hAnsi="Arial"/>
                  <w:sz w:val="13"/>
                  <w:szCs w:val="13"/>
                  <w:color w:val="0000FF"/>
                </w:rPr>
                <w:t>the Company and certain of its stockholders.</w:t>
              </w:r>
            </w:hyperlink>
          </w:p>
        </w:tc>
        <w:tc>
          <w:tcPr>
            <w:tcW w:w="2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35"/>
          </w:tcPr>
          <w:p>
            <w:pPr>
              <w:spacing w:after="0"/>
              <w:rPr>
                <w:rFonts w:ascii="Arial" w:cs="Arial" w:eastAsia="Arial" w:hAnsi="Arial"/>
                <w:sz w:val="14"/>
                <w:szCs w:val="14"/>
                <w:color w:val="0000FF"/>
              </w:rPr>
            </w:pPr>
            <w:hyperlink r:id="rId50">
              <w:r>
                <w:rPr>
                  <w:rFonts w:ascii="Arial" w:cs="Arial" w:eastAsia="Arial" w:hAnsi="Arial"/>
                  <w:sz w:val="14"/>
                  <w:szCs w:val="14"/>
                  <w:color w:val="0000FF"/>
                </w:rPr>
                <w:t>Amended and Restated Stockholders'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5"/>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Agreement, dated July 12, 2019, by and 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50">
              <w:r>
                <w:rPr>
                  <w:rFonts w:ascii="Arial" w:cs="Arial" w:eastAsia="Arial" w:hAnsi="Arial"/>
                  <w:sz w:val="13"/>
                  <w:szCs w:val="13"/>
                  <w:color w:val="0000FF"/>
                </w:rPr>
                <w:t>the Company and certain of its stockholders.</w:t>
              </w:r>
            </w:hyperlink>
          </w:p>
        </w:tc>
        <w:tc>
          <w:tcPr>
            <w:tcW w:w="2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3140" w:type="dxa"/>
            <w:vAlign w:val="bottom"/>
            <w:gridSpan w:val="35"/>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35"/>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connection with private placement financings.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2880" w:type="dxa"/>
            <w:vAlign w:val="bottom"/>
            <w:tcBorders>
              <w:top w:val="single" w:sz="8" w:color="0000FF"/>
            </w:tcBorders>
            <w:gridSpan w:val="24"/>
          </w:tcPr>
          <w:p>
            <w:pPr>
              <w:spacing w:after="0"/>
              <w:rPr>
                <w:rFonts w:ascii="Arial" w:cs="Arial" w:eastAsia="Arial" w:hAnsi="Arial"/>
                <w:sz w:val="14"/>
                <w:szCs w:val="14"/>
                <w:color w:val="0000FF"/>
              </w:rPr>
            </w:pPr>
            <w:hyperlink r:id="rId52">
              <w:r>
                <w:rPr>
                  <w:rFonts w:ascii="Arial" w:cs="Arial" w:eastAsia="Arial" w:hAnsi="Arial"/>
                  <w:sz w:val="14"/>
                  <w:szCs w:val="14"/>
                  <w:color w:val="0000FF"/>
                </w:rPr>
                <w:t>Form of Common Stock Purchase Warrant to</w:t>
              </w:r>
            </w:hyperlink>
          </w:p>
        </w:tc>
        <w:tc>
          <w:tcPr>
            <w:tcW w:w="260" w:type="dxa"/>
            <w:vAlign w:val="bottom"/>
            <w:gridSpan w:val="11"/>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5"/>
          </w:tcPr>
          <w:p>
            <w:pPr>
              <w:spacing w:after="0" w:line="129" w:lineRule="exact"/>
              <w:rPr>
                <w:rFonts w:ascii="Arial" w:cs="Arial" w:eastAsia="Arial" w:hAnsi="Arial"/>
                <w:sz w:val="14"/>
                <w:szCs w:val="14"/>
                <w:color w:val="0000FF"/>
              </w:rPr>
            </w:pPr>
            <w:hyperlink r:id="rId52">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8"/>
          </w:tcPr>
          <w:p>
            <w:pPr>
              <w:spacing w:after="0"/>
              <w:rPr>
                <w:rFonts w:ascii="Arial" w:cs="Arial" w:eastAsia="Arial" w:hAnsi="Arial"/>
                <w:sz w:val="14"/>
                <w:szCs w:val="14"/>
                <w:color w:val="0000FF"/>
              </w:rPr>
            </w:pPr>
            <w:hyperlink r:id="rId53">
              <w:r>
                <w:rPr>
                  <w:rFonts w:ascii="Arial" w:cs="Arial" w:eastAsia="Arial" w:hAnsi="Arial"/>
                  <w:sz w:val="14"/>
                  <w:szCs w:val="14"/>
                  <w:color w:val="0000FF"/>
                </w:rPr>
                <w:t>Form of Exchange Warrant</w:t>
              </w:r>
            </w:hyperlink>
          </w:p>
        </w:tc>
        <w:tc>
          <w:tcPr>
            <w:tcW w:w="1420" w:type="dxa"/>
            <w:vAlign w:val="bottom"/>
            <w:gridSpan w:val="27"/>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5"/>
          </w:tcPr>
          <w:p>
            <w:pPr>
              <w:spacing w:after="0"/>
              <w:rPr>
                <w:rFonts w:ascii="Arial" w:cs="Arial" w:eastAsia="Arial" w:hAnsi="Arial"/>
                <w:sz w:val="14"/>
                <w:szCs w:val="14"/>
                <w:color w:val="0000FF"/>
              </w:rPr>
            </w:pPr>
            <w:hyperlink r:id="rId54">
              <w:r>
                <w:rPr>
                  <w:rFonts w:ascii="Arial" w:cs="Arial" w:eastAsia="Arial" w:hAnsi="Arial"/>
                  <w:sz w:val="14"/>
                  <w:szCs w:val="14"/>
                  <w:color w:val="0000FF"/>
                </w:rPr>
                <w:t>Fourth Amendment to Loan and Security</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5/13/2024</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60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Agreement dated April 12, 2024, by and</w:t>
              </w:r>
            </w:hyperlink>
          </w:p>
        </w:tc>
        <w:tc>
          <w:tcPr>
            <w:tcW w:w="540" w:type="dxa"/>
            <w:vAlign w:val="bottom"/>
            <w:gridSpan w:val="20"/>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6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Innovatus Life Sciences Lending I, LP, other</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lenders and the Company.</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3140" w:type="dxa"/>
            <w:vAlign w:val="bottom"/>
            <w:gridSpan w:val="35"/>
          </w:tcPr>
          <w:p>
            <w:pPr>
              <w:spacing w:after="0"/>
              <w:rPr>
                <w:rFonts w:ascii="Arial" w:cs="Arial" w:eastAsia="Arial" w:hAnsi="Arial"/>
                <w:sz w:val="14"/>
                <w:szCs w:val="14"/>
                <w:color w:val="0000FF"/>
              </w:rPr>
            </w:pPr>
            <w:hyperlink r:id="rId55">
              <w:r>
                <w:rPr>
                  <w:rFonts w:ascii="Arial" w:cs="Arial" w:eastAsia="Arial" w:hAnsi="Arial"/>
                  <w:sz w:val="14"/>
                  <w:szCs w:val="14"/>
                  <w:color w:val="0000FF"/>
                </w:rPr>
                <w:t>Employment Agreement, dated as of September</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8/2/2024</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0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1, 2024, by and between the Company and</w:t>
              </w:r>
            </w:hyperlink>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86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Jeffrey Black.</w:t>
              </w:r>
            </w:hyperlink>
          </w:p>
        </w:tc>
        <w:tc>
          <w:tcPr>
            <w:tcW w:w="1880" w:type="dxa"/>
            <w:vAlign w:val="bottom"/>
            <w:tcBorders>
              <w:top w:val="single" w:sz="8" w:color="0000FF"/>
            </w:tcBorders>
            <w:gridSpan w:val="17"/>
          </w:tcPr>
          <w:p>
            <w:pPr>
              <w:spacing w:after="0"/>
              <w:rPr>
                <w:sz w:val="10"/>
                <w:szCs w:val="10"/>
                <w:color w:val="auto"/>
              </w:rPr>
            </w:pPr>
          </w:p>
        </w:tc>
        <w:tc>
          <w:tcPr>
            <w:tcW w:w="60" w:type="dxa"/>
            <w:vAlign w:val="bottom"/>
            <w:gridSpan w:val="2"/>
          </w:tcPr>
          <w:p>
            <w:pPr>
              <w:spacing w:after="0"/>
              <w:rPr>
                <w:sz w:val="10"/>
                <w:szCs w:val="10"/>
                <w:color w:val="auto"/>
              </w:rPr>
            </w:pPr>
          </w:p>
        </w:tc>
        <w:tc>
          <w:tcPr>
            <w:tcW w:w="10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40" w:type="dxa"/>
            <w:vAlign w:val="bottom"/>
            <w:gridSpan w:val="35"/>
          </w:tcPr>
          <w:p>
            <w:pPr>
              <w:spacing w:after="0"/>
              <w:rPr>
                <w:sz w:val="20"/>
                <w:szCs w:val="20"/>
                <w:color w:val="auto"/>
              </w:rPr>
            </w:pPr>
            <w:r>
              <w:rPr>
                <w:rFonts w:ascii="Arial" w:cs="Arial" w:eastAsia="Arial" w:hAnsi="Arial"/>
                <w:sz w:val="14"/>
                <w:szCs w:val="14"/>
                <w:color w:val="0000FF"/>
              </w:rPr>
              <w:t>Exagen Inc. Amended and Restated Executive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960" w:type="dxa"/>
            <w:vAlign w:val="bottom"/>
            <w:tcBorders>
              <w:top w:val="single" w:sz="8" w:color="0000FF"/>
            </w:tcBorders>
            <w:gridSpan w:val="26"/>
          </w:tcPr>
          <w:p>
            <w:pPr>
              <w:spacing w:after="0" w:line="129" w:lineRule="exact"/>
              <w:rPr>
                <w:sz w:val="20"/>
                <w:szCs w:val="20"/>
                <w:color w:val="auto"/>
              </w:rPr>
            </w:pPr>
            <w:r>
              <w:rPr>
                <w:rFonts w:ascii="Arial" w:cs="Arial" w:eastAsia="Arial" w:hAnsi="Arial"/>
                <w:sz w:val="14"/>
                <w:szCs w:val="14"/>
                <w:color w:val="0000FF"/>
              </w:rPr>
              <w:t>Change in Control and Severance Plan.</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5"/>
          </w:tcPr>
          <w:p>
            <w:pPr>
              <w:spacing w:after="0"/>
              <w:rPr>
                <w:sz w:val="20"/>
                <w:szCs w:val="20"/>
                <w:color w:val="auto"/>
              </w:rPr>
            </w:pPr>
            <w:r>
              <w:rPr>
                <w:rFonts w:ascii="Arial" w:cs="Arial" w:eastAsia="Arial" w:hAnsi="Arial"/>
                <w:sz w:val="14"/>
                <w:szCs w:val="14"/>
                <w:color w:val="0000FF"/>
              </w:rPr>
              <w:t>Certificate of Principal Executive Officer and</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800" w:type="dxa"/>
            <w:vAlign w:val="bottom"/>
            <w:tcBorders>
              <w:top w:val="single" w:sz="8" w:color="0000FF"/>
            </w:tcBorders>
            <w:gridSpan w:val="21"/>
          </w:tcPr>
          <w:p>
            <w:pPr>
              <w:spacing w:after="0" w:line="129" w:lineRule="exact"/>
              <w:rPr>
                <w:sz w:val="20"/>
                <w:szCs w:val="20"/>
                <w:color w:val="auto"/>
              </w:rPr>
            </w:pPr>
            <w:r>
              <w:rPr>
                <w:rFonts w:ascii="Arial" w:cs="Arial" w:eastAsia="Arial" w:hAnsi="Arial"/>
                <w:sz w:val="14"/>
                <w:szCs w:val="14"/>
                <w:color w:val="0000FF"/>
              </w:rPr>
              <w:t>Interim Principal Financial Officer, pursuant</w:t>
            </w:r>
          </w:p>
        </w:tc>
        <w:tc>
          <w:tcPr>
            <w:tcW w:w="340" w:type="dxa"/>
            <w:vAlign w:val="bottom"/>
            <w:gridSpan w:val="14"/>
          </w:tcPr>
          <w:p>
            <w:pPr>
              <w:spacing w:after="0" w:line="129" w:lineRule="exact"/>
              <w:rPr>
                <w:sz w:val="20"/>
                <w:szCs w:val="20"/>
                <w:color w:val="auto"/>
              </w:rPr>
            </w:pPr>
            <w:r>
              <w:rPr>
                <w:rFonts w:ascii="Arial" w:cs="Arial" w:eastAsia="Arial" w:hAnsi="Arial"/>
                <w:sz w:val="14"/>
                <w:szCs w:val="14"/>
                <w:color w:val="0000FF"/>
              </w:rPr>
              <w:t>to</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25"/>
          </w:tcPr>
          <w:p>
            <w:pPr>
              <w:spacing w:after="0" w:line="115" w:lineRule="exact"/>
              <w:rPr>
                <w:sz w:val="20"/>
                <w:szCs w:val="20"/>
                <w:color w:val="auto"/>
              </w:rPr>
            </w:pPr>
            <w:r>
              <w:rPr>
                <w:rFonts w:ascii="Arial" w:cs="Arial" w:eastAsia="Arial" w:hAnsi="Arial"/>
                <w:sz w:val="13"/>
                <w:szCs w:val="13"/>
                <w:color w:val="0000FF"/>
              </w:rPr>
              <w:t>Rule 13a-14(a)/15d-14(a), as adopted pursuant</w:t>
            </w:r>
          </w:p>
        </w:tc>
        <w:tc>
          <w:tcPr>
            <w:tcW w:w="10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20" w:type="dxa"/>
            <w:vAlign w:val="bottom"/>
            <w:gridSpan w:val="29"/>
          </w:tcPr>
          <w:p>
            <w:pPr>
              <w:spacing w:after="0" w:line="129" w:lineRule="exact"/>
              <w:rPr>
                <w:sz w:val="20"/>
                <w:szCs w:val="20"/>
                <w:color w:val="auto"/>
              </w:rPr>
            </w:pPr>
            <w:r>
              <w:rPr>
                <w:rFonts w:ascii="Arial" w:cs="Arial" w:eastAsia="Arial" w:hAnsi="Arial"/>
                <w:sz w:val="14"/>
                <w:szCs w:val="14"/>
                <w:color w:val="0000FF"/>
              </w:rPr>
              <w:t>to Section 302 of the Sarbanes-Oxley Act of</w:t>
            </w:r>
          </w:p>
        </w:tc>
        <w:tc>
          <w:tcPr>
            <w:tcW w:w="12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6"/>
              </w:rPr>
              <w:t>2002.</w:t>
            </w:r>
          </w:p>
        </w:tc>
        <w:tc>
          <w:tcPr>
            <w:tcW w:w="5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5"/>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00" w:type="dxa"/>
            <w:vAlign w:val="bottom"/>
            <w:tcBorders>
              <w:top w:val="single" w:sz="8" w:color="0000FF"/>
            </w:tcBorders>
            <w:gridSpan w:val="28"/>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18"/>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7"/>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tcBorders>
            <w:gridSpan w:val="14"/>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21"/>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1140" w:type="dxa"/>
            <w:vAlign w:val="bottom"/>
            <w:gridSpan w:val="2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5"/>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40" w:type="dxa"/>
            <w:vAlign w:val="bottom"/>
            <w:gridSpan w:val="35"/>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5"/>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40" w:type="dxa"/>
            <w:vAlign w:val="bottom"/>
            <w:gridSpan w:val="35"/>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5"/>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gridSpan w:val="35"/>
          </w:tcPr>
          <w:p>
            <w:pPr>
              <w:spacing w:after="0" w:line="153" w:lineRule="exact"/>
              <w:rPr>
                <w:sz w:val="20"/>
                <w:szCs w:val="20"/>
                <w:color w:val="auto"/>
              </w:rPr>
            </w:pPr>
            <w:r>
              <w:rPr>
                <w:rFonts w:ascii="Arial" w:cs="Arial" w:eastAsia="Arial" w:hAnsi="Arial"/>
                <w:sz w:val="14"/>
                <w:szCs w:val="14"/>
                <w:color w:val="auto"/>
              </w:rPr>
              <w:t>June 30, 2024, has been formatted in Inline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4"/>
          <w:szCs w:val="14"/>
          <w:color w:val="auto"/>
        </w:rPr>
        <w:t>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890" w:right="1179" w:bottom="1440" w:gutter="0" w:footer="0" w:header="0"/>
        </w:sectPr>
      </w:pPr>
    </w:p>
    <w:bookmarkStart w:id="37" w:name="page38"/>
    <w:bookmarkEnd w:id="37"/>
    <w:p>
      <w:pPr>
        <w:ind w:left="643" w:hanging="643"/>
        <w:spacing w:after="0" w:line="287"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53" w:lineRule="exact"/>
        <w:rPr>
          <w:sz w:val="20"/>
          <w:szCs w:val="20"/>
          <w:color w:val="auto"/>
        </w:rPr>
      </w:pPr>
    </w:p>
    <w:p>
      <w:pPr>
        <w:ind w:left="343" w:hanging="343"/>
        <w:spacing w:after="0"/>
        <w:tabs>
          <w:tab w:leader="none" w:pos="343"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Management Compensation Plan or Arrangement.</w:t>
      </w:r>
    </w:p>
    <w:p>
      <w:pPr>
        <w:spacing w:after="0" w:line="200" w:lineRule="exact"/>
        <w:rPr>
          <w:sz w:val="20"/>
          <w:szCs w:val="20"/>
          <w:color w:val="auto"/>
        </w:rPr>
      </w:pPr>
    </w:p>
    <w:p>
      <w:pPr>
        <w:spacing w:after="0" w:line="363"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890" w:right="67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980" w:val="left"/>
          <w:tab w:leader="none" w:pos="6620" w:val="left"/>
        </w:tabs>
        <w:rPr>
          <w:sz w:val="20"/>
          <w:szCs w:val="20"/>
          <w:color w:val="auto"/>
        </w:rPr>
      </w:pPr>
      <w:r>
        <w:rPr>
          <w:rFonts w:ascii="Arial" w:cs="Arial" w:eastAsia="Arial" w:hAnsi="Arial"/>
          <w:sz w:val="18"/>
          <w:szCs w:val="18"/>
          <w:color w:val="auto"/>
        </w:rPr>
        <w:t>Date: August 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17780</wp:posOffset>
            </wp:positionV>
            <wp:extent cx="2837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Aballi</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and Chief Executive Officer and Interim Chief</w:t>
      </w:r>
    </w:p>
    <w:p>
      <w:pPr>
        <w:ind w:left="6640"/>
        <w:spacing w:after="0"/>
        <w:rPr>
          <w:sz w:val="20"/>
          <w:szCs w:val="20"/>
          <w:color w:val="auto"/>
        </w:rPr>
      </w:pPr>
      <w:r>
        <w:rPr>
          <w:rFonts w:ascii="Arial" w:cs="Arial" w:eastAsia="Arial" w:hAnsi="Arial"/>
          <w:sz w:val="18"/>
          <w:szCs w:val="18"/>
          <w:color w:val="auto"/>
        </w:rPr>
        <w:t>Financial Officer</w:t>
      </w:r>
    </w:p>
    <w:p>
      <w:pPr>
        <w:spacing w:after="0" w:line="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 and Interim Principal</w:t>
      </w:r>
    </w:p>
    <w:p>
      <w:pPr>
        <w:ind w:left="664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1133"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EXAGEN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CHANGE IN CONTROL AND SEVERANCE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April 25, 2022</w:t>
      </w:r>
    </w:p>
    <w:p>
      <w:pPr>
        <w:spacing w:after="0" w:line="21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Exagen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Exagen Inc. Amended and Restated Executive Change in Control and Severance Plan, including the attached Exhibits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 This Plan is in effect for Participants who experience certain terminations of employment occurring after the Effective Date (as defined below) and before the termination of this Plan. This Plan supersedes any and all (i) severance plans and separation policies applying to Participants that may have been in effect before the Effective Date and (ii) the provisions of any offer letters or any agreements between any Participant and the Company that provide for severance payments and benefits.</w:t>
      </w:r>
    </w:p>
    <w:p>
      <w:pPr>
        <w:spacing w:after="0" w:line="154"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b w:val="1"/>
          <w:bCs w:val="1"/>
          <w:color w:val="auto"/>
        </w:rPr>
        <w:t>Defined Terms</w:t>
      </w:r>
      <w:r>
        <w:rPr>
          <w:rFonts w:ascii="Times New Roman" w:cs="Times New Roman" w:eastAsia="Times New Roman" w:hAnsi="Times New Roman"/>
          <w:sz w:val="22"/>
          <w:szCs w:val="22"/>
          <w:color w:val="auto"/>
        </w:rPr>
        <w:t>. Capitalized terms used but not otherwise defined herein shall have the meanings indicated below:</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Actual Incentive Compensation</w:t>
      </w:r>
      <w:r>
        <w:rPr>
          <w:rFonts w:ascii="Times New Roman" w:cs="Times New Roman" w:eastAsia="Times New Roman" w:hAnsi="Times New Roman"/>
          <w:sz w:val="22"/>
          <w:szCs w:val="22"/>
          <w:color w:val="auto"/>
        </w:rPr>
        <w:t>” means the Participant’s cash performance bonus, if any, for the year in which the Date of Termination occurs, based on actual performance during the year in which the Date of Termination occurs.</w:t>
      </w:r>
    </w:p>
    <w:p>
      <w:pPr>
        <w:spacing w:after="0" w:line="15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shall have the meaning set forth in Section 2 hereof.</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Base Compensation</w:t>
      </w:r>
      <w:r>
        <w:rPr>
          <w:rFonts w:ascii="Times New Roman" w:cs="Times New Roman" w:eastAsia="Times New Roman" w:hAnsi="Times New Roman"/>
          <w:sz w:val="22"/>
          <w:szCs w:val="22"/>
          <w:color w:val="auto"/>
        </w:rPr>
        <w:t>” means the Participant’s annual base salary rate in effect immediately prior to a Date of Termination, disregarding any reduction which gives rise to Good Reason.</w:t>
      </w:r>
    </w:p>
    <w:p>
      <w:pPr>
        <w:spacing w:after="0" w:line="15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xml:space="preserve">” means an amount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occurrence of any one or more of the following events that the Board has determined, in good faith, has occurred: (i) the Participant’s failure to substantially perform the Participant’s duties (other than a failure resulting from the Participant’s disability), including the Participant’s failure to follow any lawful directive from the Board or the Participant’s immediate supervisor; (ii) the Participant’s violation of any code or standard of behavior generally applicable to Employees or executives of the Company; (iii) engaging in conduct that may reasonably result in reputational, economic or financial injury to the Company or its affiliates; (iv) the Participant’s commission of, indictment for or plea of nolo contendere to a felony, any crime involving fraud or embezzlement under federal, state or local laws or a crime involving moral turpitude; (v) the Participant’s failure to devote substantially all of the Participant’s working time to the business of the Company and its affiliates; (vi) the Participant’s unlawful use (including being under the influence) or possession of illegal drugs on the premises of the Company or any of its affiliates or while performing the Participant’s duties and responsibilities for the Company or any of its affiliates; (vii) the Participant’s commission of an act of fraud, willful misconduct or gross negligence with respect to the Company or its affiliates, or the Participant’s material breach of fiduciary duty against the Company or any of its affiliates; (viii) the Participant’s engaging in misconduct in connection with the performance of any of the</w:t>
      </w:r>
    </w:p>
    <w:p>
      <w:pPr>
        <w:sectPr>
          <w:pgSz w:w="11900" w:h="16838" w:orient="portrait"/>
          <w:cols w:equalWidth="0" w:num="1">
            <w:col w:w="11240"/>
          </w:cols>
          <w:pgMar w:left="320" w:top="94" w:right="339" w:bottom="1440" w:gutter="0" w:footer="0" w:header="0"/>
        </w:sectPr>
      </w:pPr>
    </w:p>
    <w:bookmarkStart w:id="40" w:name="page41"/>
    <w:bookmarkEnd w:id="40"/>
    <w:p>
      <w:pPr>
        <w:jc w:val="both"/>
        <w:spacing w:after="0" w:line="220" w:lineRule="auto"/>
        <w:rPr>
          <w:sz w:val="20"/>
          <w:szCs w:val="20"/>
          <w:color w:val="auto"/>
        </w:rPr>
      </w:pPr>
      <w:r>
        <w:rPr>
          <w:rFonts w:ascii="Times New Roman" w:cs="Times New Roman" w:eastAsia="Times New Roman" w:hAnsi="Times New Roman"/>
          <w:sz w:val="22"/>
          <w:szCs w:val="22"/>
          <w:color w:val="auto"/>
        </w:rPr>
        <w:t>Participant’s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the Participant’s active disloyalty to the Company or its affiliates, including willfully aiding a competitor or improperly disclosing confidential information.</w:t>
      </w:r>
    </w:p>
    <w:p>
      <w:pPr>
        <w:spacing w:after="0" w:line="15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have the meaning set forth in the Company’s 2019 Incentive Award Plan.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CIC Cash Salary Severance</w:t>
      </w:r>
      <w:r>
        <w:rPr>
          <w:rFonts w:ascii="Times New Roman" w:cs="Times New Roman" w:eastAsia="Times New Roman" w:hAnsi="Times New Roman"/>
          <w:sz w:val="22"/>
          <w:szCs w:val="22"/>
          <w:color w:val="auto"/>
        </w:rPr>
        <w:t xml:space="preserve">” means the portion of a Participant’s CIC Cash Severance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CIC Cash Severance</w:t>
      </w:r>
      <w:r>
        <w:rPr>
          <w:rFonts w:ascii="Times New Roman" w:cs="Times New Roman" w:eastAsia="Times New Roman" w:hAnsi="Times New Roman"/>
          <w:sz w:val="22"/>
          <w:szCs w:val="22"/>
          <w:color w:val="auto"/>
        </w:rPr>
        <w:t xml:space="preserve">” means the CIC Cash Salary Severance and, if applicable, the CIC Incentive Compensation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CIC Incentive Compensation Severance</w:t>
      </w:r>
      <w:r>
        <w:rPr>
          <w:rFonts w:ascii="Times New Roman" w:cs="Times New Roman" w:eastAsia="Times New Roman" w:hAnsi="Times New Roman"/>
          <w:sz w:val="22"/>
          <w:szCs w:val="22"/>
          <w:color w:val="auto"/>
        </w:rPr>
        <w:t xml:space="preserve">” means the portion of a Participant’s CIC Cash Severance that is based on the Participant’s Actual Incentive Compensation or Target Incentive Compensation, as applicable, as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CIC Protection Period</w:t>
      </w:r>
      <w:r>
        <w:rPr>
          <w:rFonts w:ascii="Times New Roman" w:cs="Times New Roman" w:eastAsia="Times New Roman" w:hAnsi="Times New Roman"/>
          <w:sz w:val="22"/>
          <w:szCs w:val="22"/>
          <w:color w:val="auto"/>
        </w:rPr>
        <w:t>” means the 12 month period beginning on a Change in Control and ending on and including the one-year anniversary of the date of a Change in Control.</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CIC Severance Benefits</w:t>
      </w:r>
      <w:r>
        <w:rPr>
          <w:rFonts w:ascii="Times New Roman" w:cs="Times New Roman" w:eastAsia="Times New Roman" w:hAnsi="Times New Roman"/>
          <w:sz w:val="22"/>
          <w:szCs w:val="22"/>
          <w:color w:val="auto"/>
        </w:rPr>
        <w:t xml:space="preserve">” means the severance payments and benefits to which a Participant may become entitled pursuant to Section 4 of the Plan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CIC Termination</w:t>
      </w:r>
      <w:r>
        <w:rPr>
          <w:rFonts w:ascii="Times New Roman" w:cs="Times New Roman" w:eastAsia="Times New Roman" w:hAnsi="Times New Roman"/>
          <w:sz w:val="21"/>
          <w:szCs w:val="21"/>
          <w:color w:val="auto"/>
        </w:rPr>
        <w:t>” means a Qualifying Termination that occurs during the CIC Protection Period.</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Claimant</w:t>
      </w:r>
      <w:r>
        <w:rPr>
          <w:rFonts w:ascii="Times New Roman" w:cs="Times New Roman" w:eastAsia="Times New Roman" w:hAnsi="Times New Roman"/>
          <w:sz w:val="21"/>
          <w:szCs w:val="21"/>
          <w:color w:val="auto"/>
        </w:rPr>
        <w:t>” shall have the meaning set forth in Section 11.1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means the Consolidated Omnibus Budget Reconciliation Act of 1985.</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COBRA Period</w:t>
      </w:r>
      <w:r>
        <w:rPr>
          <w:rFonts w:ascii="Times New Roman" w:cs="Times New Roman" w:eastAsia="Times New Roman" w:hAnsi="Times New Roman"/>
          <w:sz w:val="22"/>
          <w:szCs w:val="22"/>
          <w:color w:val="auto"/>
        </w:rPr>
        <w:t xml:space="preserve">” means the number of months during which the Participant is entitled to COBRA Premium Payments,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as applicable.</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 Premium Payment</w:t>
      </w:r>
      <w:r>
        <w:rPr>
          <w:rFonts w:ascii="Times New Roman" w:cs="Times New Roman" w:eastAsia="Times New Roman" w:hAnsi="Times New Roman"/>
          <w:sz w:val="21"/>
          <w:szCs w:val="21"/>
          <w:color w:val="auto"/>
        </w:rPr>
        <w:t>” shall have the meaning set forth in Section 3.2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such other committee as may be appointed by the Board to administer the Plan.</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means the effective date of the termination of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41" w:name="page42"/>
    <w:bookmarkEnd w:id="41"/>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March , 2022.</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 individual who is an employee (within the meaning of Code Section 3401(c)) of the Company or any of its subsidiaries.</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Award</w:t>
      </w:r>
      <w:r>
        <w:rPr>
          <w:rFonts w:ascii="Times New Roman" w:cs="Times New Roman" w:eastAsia="Times New Roman" w:hAnsi="Times New Roman"/>
          <w:sz w:val="21"/>
          <w:szCs w:val="21"/>
          <w:color w:val="auto"/>
        </w:rPr>
        <w:t>” means a Company equity award that vests solely based on the passage of time.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regulations promulgated thereunder.</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shall have the meaning set forth in Section 7.1 hereof.</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153" w:lineRule="exact"/>
        <w:rPr>
          <w:sz w:val="20"/>
          <w:szCs w:val="20"/>
          <w:color w:val="auto"/>
        </w:rPr>
      </w:pPr>
    </w:p>
    <w:p>
      <w:pPr>
        <w:ind w:firstLine="1952"/>
        <w:spacing w:after="0" w:line="236" w:lineRule="auto"/>
        <w:tabs>
          <w:tab w:leader="none" w:pos="2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Participant’s position with the Company which materially diminishes such Participant’s duties, responsibilities, or authority;</w:t>
      </w:r>
    </w:p>
    <w:p>
      <w:pPr>
        <w:spacing w:after="0" w:line="14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of the Participant’s Base Compensation and/or Target Incentive Compensation;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2400" w:hanging="448"/>
        <w:spacing w:after="0"/>
        <w:tabs>
          <w:tab w:leader="none" w:pos="24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Participant’s principal place of employment by more than twenty (20) miles.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Advisors</w:t>
      </w:r>
      <w:r>
        <w:rPr>
          <w:rFonts w:ascii="Times New Roman" w:cs="Times New Roman" w:eastAsia="Times New Roman" w:hAnsi="Times New Roman"/>
          <w:sz w:val="21"/>
          <w:szCs w:val="21"/>
          <w:color w:val="auto"/>
        </w:rPr>
        <w:t>” shall have the meaning set forth in Section 7.2 hereof.</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Non-CIC Cash Salary Severance</w:t>
      </w:r>
      <w:r>
        <w:rPr>
          <w:rFonts w:ascii="Times New Roman" w:cs="Times New Roman" w:eastAsia="Times New Roman" w:hAnsi="Times New Roman"/>
          <w:sz w:val="22"/>
          <w:szCs w:val="22"/>
          <w:color w:val="auto"/>
        </w:rPr>
        <w:t xml:space="preserve">” means the portion of a Participant’s Non-CIC Cash Severance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Non-CIC Cash Severance</w:t>
      </w:r>
      <w:r>
        <w:rPr>
          <w:rFonts w:ascii="Times New Roman" w:cs="Times New Roman" w:eastAsia="Times New Roman" w:hAnsi="Times New Roman"/>
          <w:sz w:val="22"/>
          <w:szCs w:val="22"/>
          <w:color w:val="auto"/>
        </w:rPr>
        <w:t xml:space="preserve">” means the Non-CIC Cash Salary Severance and, if applicable, the Non-CIC Incentive Compensation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1.30 “Non-</w:t>
      </w:r>
      <w:r>
        <w:rPr>
          <w:rFonts w:ascii="Times New Roman" w:cs="Times New Roman" w:eastAsia="Times New Roman" w:hAnsi="Times New Roman"/>
          <w:sz w:val="22"/>
          <w:szCs w:val="22"/>
          <w:u w:val="single" w:color="auto"/>
          <w:color w:val="auto"/>
        </w:rPr>
        <w:t>CIC Incentive Compensation Severance</w:t>
      </w:r>
      <w:r>
        <w:rPr>
          <w:rFonts w:ascii="Times New Roman" w:cs="Times New Roman" w:eastAsia="Times New Roman" w:hAnsi="Times New Roman"/>
          <w:sz w:val="22"/>
          <w:szCs w:val="22"/>
          <w:color w:val="auto"/>
        </w:rPr>
        <w:t xml:space="preserve">” means the portion of a Participant’s Non-CIC Cash Severance that is based on the Participant’s Actual Incentive Compensation or Target Incentive Compensation, as applicable, as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42" w:name="page43"/>
    <w:bookmarkEnd w:id="42"/>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u w:val="single" w:color="auto"/>
          <w:color w:val="auto"/>
        </w:rPr>
        <w:t>Non-CIC Severance Benefits</w:t>
      </w:r>
      <w:r>
        <w:rPr>
          <w:rFonts w:ascii="Times New Roman" w:cs="Times New Roman" w:eastAsia="Times New Roman" w:hAnsi="Times New Roman"/>
          <w:sz w:val="22"/>
          <w:szCs w:val="22"/>
          <w:color w:val="auto"/>
        </w:rPr>
        <w:t xml:space="preserve">” means the severance payments and benefits to which a Participant may become entitled pursuant to Section 3 of the Plan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Employee who is selected by the Administrator to participate in the Plan and is provided with (and, if applicable, countersigns) a Participation Notice in accordance with Section 14.2 hereof, other than any Employee who, at the time of his or her termination of employment, is covered by a plan or agreement with the Company or a subsidiary that provides for cash severance or termination benefits that explicitly supersedes and/or replaces the payments and benefits provided under this Plan. For the avoidance of doubt, retention bonus payments, change in control bonus payments and other similar payments shall not constitute “cash severance” for purposes of this definition.</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Participation Notice</w:t>
      </w:r>
      <w:r>
        <w:rPr>
          <w:rFonts w:ascii="Times New Roman" w:cs="Times New Roman" w:eastAsia="Times New Roman" w:hAnsi="Times New Roman"/>
          <w:sz w:val="21"/>
          <w:szCs w:val="21"/>
          <w:color w:val="auto"/>
        </w:rPr>
        <w:t>” shall have the meaning set forth in Section 14.2 hereof.</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Qualifying Non-CIC Termination</w:t>
      </w:r>
      <w:r>
        <w:rPr>
          <w:rFonts w:ascii="Times New Roman" w:cs="Times New Roman" w:eastAsia="Times New Roman" w:hAnsi="Times New Roman"/>
          <w:sz w:val="22"/>
          <w:szCs w:val="22"/>
          <w:color w:val="auto"/>
        </w:rPr>
        <w:t>” means a termination of a Participant’s employment with the Company without Cause that occurs other than during the CIC Protection Period.</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1.35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a termination of the Participant’s employment with the Company or a subsidiary of the Company, as applicable, by the Company or such subsidiary, as applicable, without Cause, or by the Participant for Good Reason. A Qualifying Termination shall not include a termination due to the Participant’s death or disability.</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shall have the meaning set forth in Section 5 hereof.</w:t>
      </w:r>
    </w:p>
    <w:p>
      <w:pPr>
        <w:spacing w:after="0" w:line="166" w:lineRule="exact"/>
        <w:rPr>
          <w:sz w:val="20"/>
          <w:szCs w:val="20"/>
          <w:color w:val="auto"/>
        </w:rPr>
      </w:pPr>
    </w:p>
    <w:p>
      <w:pPr>
        <w:jc w:val="right"/>
        <w:spacing w:after="0"/>
        <w:tabs>
          <w:tab w:leader="none" w:pos="902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means the CIC Severance Benefits and the Non-CIC Severance Benefits, as</w:t>
      </w:r>
    </w:p>
    <w:p>
      <w:pPr>
        <w:spacing w:after="0"/>
        <w:rPr>
          <w:sz w:val="20"/>
          <w:szCs w:val="20"/>
          <w:color w:val="auto"/>
        </w:rPr>
      </w:pPr>
      <w:r>
        <w:rPr>
          <w:rFonts w:ascii="Times New Roman" w:cs="Times New Roman" w:eastAsia="Times New Roman" w:hAnsi="Times New Roman"/>
          <w:sz w:val="22"/>
          <w:szCs w:val="22"/>
          <w:color w:val="auto"/>
        </w:rPr>
        <w:t>applicable.</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Target Incentive Compensation</w:t>
      </w:r>
      <w:r>
        <w:rPr>
          <w:rFonts w:ascii="Times New Roman" w:cs="Times New Roman" w:eastAsia="Times New Roman" w:hAnsi="Times New Roman"/>
          <w:sz w:val="22"/>
          <w:szCs w:val="22"/>
          <w:color w:val="auto"/>
        </w:rPr>
        <w:t>” means the Participant’s target cash performance bonus, if any, for the year in which the Date of Termination occurs.</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shall have the meaning set forth in Section 7.1 hereof.</w:t>
      </w:r>
    </w:p>
    <w:p>
      <w:pPr>
        <w:spacing w:after="0" w:line="175" w:lineRule="exact"/>
        <w:rPr>
          <w:sz w:val="20"/>
          <w:szCs w:val="20"/>
          <w:color w:val="auto"/>
        </w:rPr>
      </w:pPr>
    </w:p>
    <w:p>
      <w:pPr>
        <w:jc w:val="both"/>
        <w:ind w:firstLine="656"/>
        <w:spacing w:after="0" w:line="222" w:lineRule="auto"/>
        <w:tabs>
          <w:tab w:leader="none" w:pos="1147"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Subject to Section 14.4 hereof, the Plan shall be interpreted, administered and operated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(the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shall, pursuant to a Participation Notice, notify each Participant that such Participant has been selected to participate in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 Administrator (including with respect to whether a CIC Termination has occurred) shall be final, conclusive and binding on all parties who have an interest in the Plan.</w:t>
      </w:r>
    </w:p>
    <w:p>
      <w:pPr>
        <w:spacing w:after="0" w:line="149" w:lineRule="exact"/>
        <w:rPr>
          <w:rFonts w:ascii="Times New Roman" w:cs="Times New Roman" w:eastAsia="Times New Roman" w:hAnsi="Times New Roman"/>
          <w:sz w:val="21"/>
          <w:szCs w:val="21"/>
          <w:color w:val="auto"/>
        </w:rPr>
      </w:pPr>
    </w:p>
    <w:p>
      <w:pPr>
        <w:jc w:val="both"/>
        <w:ind w:right="20" w:firstLine="656"/>
        <w:spacing w:after="0" w:line="227" w:lineRule="auto"/>
        <w:tabs>
          <w:tab w:leader="none" w:pos="10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Benefits Not in Connection with a Change in Control. </w:t>
      </w:r>
      <w:r>
        <w:rPr>
          <w:rFonts w:ascii="Times New Roman" w:cs="Times New Roman" w:eastAsia="Times New Roman" w:hAnsi="Times New Roman"/>
          <w:sz w:val="22"/>
          <w:szCs w:val="22"/>
          <w:color w:val="auto"/>
        </w:rPr>
        <w:t>If the Participant experiences a Qualifying Non-CIC Termination, then, subject to the Participant’s execution and, to the extent applicable, non-revocation of a Release in accordance with Section 5 hereof, and subject to any additional requirements specified in the Plan, Participant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eligible to receive the following payments and benefits (collectively, the “</w:t>
      </w:r>
      <w:r>
        <w:rPr>
          <w:rFonts w:ascii="Times New Roman" w:cs="Times New Roman" w:eastAsia="Times New Roman" w:hAnsi="Times New Roman"/>
          <w:sz w:val="22"/>
          <w:szCs w:val="22"/>
          <w:u w:val="single" w:color="auto"/>
          <w:color w:val="auto"/>
        </w:rPr>
        <w:t>Non-CIC 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Non-CIC Cash Severance Payment</w:t>
      </w:r>
      <w:r>
        <w:rPr>
          <w:rFonts w:ascii="Times New Roman" w:cs="Times New Roman" w:eastAsia="Times New Roman" w:hAnsi="Times New Roman"/>
          <w:sz w:val="22"/>
          <w:szCs w:val="22"/>
          <w:color w:val="auto"/>
        </w:rPr>
        <w:t xml:space="preserve">. The Company shall pay to the Participant an amount equal to the Non-CIC Cash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Subject to Section 6.2 hereof, the Non-CIC Cash Severance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in a lump sum on the 30th day following the Date of Termination.</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premiums for the Participant and the Participant’s covered dependents (in an amount determined based on the same benefit levels as would have applied if the Participant’s employment had not been terminated based on the Participant’s elections in effect on the Date of Termination) (the “</w:t>
      </w:r>
      <w:r>
        <w:rPr>
          <w:rFonts w:ascii="Times New Roman" w:cs="Times New Roman" w:eastAsia="Times New Roman" w:hAnsi="Times New Roman"/>
          <w:sz w:val="22"/>
          <w:szCs w:val="22"/>
          <w:u w:val="single" w:color="auto"/>
          <w:color w:val="auto"/>
        </w:rPr>
        <w:t>COBRA Premium Payment</w:t>
      </w:r>
      <w:r>
        <w:rPr>
          <w:rFonts w:ascii="Times New Roman" w:cs="Times New Roman" w:eastAsia="Times New Roman" w:hAnsi="Times New Roman"/>
          <w:sz w:val="22"/>
          <w:szCs w:val="22"/>
          <w:color w:val="auto"/>
        </w:rPr>
        <w:t xml:space="preserve">”) until the earlier of the end of the month during which the Participant’s COBRA Period,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3.3 The payments and benefits described in this Section 3 shall be in lieu of any other benefits or payments under any severance or similar plan, policy or arrangement of the Company.</w:t>
      </w:r>
    </w:p>
    <w:p>
      <w:pPr>
        <w:spacing w:after="0" w:line="173" w:lineRule="exact"/>
        <w:rPr>
          <w:sz w:val="20"/>
          <w:szCs w:val="20"/>
          <w:color w:val="auto"/>
        </w:rPr>
      </w:pPr>
    </w:p>
    <w:p>
      <w:pPr>
        <w:jc w:val="both"/>
        <w:ind w:firstLine="656"/>
        <w:spacing w:after="0" w:line="221" w:lineRule="auto"/>
        <w:tabs>
          <w:tab w:leader="none" w:pos="10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Benefits in Connection with a Change in Control. </w:t>
      </w:r>
      <w:r>
        <w:rPr>
          <w:rFonts w:ascii="Times New Roman" w:cs="Times New Roman" w:eastAsia="Times New Roman" w:hAnsi="Times New Roman"/>
          <w:sz w:val="22"/>
          <w:szCs w:val="22"/>
          <w:color w:val="auto"/>
        </w:rPr>
        <w:t>If a Participant experiences a CIC Termination,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Participant’s execution and, to the extent applicable, non-revocation of a Release in accordance with Section 5 hereof, and subject to any additional requirements specified in the Plan, Participant shall be eligible to receive the following payments and benefits (collectively, the “</w:t>
      </w:r>
      <w:r>
        <w:rPr>
          <w:rFonts w:ascii="Times New Roman" w:cs="Times New Roman" w:eastAsia="Times New Roman" w:hAnsi="Times New Roman"/>
          <w:sz w:val="22"/>
          <w:szCs w:val="22"/>
          <w:u w:val="single" w:color="auto"/>
          <w:color w:val="auto"/>
        </w:rPr>
        <w:t>CIC Severance Benefits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CIC Cash Severance Payment</w:t>
      </w:r>
      <w:r>
        <w:rPr>
          <w:rFonts w:ascii="Times New Roman" w:cs="Times New Roman" w:eastAsia="Times New Roman" w:hAnsi="Times New Roman"/>
          <w:sz w:val="22"/>
          <w:szCs w:val="22"/>
          <w:color w:val="auto"/>
        </w:rPr>
        <w:t xml:space="preserve">. The Company shall pay to the Participant an amount equal to the CIC Cash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Subject to Section 6.2 hereof, the Cash Severance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in a lump sum on the 30th day following the Date of Termination.</w:t>
      </w:r>
    </w:p>
    <w:p>
      <w:pPr>
        <w:spacing w:after="0" w:line="15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 Payment until the earlier of the end of the month during which the Participant’s COBRA Period,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44" w:name="page45"/>
    <w:bookmarkEnd w:id="44"/>
    <w:p>
      <w:pPr>
        <w:jc w:val="both"/>
        <w:spacing w:after="0" w:line="225" w:lineRule="auto"/>
        <w:rPr>
          <w:sz w:val="20"/>
          <w:szCs w:val="20"/>
          <w:color w:val="auto"/>
        </w:rPr>
      </w:pPr>
      <w:r>
        <w:rPr>
          <w:rFonts w:ascii="Times New Roman" w:cs="Times New Roman" w:eastAsia="Times New Roman" w:hAnsi="Times New Roman"/>
          <w:sz w:val="22"/>
          <w:szCs w:val="22"/>
          <w:color w:val="auto"/>
        </w:rPr>
        <w:t>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Award Treatment</w:t>
      </w:r>
      <w:r>
        <w:rPr>
          <w:rFonts w:ascii="Times New Roman" w:cs="Times New Roman" w:eastAsia="Times New Roman" w:hAnsi="Times New Roman"/>
          <w:sz w:val="22"/>
          <w:szCs w:val="22"/>
          <w:color w:val="auto"/>
        </w:rPr>
        <w:t>. Each outstanding Equity Award held by the Participant as of his or her Date of Termination shall become fully vested and, to the extent applicable, exercisable.</w:t>
      </w:r>
    </w:p>
    <w:p>
      <w:pPr>
        <w:spacing w:after="0" w:line="146" w:lineRule="exact"/>
        <w:rPr>
          <w:sz w:val="20"/>
          <w:szCs w:val="20"/>
          <w:color w:val="auto"/>
        </w:rPr>
      </w:pPr>
    </w:p>
    <w:p>
      <w:pPr>
        <w:jc w:val="both"/>
        <w:ind w:firstLine="656"/>
        <w:spacing w:after="0" w:line="218" w:lineRule="auto"/>
        <w:tabs>
          <w:tab w:leader="none" w:pos="110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Notwithstanding anything herein to the contrary, no Participant shall be eligible or entitled to receive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retain any Severance Benefits under the Plan unless he or she executes a general release of claims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within 21 days (or longer, solely to the extent necessary to comply with applicable law) after the Date of Termination and, if he or she is entitled to a post-signing revocation period under applicable law, does not revoke such Release during such period.</w:t>
      </w:r>
    </w:p>
    <w:p>
      <w:pPr>
        <w:spacing w:after="0" w:line="14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Section 6.1 shall not create any obligation on the part of the Administrator to adopt any such amendment or take any other action, nor shall the Company have any liability for failing to do so.</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Potential Six-Month Delay</w:t>
      </w:r>
      <w:r>
        <w:rPr>
          <w:rFonts w:ascii="Times New Roman" w:cs="Times New Roman" w:eastAsia="Times New Roman" w:hAnsi="Times New Roman"/>
          <w:sz w:val="22"/>
          <w:szCs w:val="22"/>
          <w:color w:val="auto"/>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15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45" w:name="page46"/>
    <w:bookmarkEnd w:id="45"/>
    <w:p>
      <w:pPr>
        <w:jc w:val="both"/>
        <w:ind w:firstLine="1296"/>
        <w:spacing w:after="0" w:line="21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Reimbursements</w:t>
      </w:r>
      <w:r>
        <w:rPr>
          <w:rFonts w:ascii="Times New Roman" w:cs="Times New Roman" w:eastAsia="Times New Roman" w:hAnsi="Times New Roman"/>
          <w:sz w:val="21"/>
          <w:szCs w:val="21"/>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52" w:lineRule="exact"/>
        <w:rPr>
          <w:sz w:val="20"/>
          <w:szCs w:val="20"/>
          <w:color w:val="auto"/>
        </w:rPr>
      </w:pPr>
    </w:p>
    <w:p>
      <w:pPr>
        <w:ind w:left="1040" w:hanging="384"/>
        <w:spacing w:after="0"/>
        <w:tabs>
          <w:tab w:leader="none" w:pos="1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p>
    <w:p>
      <w:pPr>
        <w:spacing w:after="0" w:line="183"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Best Pay Cap</w:t>
      </w:r>
      <w:r>
        <w:rPr>
          <w:rFonts w:ascii="Times New Roman" w:cs="Times New Roman" w:eastAsia="Times New Roman" w:hAnsi="Times New Roman"/>
          <w:sz w:val="21"/>
          <w:szCs w:val="21"/>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part), to the excise tax imposed under Code Section 4999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after taking into account any reduction in the Total Payments provided by reason of Code Section 280G in such other plan, arrangement or agreement, the Cash Severance benefits under the Plan shall first be reduced, and any noncash severance payments hereunder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Certain Exclusions</w:t>
      </w:r>
      <w:r>
        <w:rPr>
          <w:rFonts w:ascii="Times New Roman" w:cs="Times New Roman" w:eastAsia="Times New Roman" w:hAnsi="Times New Roman"/>
          <w:sz w:val="22"/>
          <w:szCs w:val="22"/>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selected by the Company, does not constitute a “parachute payment” within the meaning of Code Section 280G(b)(2) (including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 (B), in excess of the “base amount” (as defined in Code Section 280G(b)(3)) allocable to such reasonable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46" w:name="page47"/>
    <w:bookmarkEnd w:id="46"/>
    <w:p>
      <w:pPr>
        <w:spacing w:after="0" w:line="236" w:lineRule="auto"/>
        <w:rPr>
          <w:sz w:val="20"/>
          <w:szCs w:val="20"/>
          <w:color w:val="auto"/>
        </w:rPr>
      </w:pPr>
      <w:r>
        <w:rPr>
          <w:rFonts w:ascii="Times New Roman" w:cs="Times New Roman" w:eastAsia="Times New Roman" w:hAnsi="Times New Roman"/>
          <w:sz w:val="22"/>
          <w:szCs w:val="22"/>
          <w:color w:val="auto"/>
        </w:rPr>
        <w:t>and (c) the value of any non-cash benefit or any deferred payment or benefit included in the Total Payments shall be determined by the Independent Advisors in accordance with the principles of Code Sections 280G(d)(3) and (4).</w:t>
      </w:r>
    </w:p>
    <w:p>
      <w:pPr>
        <w:spacing w:after="0" w:line="146" w:lineRule="exact"/>
        <w:rPr>
          <w:sz w:val="20"/>
          <w:szCs w:val="20"/>
          <w:color w:val="auto"/>
        </w:rPr>
      </w:pPr>
    </w:p>
    <w:p>
      <w:pPr>
        <w:jc w:val="both"/>
        <w:ind w:firstLine="656"/>
        <w:spacing w:after="0" w:line="227" w:lineRule="auto"/>
        <w:tabs>
          <w:tab w:leader="none" w:pos="116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Mitigation</w:t>
      </w:r>
      <w:r>
        <w:rPr>
          <w:rFonts w:ascii="Times New Roman" w:cs="Times New Roman" w:eastAsia="Times New Roman" w:hAnsi="Times New Roman"/>
          <w:sz w:val="22"/>
          <w:szCs w:val="22"/>
          <w:color w:val="auto"/>
        </w:rPr>
        <w:t>. No Participant shall be required to seek other employment or attempt in any way to reduce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mitigate any Severance Benefits payable under the Plan and the amount of any such Severance Benefits shall not be reduced by any other compensation paid or provided to any Participant following such Participant’s termination of service.</w:t>
      </w:r>
    </w:p>
    <w:p>
      <w:pPr>
        <w:spacing w:after="0" w:line="14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Company Successors</w:t>
      </w:r>
      <w:r>
        <w:rPr>
          <w:rFonts w:ascii="Times New Roman" w:cs="Times New Roman" w:eastAsia="Times New Roman" w:hAnsi="Times New Roman"/>
          <w:sz w:val="22"/>
          <w:szCs w:val="22"/>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Participant Successors</w:t>
      </w:r>
      <w:r>
        <w:rPr>
          <w:rFonts w:ascii="Times New Roman" w:cs="Times New Roman" w:eastAsia="Times New Roman" w:hAnsi="Times New Roman"/>
          <w:sz w:val="22"/>
          <w:szCs w:val="22"/>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148" w:lineRule="exact"/>
        <w:rPr>
          <w:sz w:val="20"/>
          <w:szCs w:val="20"/>
          <w:color w:val="auto"/>
        </w:rPr>
      </w:pPr>
    </w:p>
    <w:p>
      <w:pPr>
        <w:jc w:val="both"/>
        <w:ind w:firstLine="656"/>
        <w:spacing w:after="0" w:line="216" w:lineRule="auto"/>
        <w:tabs>
          <w:tab w:leader="none" w:pos="11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communications relating to matters arising under the Plan shall be in writing and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as may be specified from time to time by the Administrator, except that notice of change of address shall be effective only upon actual receipt.</w:t>
      </w:r>
    </w:p>
    <w:p>
      <w:pPr>
        <w:spacing w:after="0" w:line="14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Procedure; Arbitration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Generally, Participants are not required to present a formal claim in order to receive benefits under the Plan. If, however, any person (the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believes that benefits are being denied improperly, that the Plan is not being operated properly, that fiduciaries of the Plan have breached their duties, or that the Claimant’s legal rights are being violated with respect to the Plan, the Claimant must file a formal claim, in writing, with the Administrator. This requirement applies to all claims that any Claimant has with respect to the Plan, including claims against fiduciaries and former fiduciaries,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The Administrator shall provide a Claimant, on request, with a copy of the claims procedures established under Section 11.2 hereof.</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xml:space="preserve">. The Administrator has adopted procedures for considering claims (which are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47" w:name="page48"/>
    <w:bookmarkEnd w:id="47"/>
    <w:p>
      <w:pPr>
        <w:spacing w:after="0" w:line="236" w:lineRule="auto"/>
        <w:rPr>
          <w:sz w:val="20"/>
          <w:szCs w:val="20"/>
          <w:color w:val="auto"/>
        </w:rPr>
      </w:pPr>
      <w:r>
        <w:rPr>
          <w:rFonts w:ascii="Times New Roman" w:cs="Times New Roman" w:eastAsia="Times New Roman" w:hAnsi="Times New Roman"/>
          <w:sz w:val="22"/>
          <w:szCs w:val="22"/>
          <w:color w:val="auto"/>
        </w:rPr>
        <w:t>failed to follow the prescribed procedures with respect to the claim). The right to receive benefits under the Plan is contingent on a Claimant using the prescribed claims and arbitration procedures to resolve any claim.</w:t>
      </w:r>
    </w:p>
    <w:p>
      <w:pPr>
        <w:spacing w:after="0" w:line="146" w:lineRule="exact"/>
        <w:rPr>
          <w:sz w:val="20"/>
          <w:szCs w:val="20"/>
          <w:color w:val="auto"/>
        </w:rPr>
      </w:pPr>
    </w:p>
    <w:p>
      <w:pPr>
        <w:ind w:left="1140" w:hanging="484"/>
        <w:spacing w:after="0"/>
        <w:tabs>
          <w:tab w:leader="none" w:pos="11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A Participant’s right to receive and/or retain the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as in effect on the Date of Termination, as well as the restrictive covenants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148" w:lineRule="exact"/>
        <w:rPr>
          <w:sz w:val="20"/>
          <w:szCs w:val="20"/>
          <w:color w:val="auto"/>
        </w:rPr>
      </w:pPr>
    </w:p>
    <w:p>
      <w:pPr>
        <w:ind w:left="1140" w:hanging="484"/>
        <w:spacing w:after="0"/>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Non-Duplication of Benefits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Notwithstanding any provision of the Plan to the contrary, if a Participant’s employment with the Company is terminated other than due to a CIC Termination or Qualifying Non-CIC Termination, the Participant shall not be entitled to receive any CIC Severance Benefits or Severance Benefits under the Plan, and the Company shall not have any obligation to such Participant under the Plan.</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Non-Duplication of Benefits</w:t>
      </w:r>
      <w:r>
        <w:rPr>
          <w:rFonts w:ascii="Times New Roman" w:cs="Times New Roman" w:eastAsia="Times New Roman" w:hAnsi="Times New Roman"/>
          <w:sz w:val="22"/>
          <w:szCs w:val="22"/>
          <w:color w:val="auto"/>
        </w:rPr>
        <w:t>. Nothing in this Plan will entitle any Participant to receive duplicate benefits in connection with any voluntary or involuntary termination of employment. A Participant’s right to receive any payments under this Plan will be expressly conditioned upon such Participant not receiving severance payments or benefits under any other agreement, program or arrangement.</w:t>
      </w:r>
    </w:p>
    <w:p>
      <w:pPr>
        <w:spacing w:after="0" w:line="148" w:lineRule="exact"/>
        <w:rPr>
          <w:sz w:val="20"/>
          <w:szCs w:val="20"/>
          <w:color w:val="auto"/>
        </w:rPr>
      </w:pPr>
    </w:p>
    <w:p>
      <w:pPr>
        <w:ind w:left="1140" w:hanging="484"/>
        <w:spacing w:after="0"/>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Entire Plan; Relation to Other Agreements</w:t>
      </w:r>
      <w:r>
        <w:rPr>
          <w:rFonts w:ascii="Times New Roman" w:cs="Times New Roman" w:eastAsia="Times New Roman" w:hAnsi="Times New Roman"/>
          <w:sz w:val="22"/>
          <w:szCs w:val="22"/>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By participating in the Plan and accepting the Severance Benefits or CIC Severance Benefits hereunder, the Participant acknowledges and agrees that any prior agreement, arrangement and understanding between any Participant, on the one hand, and the Company and/or any subsidiary, on the other hand, with respect to the subject matter hereof is hereby revoked and ineffective with respect to the Participant (including with respect to any severance arrangement contained in an effective offer letter, employment agreement or employment letter agreement by and between the Participant and the Company (and/or any subsidiary)).</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Participation Notices</w:t>
      </w:r>
      <w:r>
        <w:rPr>
          <w:rFonts w:ascii="Times New Roman" w:cs="Times New Roman" w:eastAsia="Times New Roman" w:hAnsi="Times New Roman"/>
          <w:sz w:val="22"/>
          <w:szCs w:val="22"/>
          <w:color w:val="auto"/>
        </w:rPr>
        <w:t>. The Administrator shall have the authority, in its sole discretion, to select Employees to participate in the Plan and to provide written notice to any such Employee that he or she is a Participant in, and eligible to receive Severance Benefits or CIC Severance Benefits under, the Plan (a “</w:t>
      </w:r>
      <w:r>
        <w:rPr>
          <w:rFonts w:ascii="Times New Roman" w:cs="Times New Roman" w:eastAsia="Times New Roman" w:hAnsi="Times New Roman"/>
          <w:sz w:val="22"/>
          <w:szCs w:val="22"/>
          <w:u w:val="single" w:color="auto"/>
          <w:color w:val="auto"/>
        </w:rPr>
        <w:t>Participation Notice</w:t>
      </w:r>
      <w:r>
        <w:rPr>
          <w:rFonts w:ascii="Times New Roman" w:cs="Times New Roman" w:eastAsia="Times New Roman" w:hAnsi="Times New Roman"/>
          <w:sz w:val="22"/>
          <w:szCs w:val="22"/>
          <w:color w:val="auto"/>
        </w:rPr>
        <w:t>”) at or any time prior to his or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Termination and Amendment of Plan</w:t>
      </w:r>
      <w:r>
        <w:rPr>
          <w:rFonts w:ascii="Times New Roman" w:cs="Times New Roman" w:eastAsia="Times New Roman" w:hAnsi="Times New Roman"/>
          <w:sz w:val="22"/>
          <w:szCs w:val="22"/>
          <w:color w:val="auto"/>
        </w:rPr>
        <w:t>. The Plan may be amended or terminated by the Administrator at any time and from time to time, in its sole discretion. From and after the consummation of a Change in Control, the Plan which relates to the CIC Severance Benefits may not be amended, modified, suspended or terminated except with the express written consent of each Participant who would be adversely affected by any such amendment, modification, suspension or termination.</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 7 (Limitation on Payments), Section 11 (Claims Procedure; Arbitration) and Section 12 (Covenants) hereof shall survive the termination or expiration of the Plan and shall continue in effect.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Severance Benefit Obligations</w:t>
      </w:r>
      <w:r>
        <w:rPr>
          <w:rFonts w:ascii="Times New Roman" w:cs="Times New Roman" w:eastAsia="Times New Roman" w:hAnsi="Times New Roman"/>
          <w:sz w:val="22"/>
          <w:szCs w:val="22"/>
          <w:color w:val="auto"/>
        </w:rPr>
        <w:t>. Notwithstanding anything contained herein, Severance Benefits or CIC Severance Benefits paid or provided under the Plan may be paid or provided by the Company or any subsidiary employer, as applicable.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authority and the right to deduct and withhold an amount sufficient to satisfy federal, state, local and foreign taxes required by law to be withheld with respect to any Severance Benefits and CIC Severance Benefits payable under the Plan.</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Benefits Not Assignable</w:t>
      </w:r>
      <w:r>
        <w:rPr>
          <w:rFonts w:ascii="Times New Roman" w:cs="Times New Roman" w:eastAsia="Times New Roman" w:hAnsi="Times New Roman"/>
          <w:sz w:val="22"/>
          <w:szCs w:val="22"/>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of the Plan shall not affect the validity or enforceability of any other provision of the Plan, which shall remain in full force and effect.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contained in the Plan are for convenience only and shall have no bearing on the meaning, construction or interpretation of the Plan’s provisions.</w:t>
      </w:r>
    </w:p>
    <w:p>
      <w:pPr>
        <w:spacing w:after="0" w:line="137"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14.12</w:t>
      </w:r>
      <w:r>
        <w:rPr>
          <w:sz w:val="20"/>
          <w:szCs w:val="20"/>
          <w:color w:val="auto"/>
        </w:rPr>
        <w:tab/>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expenses of administering the Plan shall be borne by the Company or its successor, as</w:t>
      </w:r>
    </w:p>
    <w:p>
      <w:pPr>
        <w:spacing w:after="0"/>
        <w:rPr>
          <w:sz w:val="20"/>
          <w:szCs w:val="20"/>
          <w:color w:val="auto"/>
        </w:rPr>
      </w:pPr>
      <w:r>
        <w:rPr>
          <w:rFonts w:ascii="Times New Roman" w:cs="Times New Roman" w:eastAsia="Times New Roman" w:hAnsi="Times New Roman"/>
          <w:sz w:val="22"/>
          <w:szCs w:val="22"/>
          <w:color w:val="auto"/>
        </w:rPr>
        <w:t>applicable.</w:t>
      </w:r>
    </w:p>
    <w:p>
      <w:pPr>
        <w:spacing w:after="0" w:line="155"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shall be maintained in a manner to be considered “unfunded” for purposes of ERISA. The Company shall be required to make payments only as benefits become due and payable. No person shall have any right,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49" w:name="page50"/>
    <w:bookmarkEnd w:id="49"/>
    <w:p>
      <w:pPr>
        <w:jc w:val="both"/>
        <w:spacing w:after="0" w:line="225" w:lineRule="auto"/>
        <w:rPr>
          <w:sz w:val="20"/>
          <w:szCs w:val="20"/>
          <w:color w:val="auto"/>
        </w:rPr>
      </w:pPr>
      <w:r>
        <w:rPr>
          <w:rFonts w:ascii="Times New Roman" w:cs="Times New Roman" w:eastAsia="Times New Roman" w:hAnsi="Times New Roman"/>
          <w:sz w:val="21"/>
          <w:szCs w:val="21"/>
          <w:color w:val="auto"/>
        </w:rPr>
        <w:t>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50" w:name="page51"/>
    <w:bookmarkEnd w:id="50"/>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183" w:lineRule="exact"/>
        <w:rPr>
          <w:sz w:val="20"/>
          <w:szCs w:val="20"/>
          <w:color w:val="auto"/>
        </w:rPr>
      </w:pPr>
    </w:p>
    <w:p>
      <w:pPr>
        <w:jc w:val="both"/>
        <w:ind w:left="580" w:hanging="571"/>
        <w:spacing w:after="0" w:line="222" w:lineRule="auto"/>
        <w:tabs>
          <w:tab w:leader="none" w:pos="55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hold in a fiduciary capacity for the benefit of the Company all secret or confidential information, knowledge or data relating to the Company and its subsidiaries and affiliates, which shall have been obtained by the Participant in connection with the Participant’s employment by the Company and which shall not be or become public knowledge (other than by acts by the Participant or representatives of the Participant in violation of this Annex or Plan). After termination of the Participant’s employment with the Company, the Participant shall not, without the prior written consent of the Company or as may otherwise be required by law or legal process, communicate or divulge any such information, knowledge or data, to anyone other than the Company and those designated by it; provided, however, that if the Participant receives actual notice that the Participant is or may be required by law or legal process to communicate or divulge any such information, knowledge or data, the Participant shall promptly so notify the Company.</w:t>
      </w:r>
    </w:p>
    <w:p>
      <w:pPr>
        <w:spacing w:after="0" w:line="149" w:lineRule="exact"/>
        <w:rPr>
          <w:rFonts w:ascii="Times New Roman" w:cs="Times New Roman" w:eastAsia="Times New Roman" w:hAnsi="Times New Roman"/>
          <w:sz w:val="21"/>
          <w:szCs w:val="21"/>
          <w:color w:val="auto"/>
        </w:rPr>
      </w:pPr>
    </w:p>
    <w:p>
      <w:pPr>
        <w:jc w:val="both"/>
        <w:ind w:left="580" w:hanging="571"/>
        <w:spacing w:after="0" w:line="219" w:lineRule="auto"/>
        <w:tabs>
          <w:tab w:leader="none" w:pos="62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the Participant shall not be engaged in any other business activity that would be competitive with the business of the Company and its subsidiaries or affiliates. In addition, while employed by the Company and, for a period of 12 months after the Date of Termination, the Participant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the Participant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 During the Participant’s employment with the Company and thereafter, the Participant shall not use any trade secret of the Company or its subsidiaries or affiliates to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Participant shall not initiate discussion with any such person for any such purpose or authorize or knowingly cooperate with the taking of any such actions by any other individual or entity.</w:t>
      </w:r>
    </w:p>
    <w:p>
      <w:pPr>
        <w:spacing w:after="0" w:line="155" w:lineRule="exact"/>
        <w:rPr>
          <w:rFonts w:ascii="Times New Roman" w:cs="Times New Roman" w:eastAsia="Times New Roman" w:hAnsi="Times New Roman"/>
          <w:sz w:val="21"/>
          <w:szCs w:val="21"/>
          <w:color w:val="auto"/>
        </w:rPr>
      </w:pPr>
    </w:p>
    <w:p>
      <w:pPr>
        <w:jc w:val="both"/>
        <w:ind w:left="580" w:hanging="571"/>
        <w:spacing w:after="0" w:line="215" w:lineRule="auto"/>
        <w:tabs>
          <w:tab w:leader="none" w:pos="5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(d) of this Annex, during the Participant’s service with the Company and thereafter, excepting any litigation between the parties, the Participant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w:t>
      </w:r>
    </w:p>
    <w:p>
      <w:pPr>
        <w:spacing w:after="0" w:line="152" w:lineRule="exact"/>
        <w:rPr>
          <w:rFonts w:ascii="Times New Roman" w:cs="Times New Roman" w:eastAsia="Times New Roman" w:hAnsi="Times New Roman"/>
          <w:sz w:val="22"/>
          <w:szCs w:val="22"/>
          <w:color w:val="auto"/>
        </w:rPr>
      </w:pPr>
    </w:p>
    <w:p>
      <w:pPr>
        <w:jc w:val="both"/>
        <w:ind w:left="580" w:hanging="571"/>
        <w:spacing w:after="0" w:line="217" w:lineRule="auto"/>
        <w:tabs>
          <w:tab w:leader="none" w:pos="58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Annex or the Plan to the contrary, nothing contained in this Annex or the Plan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Annex A-1</w:t>
      </w:r>
    </w:p>
    <w:p>
      <w:pPr>
        <w:sectPr>
          <w:pgSz w:w="11900" w:h="16838" w:orient="portrait"/>
          <w:cols w:equalWidth="0" w:num="1">
            <w:col w:w="11160"/>
          </w:cols>
          <w:pgMar w:left="400" w:top="1391" w:right="339" w:bottom="1440" w:gutter="0" w:footer="0" w:header="0"/>
        </w:sectPr>
      </w:pPr>
    </w:p>
    <w:bookmarkStart w:id="51" w:name="page52"/>
    <w:bookmarkEnd w:id="51"/>
    <w:p>
      <w:pPr>
        <w:jc w:val="both"/>
        <w:spacing w:after="0" w:line="218" w:lineRule="auto"/>
        <w:rPr>
          <w:sz w:val="20"/>
          <w:szCs w:val="20"/>
          <w:color w:val="auto"/>
        </w:rPr>
      </w:pPr>
      <w:r>
        <w:rPr>
          <w:rFonts w:ascii="Times New Roman" w:cs="Times New Roman" w:eastAsia="Times New Roman" w:hAnsi="Times New Roman"/>
          <w:sz w:val="21"/>
          <w:szCs w:val="21"/>
          <w:color w:val="auto"/>
        </w:rPr>
        <w:t>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1"/>
          <w:szCs w:val="21"/>
          <w:u w:val="single" w:color="auto"/>
          <w:color w:val="auto"/>
        </w:rPr>
        <w:t>Government Agencies</w:t>
      </w:r>
      <w:r>
        <w:rPr>
          <w:rFonts w:ascii="Times New Roman" w:cs="Times New Roman" w:eastAsia="Times New Roman" w:hAnsi="Times New Roman"/>
          <w:sz w:val="21"/>
          <w:szCs w:val="21"/>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Participant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Annex or the Plan is intended to or shall preclude either party from providing truthful testimony in response to a valid subpoena, court order, regulatory request or other judicial, administrative or legal process or otherwise as required by law. If the Participant is required to provide testimony, then unless otherwise directed or requested by a Government Agency or law enforcement, the Participant shall notify the Company as soon as reasonably practicable after receiving any such request of the anticipated testimony.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Annex A-2</w:t>
      </w:r>
    </w:p>
    <w:p>
      <w:pPr>
        <w:sectPr>
          <w:pgSz w:w="11900" w:h="16838" w:orient="portrait"/>
          <w:cols w:equalWidth="0" w:num="1">
            <w:col w:w="10580"/>
          </w:cols>
          <w:pgMar w:left="980" w:top="1395"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Non Change in Control Severance Amounts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Tier</w:t>
            </w:r>
          </w:p>
        </w:tc>
        <w:tc>
          <w:tcPr>
            <w:tcW w:w="3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Non-CIC Cash Severance</w:t>
            </w:r>
          </w:p>
        </w:tc>
        <w:tc>
          <w:tcPr>
            <w:tcW w:w="3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Non-CIC Incentive Compensation</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COBRA Period</w:t>
            </w:r>
          </w:p>
        </w:tc>
        <w:tc>
          <w:tcPr>
            <w:tcW w:w="0" w:type="dxa"/>
            <w:vAlign w:val="bottom"/>
          </w:tcPr>
          <w:p>
            <w:pPr>
              <w:spacing w:after="0"/>
              <w:rPr>
                <w:sz w:val="1"/>
                <w:szCs w:val="1"/>
                <w:color w:val="auto"/>
              </w:rPr>
            </w:pPr>
          </w:p>
        </w:tc>
      </w:tr>
      <w:tr>
        <w:trPr>
          <w:trHeight w:val="151"/>
        </w:trPr>
        <w:tc>
          <w:tcPr>
            <w:tcW w:w="740" w:type="dxa"/>
            <w:vAlign w:val="bottom"/>
            <w:tcBorders>
              <w:left w:val="single" w:sz="8" w:color="auto"/>
              <w:right w:val="single" w:sz="8" w:color="auto"/>
            </w:tcBorders>
            <w:vMerge w:val="continue"/>
          </w:tcPr>
          <w:p>
            <w:pPr>
              <w:spacing w:after="0"/>
              <w:rPr>
                <w:sz w:val="13"/>
                <w:szCs w:val="13"/>
                <w:color w:val="auto"/>
              </w:rPr>
            </w:pPr>
          </w:p>
        </w:tc>
        <w:tc>
          <w:tcPr>
            <w:tcW w:w="3800" w:type="dxa"/>
            <w:vAlign w:val="bottom"/>
            <w:tcBorders>
              <w:right w:val="single" w:sz="8" w:color="auto"/>
            </w:tcBorders>
            <w:vMerge w:val="continue"/>
          </w:tcPr>
          <w:p>
            <w:pPr>
              <w:spacing w:after="0"/>
              <w:rPr>
                <w:sz w:val="13"/>
                <w:szCs w:val="13"/>
                <w:color w:val="auto"/>
              </w:rPr>
            </w:pPr>
          </w:p>
        </w:tc>
        <w:tc>
          <w:tcPr>
            <w:tcW w:w="3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Severance</w:t>
            </w:r>
          </w:p>
        </w:tc>
        <w:tc>
          <w:tcPr>
            <w:tcW w:w="3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3800" w:type="dxa"/>
            <w:vAlign w:val="bottom"/>
            <w:tcBorders>
              <w:right w:val="single" w:sz="8" w:color="auto"/>
            </w:tcBorders>
          </w:tcPr>
          <w:p>
            <w:pPr>
              <w:spacing w:after="0"/>
              <w:rPr>
                <w:sz w:val="11"/>
                <w:szCs w:val="11"/>
                <w:color w:val="auto"/>
              </w:rPr>
            </w:pPr>
          </w:p>
        </w:tc>
        <w:tc>
          <w:tcPr>
            <w:tcW w:w="3340" w:type="dxa"/>
            <w:vAlign w:val="bottom"/>
            <w:tcBorders>
              <w:right w:val="single" w:sz="8" w:color="auto"/>
            </w:tcBorders>
            <w:vMerge w:val="continue"/>
          </w:tcPr>
          <w:p>
            <w:pPr>
              <w:spacing w:after="0"/>
              <w:rPr>
                <w:sz w:val="11"/>
                <w:szCs w:val="11"/>
                <w:color w:val="auto"/>
              </w:rPr>
            </w:pPr>
          </w:p>
        </w:tc>
        <w:tc>
          <w:tcPr>
            <w:tcW w:w="3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Pro-rated Actual Incentive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Compensation (pro-rated based on</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equal to 75% of Base</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number of days worked during</w:t>
            </w: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9 months</w:t>
            </w:r>
          </w:p>
        </w:tc>
        <w:tc>
          <w:tcPr>
            <w:tcW w:w="0" w:type="dxa"/>
            <w:vAlign w:val="bottom"/>
          </w:tcPr>
          <w:p>
            <w:pPr>
              <w:spacing w:after="0"/>
              <w:rPr>
                <w:sz w:val="1"/>
                <w:szCs w:val="1"/>
                <w:color w:val="auto"/>
              </w:rPr>
            </w:pPr>
          </w:p>
        </w:tc>
      </w:tr>
      <w:tr>
        <w:trPr>
          <w:trHeight w:val="147"/>
        </w:trPr>
        <w:tc>
          <w:tcPr>
            <w:tcW w:w="740" w:type="dxa"/>
            <w:vAlign w:val="bottom"/>
            <w:tcBorders>
              <w:left w:val="single" w:sz="8" w:color="auto"/>
              <w:right w:val="single" w:sz="8" w:color="auto"/>
            </w:tcBorders>
            <w:vMerge w:val="continue"/>
          </w:tcPr>
          <w:p>
            <w:pPr>
              <w:spacing w:after="0"/>
              <w:rPr>
                <w:sz w:val="12"/>
                <w:szCs w:val="12"/>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Compensation</w:t>
            </w:r>
          </w:p>
        </w:tc>
        <w:tc>
          <w:tcPr>
            <w:tcW w:w="3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the year in which the Date of</w:t>
            </w:r>
          </w:p>
        </w:tc>
        <w:tc>
          <w:tcPr>
            <w:tcW w:w="3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800" w:type="dxa"/>
            <w:vAlign w:val="bottom"/>
            <w:tcBorders>
              <w:right w:val="single" w:sz="8" w:color="auto"/>
            </w:tcBorders>
            <w:vMerge w:val="continue"/>
          </w:tcPr>
          <w:p>
            <w:pPr>
              <w:spacing w:after="0"/>
              <w:rPr>
                <w:sz w:val="12"/>
                <w:szCs w:val="12"/>
                <w:color w:val="auto"/>
              </w:rPr>
            </w:pPr>
          </w:p>
        </w:tc>
        <w:tc>
          <w:tcPr>
            <w:tcW w:w="3340" w:type="dxa"/>
            <w:vAlign w:val="bottom"/>
            <w:tcBorders>
              <w:right w:val="single" w:sz="8" w:color="auto"/>
            </w:tcBorders>
            <w:vMerge w:val="continue"/>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Termination occurs, divided by the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total number of days in such year)*</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equal to 50% of Base</w:t>
            </w:r>
          </w:p>
        </w:tc>
        <w:tc>
          <w:tcPr>
            <w:tcW w:w="334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6 months</w:t>
            </w: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vMerge w:val="continue"/>
          </w:tcPr>
          <w:p>
            <w:pPr>
              <w:spacing w:after="0"/>
              <w:rPr>
                <w:sz w:val="12"/>
                <w:szCs w:val="12"/>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Compensation</w:t>
            </w:r>
          </w:p>
        </w:tc>
        <w:tc>
          <w:tcPr>
            <w:tcW w:w="334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3800" w:type="dxa"/>
            <w:vAlign w:val="bottom"/>
            <w:tcBorders>
              <w:right w:val="single" w:sz="8" w:color="auto"/>
            </w:tcBorders>
            <w:vMerge w:val="continue"/>
          </w:tcPr>
          <w:p>
            <w:pPr>
              <w:spacing w:after="0"/>
              <w:rPr>
                <w:sz w:val="11"/>
                <w:szCs w:val="11"/>
                <w:color w:val="auto"/>
              </w:rPr>
            </w:pPr>
          </w:p>
        </w:tc>
        <w:tc>
          <w:tcPr>
            <w:tcW w:w="3340" w:type="dxa"/>
            <w:vAlign w:val="bottom"/>
            <w:tcBorders>
              <w:right w:val="single" w:sz="8" w:color="auto"/>
            </w:tcBorders>
          </w:tcPr>
          <w:p>
            <w:pPr>
              <w:spacing w:after="0"/>
              <w:rPr>
                <w:sz w:val="11"/>
                <w:szCs w:val="11"/>
                <w:color w:val="auto"/>
              </w:rPr>
            </w:pPr>
          </w:p>
        </w:tc>
        <w:tc>
          <w:tcPr>
            <w:tcW w:w="3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Change in Control Severance Amounts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Tier</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CIC Cash Salary Severance</w:t>
            </w:r>
          </w:p>
        </w:tc>
        <w:tc>
          <w:tcPr>
            <w:tcW w:w="5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CIC Incentive Compensation Severance</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COBRA Period</w:t>
            </w:r>
          </w:p>
        </w:tc>
        <w:tc>
          <w:tcPr>
            <w:tcW w:w="0" w:type="dxa"/>
            <w:vAlign w:val="bottom"/>
          </w:tcPr>
          <w:p>
            <w:pPr>
              <w:spacing w:after="0"/>
              <w:rPr>
                <w:sz w:val="1"/>
                <w:szCs w:val="1"/>
                <w:color w:val="auto"/>
              </w:rPr>
            </w:pPr>
          </w:p>
        </w:tc>
      </w:tr>
      <w:tr>
        <w:trPr>
          <w:trHeight w:val="29"/>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Pro-rated Actual Incentive Compensation (pro-rated based on the</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125% Base Compensation plus</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number of days worked during the year in which the Date of</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15 months</w:t>
            </w:r>
          </w:p>
        </w:tc>
        <w:tc>
          <w:tcPr>
            <w:tcW w:w="0" w:type="dxa"/>
            <w:vAlign w:val="bottom"/>
          </w:tcPr>
          <w:p>
            <w:pPr>
              <w:spacing w:after="0"/>
              <w:rPr>
                <w:sz w:val="1"/>
                <w:szCs w:val="1"/>
                <w:color w:val="auto"/>
              </w:rPr>
            </w:pPr>
          </w:p>
        </w:tc>
      </w:tr>
      <w:tr>
        <w:trPr>
          <w:trHeight w:val="94"/>
        </w:trPr>
        <w:tc>
          <w:tcPr>
            <w:tcW w:w="74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5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Termination occurs, divided by the total number of days in such</w:t>
            </w:r>
          </w:p>
        </w:tc>
        <w:tc>
          <w:tcPr>
            <w:tcW w:w="1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74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2"/>
                <w:szCs w:val="22"/>
                <w:color w:val="auto"/>
                <w:w w:val="97"/>
              </w:rPr>
              <w:t>Target Incentive Compensation</w:t>
            </w:r>
          </w:p>
        </w:tc>
        <w:tc>
          <w:tcPr>
            <w:tcW w:w="5700" w:type="dxa"/>
            <w:vAlign w:val="bottom"/>
            <w:tcBorders>
              <w:right w:val="single" w:sz="8" w:color="auto"/>
            </w:tcBorders>
            <w:vMerge w:val="continue"/>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year)*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 Base Compensation plus</w:t>
            </w:r>
          </w:p>
        </w:tc>
        <w:tc>
          <w:tcPr>
            <w:tcW w:w="57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 months</w:t>
            </w: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vMerge w:val="continue"/>
          </w:tcPr>
          <w:p>
            <w:pPr>
              <w:spacing w:after="0"/>
              <w:rPr>
                <w:sz w:val="12"/>
                <w:szCs w:val="12"/>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Target Incentive Compensation</w:t>
            </w:r>
          </w:p>
        </w:tc>
        <w:tc>
          <w:tcPr>
            <w:tcW w:w="57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570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0" w:firstLine="8"/>
        <w:spacing w:after="0" w:line="236" w:lineRule="auto"/>
        <w:tabs>
          <w:tab w:leader="none" w:pos="16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on the date on which annual bonuses are generally paid (but no later than March 15 of the year following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 A-1</w:t>
      </w:r>
    </w:p>
    <w:p>
      <w:pPr>
        <w:sectPr>
          <w:pgSz w:w="11900" w:h="16838" w:orient="portrait"/>
          <w:cols w:equalWidth="0" w:num="1">
            <w:col w:w="11260"/>
          </w:cols>
          <w:pgMar w:left="320" w:top="1391"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183" w:lineRule="exact"/>
        <w:rPr>
          <w:sz w:val="20"/>
          <w:szCs w:val="20"/>
          <w:color w:val="auto"/>
        </w:rPr>
      </w:pPr>
    </w:p>
    <w:p>
      <w:pPr>
        <w:jc w:val="both"/>
        <w:ind w:firstLine="656"/>
        <w:spacing w:after="0" w:line="208" w:lineRule="auto"/>
        <w:tabs>
          <w:tab w:leader="none" w:pos="113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valuable consideration, including the payments or benefits under Section 3 or 4 of the Exagen Inc. Amended and Restated Executive Change in Control and Severance Plan (the “</w:t>
      </w:r>
      <w:r>
        <w:rPr>
          <w:rFonts w:ascii="Times New Roman" w:cs="Times New Roman" w:eastAsia="Times New Roman" w:hAnsi="Times New Roman"/>
          <w:sz w:val="22"/>
          <w:szCs w:val="22"/>
          <w:u w:val="single" w:color="auto"/>
          <w:color w:val="auto"/>
        </w:rPr>
        <w:t>Severance Plan</w:t>
      </w:r>
      <w:r>
        <w:rPr>
          <w:rFonts w:ascii="Times New Roman" w:cs="Times New Roman" w:eastAsia="Times New Roman" w:hAnsi="Times New Roman"/>
          <w:sz w:val="22"/>
          <w:szCs w:val="22"/>
          <w:color w:val="auto"/>
        </w:rPr>
        <w:t>”), as applicable, the receipt and adequacy of which are hereby acknowledged, the undersigned does hereby release and forever discharge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hereunder, consisting of Exagen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w:t>
      </w:r>
    </w:p>
    <w:p>
      <w:pPr>
        <w:spacing w:after="0" w:line="164" w:lineRule="exact"/>
        <w:rPr>
          <w:rFonts w:ascii="Times New Roman" w:cs="Times New Roman" w:eastAsia="Times New Roman" w:hAnsi="Times New Roman"/>
          <w:sz w:val="22"/>
          <w:szCs w:val="22"/>
          <w:color w:val="auto"/>
        </w:rPr>
      </w:pPr>
    </w:p>
    <w:p>
      <w:pPr>
        <w:jc w:val="both"/>
        <w:ind w:firstLine="656"/>
        <w:spacing w:after="0" w:line="211" w:lineRule="auto"/>
        <w:tabs>
          <w:tab w:leader="none" w:pos="10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Notwithstanding the foregoing, this general release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not operate to release any rights or claims of the undersigned (i) to payments or benefits under Section 3 or 4 of the Severance Plan, as applicable, with respect to the payments and benefits provided in exchange for this Release, (ii) to payments or benefits under any equity award agreement between the undersigned and the Company,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spacing w:after="0" w:line="15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Unknown Claims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UNDERSIGNED ACKNOWLEDGES THAT THE UNDERSIGNED HAS BEEN ADVISED BY LEGAL COUNSEL AND IS FAMILIAR WITH THE PROVISIONS OF CALIFORNIA CIVIL CODE SECTION 1542, WHICH PROVIDES AS FOLLOWS: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BEING AWARE OF SAID CODE SECTION, HEREBY EXPRESSLY WAIVES ANY RIGHTS THE UNDERSIGNED MAY HAVE THEREUNDER,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B-1</w:t>
      </w:r>
    </w:p>
    <w:p>
      <w:pPr>
        <w:sectPr>
          <w:pgSz w:w="11900" w:h="16838" w:orient="portrait"/>
          <w:cols w:equalWidth="0" w:num="1">
            <w:col w:w="11240"/>
          </w:cols>
          <w:pgMar w:left="320" w:top="13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UNDER ANY OTHER STATUTES OR COMMON LAW PRINCIPLES OF SIMILAR EFFECT.</w:t>
      </w:r>
    </w:p>
    <w:p>
      <w:pPr>
        <w:spacing w:after="0" w:line="179" w:lineRule="exact"/>
        <w:rPr>
          <w:sz w:val="20"/>
          <w:szCs w:val="20"/>
          <w:color w:val="auto"/>
        </w:rPr>
      </w:pPr>
    </w:p>
    <w:p>
      <w:pPr>
        <w:jc w:val="both"/>
        <w:ind w:firstLine="656"/>
        <w:spacing w:after="0" w:line="220" w:lineRule="auto"/>
        <w:tabs>
          <w:tab w:leader="none" w:pos="103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51" w:lineRule="exact"/>
        <w:rPr>
          <w:rFonts w:ascii="Times New Roman" w:cs="Times New Roman" w:eastAsia="Times New Roman" w:hAnsi="Times New Roman"/>
          <w:sz w:val="21"/>
          <w:szCs w:val="21"/>
          <w:color w:val="auto"/>
        </w:rPr>
      </w:pPr>
    </w:p>
    <w:p>
      <w:pPr>
        <w:jc w:val="both"/>
        <w:ind w:firstLine="656"/>
        <w:spacing w:after="0" w:line="215" w:lineRule="auto"/>
        <w:tabs>
          <w:tab w:leader="none" w:pos="105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05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Action</w:t>
      </w:r>
      <w:r>
        <w:rPr>
          <w:rFonts w:ascii="Times New Roman" w:cs="Times New Roman" w:eastAsia="Times New Roman" w:hAnsi="Times New Roman"/>
          <w:sz w:val="21"/>
          <w:szCs w:val="21"/>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02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0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w:t>
      </w:r>
      <w:r>
        <w:rPr>
          <w:rFonts w:ascii="Times New Roman" w:cs="Times New Roman" w:eastAsia="Times New Roman" w:hAnsi="Times New Roman"/>
          <w:sz w:val="22"/>
          <w:szCs w:val="22"/>
          <w:color w:val="auto"/>
        </w:rPr>
        <w:t>.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52" w:lineRule="exact"/>
        <w:rPr>
          <w:rFonts w:ascii="Times New Roman" w:cs="Times New Roman" w:eastAsia="Times New Roman" w:hAnsi="Times New Roman"/>
          <w:sz w:val="22"/>
          <w:szCs w:val="22"/>
          <w:color w:val="auto"/>
        </w:rPr>
      </w:pPr>
    </w:p>
    <w:p>
      <w:pPr>
        <w:ind w:left="1960" w:hanging="656"/>
        <w:spacing w:after="0" w:line="225" w:lineRule="auto"/>
        <w:tabs>
          <w:tab w:leader="none" w:pos="178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B-2</w:t>
      </w:r>
    </w:p>
    <w:p>
      <w:pPr>
        <w:sectPr>
          <w:pgSz w:w="11900" w:h="16838" w:orient="portrait"/>
          <w:cols w:equalWidth="0" w:num="1">
            <w:col w:w="11240"/>
          </w:cols>
          <w:pgMar w:left="320" w:top="1395" w:right="339" w:bottom="1440" w:gutter="0" w:footer="0" w:header="0"/>
        </w:sectPr>
      </w:pPr>
    </w:p>
    <w:bookmarkStart w:id="55" w:name="page56"/>
    <w:bookmarkEnd w:id="55"/>
    <w:p>
      <w:pPr>
        <w:ind w:left="1960" w:hanging="656"/>
        <w:spacing w:after="0" w:line="220" w:lineRule="auto"/>
        <w:tabs>
          <w:tab w:leader="none" w:pos="182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20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5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the undersigned to consult with an attorney prior to executing this Release;</w:t>
      </w:r>
    </w:p>
    <w:p>
      <w:pPr>
        <w:spacing w:after="0" w:line="179" w:lineRule="exact"/>
        <w:rPr>
          <w:rFonts w:ascii="Times New Roman" w:cs="Times New Roman" w:eastAsia="Times New Roman" w:hAnsi="Times New Roman"/>
          <w:sz w:val="22"/>
          <w:szCs w:val="22"/>
          <w:color w:val="auto"/>
        </w:rPr>
      </w:pPr>
    </w:p>
    <w:p>
      <w:pPr>
        <w:ind w:left="1960" w:hanging="656"/>
        <w:spacing w:after="0" w:line="217" w:lineRule="auto"/>
        <w:tabs>
          <w:tab w:leader="none" w:pos="17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52" w:lineRule="exact"/>
        <w:rPr>
          <w:rFonts w:ascii="Times New Roman" w:cs="Times New Roman" w:eastAsia="Times New Roman" w:hAnsi="Times New Roman"/>
          <w:sz w:val="22"/>
          <w:szCs w:val="22"/>
          <w:color w:val="auto"/>
        </w:rPr>
      </w:pPr>
    </w:p>
    <w:p>
      <w:pPr>
        <w:ind w:left="1960" w:hanging="656"/>
        <w:spacing w:after="0" w:line="212" w:lineRule="auto"/>
        <w:tabs>
          <w:tab w:leader="none" w:pos="18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via electronic mail at [</w:t>
      </w:r>
      <w:r>
        <w:rPr>
          <w:rFonts w:ascii="Times New Roman" w:cs="Times New Roman" w:eastAsia="Times New Roman" w:hAnsi="Times New Roman"/>
          <w:sz w:val="22"/>
          <w:szCs w:val="22"/>
          <w:i w:val="1"/>
          <w:iCs w:val="1"/>
          <w:color w:val="auto"/>
        </w:rPr>
        <w:t>email address</w:t>
      </w:r>
      <w:r>
        <w:rPr>
          <w:rFonts w:ascii="Times New Roman" w:cs="Times New Roman" w:eastAsia="Times New Roman" w:hAnsi="Times New Roman"/>
          <w:sz w:val="22"/>
          <w:szCs w:val="22"/>
          <w:color w:val="auto"/>
        </w:rPr>
        <w:t>], on or before [5:00 p.m. Pacific time] on the seventh day after this Release is executed by the undersigned.</w:t>
      </w:r>
    </w:p>
    <w:p>
      <w:pPr>
        <w:spacing w:after="0" w:line="156" w:lineRule="exact"/>
        <w:rPr>
          <w:sz w:val="20"/>
          <w:szCs w:val="20"/>
          <w:color w:val="auto"/>
        </w:rPr>
      </w:pPr>
    </w:p>
    <w:p>
      <w:pPr>
        <w:ind w:firstLine="656"/>
        <w:spacing w:after="0" w:line="255" w:lineRule="auto"/>
        <w:tabs>
          <w:tab w:leader="none" w:pos="105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Release is deemed made and entered into in the State of California, and in all respects shall be interpreted, enforced and governed under the internal laws of the State of California, to the extent not preempted by federal law.</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WITNESS WHEREOF, the undersigned has executed this Release this ____ day of ___________, 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B-3</w:t>
      </w:r>
    </w:p>
    <w:p>
      <w:pPr>
        <w:sectPr>
          <w:pgSz w:w="11900" w:h="16838" w:orient="portrait"/>
          <w:cols w:equalWidth="0" w:num="1">
            <w:col w:w="11240"/>
          </w:cols>
          <w:pgMar w:left="320" w:top="1395"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Detailed Claims Procedures</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Claim Procedure</w:t>
      </w:r>
      <w:r>
        <w:rPr>
          <w:rFonts w:ascii="Times New Roman" w:cs="Times New Roman" w:eastAsia="Times New Roman" w:hAnsi="Times New Roman"/>
          <w:sz w:val="22"/>
          <w:szCs w:val="22"/>
          <w:color w:val="auto"/>
        </w:rPr>
        <w:t>. Claims for benefits under the Plan shall be administered in accordance with Section 503 of ERISA and the Department of Labor Regulations thereunder. The Administrator shall have the right to delegate its duties under this Exhibit and all references to the Administrator shall be a reference to any such delegate, as well. The Administrator shall make all determinations as to the rights of any Participant, beneficiary, alternate payee or other person who makes a claim for benefits under the Plan (each, a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A Claimant may authorize a representative to act on his or her behalf with respect to any claim under the Plan. A Claimant who asserts a right to any benefit under the Plan he or she has not received, in whole or in part, must file a written claim with the Administrator. All written claims shall be submitted to [____].</w:t>
      </w:r>
    </w:p>
    <w:p>
      <w:pPr>
        <w:spacing w:after="0" w:line="14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Regular Claims Procedure</w:t>
      </w:r>
      <w:r>
        <w:rPr>
          <w:rFonts w:ascii="Times New Roman" w:cs="Times New Roman" w:eastAsia="Times New Roman" w:hAnsi="Times New Roman"/>
          <w:sz w:val="22"/>
          <w:szCs w:val="22"/>
          <w:color w:val="auto"/>
        </w:rPr>
        <w:t>. The claims procedure in this subsection (a) shall apply to all claims for Plan</w:t>
      </w:r>
    </w:p>
    <w:p>
      <w:pPr>
        <w:spacing w:after="0"/>
        <w:rPr>
          <w:sz w:val="20"/>
          <w:szCs w:val="20"/>
          <w:color w:val="auto"/>
        </w:rPr>
      </w:pPr>
      <w:r>
        <w:rPr>
          <w:rFonts w:ascii="Times New Roman" w:cs="Times New Roman" w:eastAsia="Times New Roman" w:hAnsi="Times New Roman"/>
          <w:sz w:val="22"/>
          <w:szCs w:val="22"/>
          <w:color w:val="auto"/>
        </w:rPr>
        <w:t>benefits.</w:t>
      </w:r>
    </w:p>
    <w:p>
      <w:pPr>
        <w:spacing w:after="0" w:line="155" w:lineRule="exact"/>
        <w:rPr>
          <w:sz w:val="20"/>
          <w:szCs w:val="20"/>
          <w:color w:val="auto"/>
        </w:rPr>
      </w:pPr>
    </w:p>
    <w:p>
      <w:pPr>
        <w:jc w:val="both"/>
        <w:ind w:firstLine="1952"/>
        <w:spacing w:after="0" w:line="213" w:lineRule="auto"/>
        <w:tabs>
          <w:tab w:leader="none" w:pos="25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Denial</w:t>
      </w:r>
      <w:r>
        <w:rPr>
          <w:rFonts w:ascii="Times New Roman" w:cs="Times New Roman" w:eastAsia="Times New Roman" w:hAnsi="Times New Roman"/>
          <w:sz w:val="22"/>
          <w:szCs w:val="22"/>
          <w:color w:val="auto"/>
        </w:rPr>
        <w:t>. If the Administrator denies a claim in whole or in part (an “</w:t>
      </w:r>
      <w:r>
        <w:rPr>
          <w:rFonts w:ascii="Times New Roman" w:cs="Times New Roman" w:eastAsia="Times New Roman" w:hAnsi="Times New Roman"/>
          <w:sz w:val="22"/>
          <w:szCs w:val="22"/>
          <w:u w:val="single" w:color="auto"/>
          <w:color w:val="auto"/>
        </w:rPr>
        <w:t>adverse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then the Administrator will provide notice of the decision to the Claimant within a reasonable period of time, not to exceed 90 days after the Administrator receives the claim, unless the Administrator determines that an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156" w:lineRule="exact"/>
        <w:rPr>
          <w:rFonts w:ascii="Times New Roman" w:cs="Times New Roman" w:eastAsia="Times New Roman" w:hAnsi="Times New Roman"/>
          <w:sz w:val="22"/>
          <w:szCs w:val="22"/>
          <w:color w:val="auto"/>
        </w:rPr>
      </w:pPr>
    </w:p>
    <w:p>
      <w:pPr>
        <w:ind w:firstLine="1952"/>
        <w:spacing w:after="0" w:line="236" w:lineRule="auto"/>
        <w:tabs>
          <w:tab w:leader="none" w:pos="24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Denial Notice</w:t>
      </w:r>
      <w:r>
        <w:rPr>
          <w:rFonts w:ascii="Times New Roman" w:cs="Times New Roman" w:eastAsia="Times New Roman" w:hAnsi="Times New Roman"/>
          <w:sz w:val="22"/>
          <w:szCs w:val="22"/>
          <w:color w:val="auto"/>
        </w:rPr>
        <w:t>. The Administrator shall provide every Claimant who is denied a claim for benefits with a written or electronic notice of its decision. The notice will set forth, in a manner to be understood by the Claimant:</w:t>
      </w:r>
    </w:p>
    <w:p>
      <w:pPr>
        <w:spacing w:after="0" w:line="150"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17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specific Plan provisions on which the determination is based;</w:t>
      </w:r>
    </w:p>
    <w:p>
      <w:pPr>
        <w:spacing w:after="0" w:line="179" w:lineRule="exact"/>
        <w:rPr>
          <w:rFonts w:ascii="Times New Roman" w:cs="Times New Roman" w:eastAsia="Times New Roman" w:hAnsi="Times New Roman"/>
          <w:sz w:val="22"/>
          <w:szCs w:val="22"/>
          <w:color w:val="auto"/>
        </w:rPr>
      </w:pPr>
    </w:p>
    <w:p>
      <w:pPr>
        <w:ind w:left="3240" w:hanging="640"/>
        <w:spacing w:after="0" w:line="236" w:lineRule="auto"/>
        <w:tabs>
          <w:tab w:leader="none" w:pos="317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as to why such information is necessary; and</w:t>
      </w:r>
    </w:p>
    <w:p>
      <w:pPr>
        <w:spacing w:after="0" w:line="150" w:lineRule="exact"/>
        <w:rPr>
          <w:rFonts w:ascii="Times New Roman" w:cs="Times New Roman" w:eastAsia="Times New Roman" w:hAnsi="Times New Roman"/>
          <w:sz w:val="22"/>
          <w:szCs w:val="22"/>
          <w:color w:val="auto"/>
        </w:rPr>
      </w:pPr>
    </w:p>
    <w:p>
      <w:pPr>
        <w:jc w:val="both"/>
        <w:ind w:left="3240" w:hanging="640"/>
        <w:spacing w:after="0" w:line="225" w:lineRule="auto"/>
        <w:tabs>
          <w:tab w:leader="none" w:pos="333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appeal procedure and the time limits applicable to such procedures, including a statement of the Claimant’s right to bring an action under Section 502(a) of ERISA after receiving a final adverse benefit determination upon appeal.</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Appeal of Denial</w:t>
      </w:r>
      <w:r>
        <w:rPr>
          <w:rFonts w:ascii="Times New Roman" w:cs="Times New Roman" w:eastAsia="Times New Roman" w:hAnsi="Times New Roman"/>
          <w:sz w:val="22"/>
          <w:szCs w:val="22"/>
          <w:color w:val="auto"/>
        </w:rPr>
        <w:t>. The Claimant may appeal an initial adverse benefit determination by submitting a written appeal to the Administrator within 60 days of receiving notice of the denial of the claim.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 C-1</w:t>
      </w:r>
    </w:p>
    <w:p>
      <w:pPr>
        <w:sectPr>
          <w:pgSz w:w="11900" w:h="16838" w:orient="portrait"/>
          <w:cols w:equalWidth="0" w:num="1">
            <w:col w:w="11240"/>
          </w:cols>
          <w:pgMar w:left="320" w:top="1391" w:right="339" w:bottom="1440" w:gutter="0" w:footer="0" w:header="0"/>
        </w:sectPr>
      </w:pPr>
    </w:p>
    <w:bookmarkStart w:id="57" w:name="page58"/>
    <w:bookmarkEnd w:id="57"/>
    <w:p>
      <w:pPr>
        <w:ind w:left="3240" w:hanging="640"/>
        <w:spacing w:after="0" w:line="236" w:lineRule="auto"/>
        <w:tabs>
          <w:tab w:leader="none" w:pos="30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submit written comments, documents, records and other information relating to the claim for benefits;</w:t>
      </w:r>
    </w:p>
    <w:p>
      <w:pPr>
        <w:spacing w:after="0" w:line="150" w:lineRule="exact"/>
        <w:rPr>
          <w:rFonts w:ascii="Times New Roman" w:cs="Times New Roman" w:eastAsia="Times New Roman" w:hAnsi="Times New Roman"/>
          <w:sz w:val="22"/>
          <w:szCs w:val="22"/>
          <w:color w:val="auto"/>
        </w:rPr>
      </w:pPr>
    </w:p>
    <w:p>
      <w:pPr>
        <w:ind w:left="3240" w:hanging="640"/>
        <w:spacing w:after="0" w:line="255" w:lineRule="auto"/>
        <w:tabs>
          <w:tab w:leader="none" w:pos="31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be provided, upon request and without charge, reasonable access to and copies of all documents, records and other information relevant to the Claimant’s claim for benefits; and</w:t>
      </w:r>
    </w:p>
    <w:p>
      <w:pPr>
        <w:spacing w:after="0" w:line="134" w:lineRule="exact"/>
        <w:rPr>
          <w:rFonts w:ascii="Times New Roman" w:cs="Times New Roman" w:eastAsia="Times New Roman" w:hAnsi="Times New Roman"/>
          <w:sz w:val="21"/>
          <w:szCs w:val="21"/>
          <w:color w:val="auto"/>
        </w:rPr>
      </w:pPr>
    </w:p>
    <w:p>
      <w:pPr>
        <w:jc w:val="both"/>
        <w:ind w:left="3240" w:hanging="640"/>
        <w:spacing w:after="0" w:line="225" w:lineRule="auto"/>
        <w:tabs>
          <w:tab w:leader="none" w:pos="323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0" w:lineRule="auto"/>
        <w:tabs>
          <w:tab w:leader="none" w:pos="24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 on Appeal</w:t>
      </w:r>
      <w:r>
        <w:rPr>
          <w:rFonts w:ascii="Times New Roman" w:cs="Times New Roman" w:eastAsia="Times New Roman" w:hAnsi="Times New Roman"/>
          <w:sz w:val="22"/>
          <w:szCs w:val="22"/>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Plan’s receipt of an appeal request, unless the appeal request is filed within 30 days preceding the date of such meeting. In such case, a benefit determination may be made by no later than the date of the second regularly scheduled meeting following the Plan’s receipt of the appeal request. If special circumstances require a further extension of time for processing, a benefit determination shall be rendered no later than the third regularly scheduled meeting of the Administrator following the Plan’s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151"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Determination on Appeal</w:t>
      </w:r>
      <w:r>
        <w:rPr>
          <w:rFonts w:ascii="Times New Roman" w:cs="Times New Roman" w:eastAsia="Times New Roman" w:hAnsi="Times New Roman"/>
          <w:sz w:val="22"/>
          <w:szCs w:val="22"/>
          <w:color w:val="auto"/>
        </w:rPr>
        <w:t>. The Administrator shall provide the Claimant with written or electronic notification of its benefit determination on review. In the case of an adverse benefit determination, the notice shall set forth, in a manner intended to be understood by the Claimant:</w:t>
      </w:r>
    </w:p>
    <w:p>
      <w:pPr>
        <w:spacing w:after="0" w:line="152"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17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the specific Plan provisions on which the adverse benefit determination is based;</w:t>
      </w:r>
    </w:p>
    <w:p>
      <w:pPr>
        <w:spacing w:after="0" w:line="190" w:lineRule="exact"/>
        <w:rPr>
          <w:rFonts w:ascii="Times New Roman" w:cs="Times New Roman" w:eastAsia="Times New Roman" w:hAnsi="Times New Roman"/>
          <w:sz w:val="21"/>
          <w:szCs w:val="21"/>
          <w:color w:val="auto"/>
        </w:rPr>
      </w:pPr>
    </w:p>
    <w:p>
      <w:pPr>
        <w:jc w:val="both"/>
        <w:ind w:left="3240" w:hanging="640"/>
        <w:spacing w:after="0" w:line="225" w:lineRule="auto"/>
        <w:tabs>
          <w:tab w:leader="none" w:pos="331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without charge, reasonable access to, and copies of, all documents, records and other information relevant to the claim for benefits;</w:t>
      </w:r>
    </w:p>
    <w:p>
      <w:pPr>
        <w:spacing w:after="0" w:line="152" w:lineRule="exact"/>
        <w:rPr>
          <w:rFonts w:ascii="Times New Roman" w:cs="Times New Roman" w:eastAsia="Times New Roman" w:hAnsi="Times New Roman"/>
          <w:sz w:val="22"/>
          <w:szCs w:val="22"/>
          <w:color w:val="auto"/>
        </w:rPr>
      </w:pPr>
    </w:p>
    <w:p>
      <w:pPr>
        <w:ind w:left="3240" w:right="20" w:hanging="640"/>
        <w:spacing w:after="0" w:line="236" w:lineRule="auto"/>
        <w:tabs>
          <w:tab w:leader="none" w:pos="334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describing any voluntary appeal procedures offered by the Plan and the Claimant’s right to obtain the information about such procedures; and</w:t>
      </w:r>
    </w:p>
    <w:p>
      <w:pPr>
        <w:spacing w:after="0" w:line="150"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bring an action under Section 502(a)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C-2</w:t>
      </w:r>
    </w:p>
    <w:p>
      <w:pPr>
        <w:sectPr>
          <w:pgSz w:w="11900" w:h="16838" w:orient="portrait"/>
          <w:cols w:equalWidth="0" w:num="1">
            <w:col w:w="11240"/>
          </w:cols>
          <w:pgMar w:left="320" w:top="1395" w:right="339" w:bottom="1440" w:gutter="0" w:footer="0" w:header="0"/>
        </w:sectPr>
      </w:pPr>
    </w:p>
    <w:bookmarkStart w:id="58" w:name="page59"/>
    <w:bookmarkEnd w:id="58"/>
    <w:p>
      <w:pPr>
        <w:jc w:val="both"/>
        <w:ind w:firstLine="1304"/>
        <w:spacing w:after="0" w:line="211" w:lineRule="auto"/>
        <w:tabs>
          <w:tab w:leader="none" w:pos="17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Exhaustion; Judicial Proceedings</w:t>
      </w:r>
      <w:r>
        <w:rPr>
          <w:rFonts w:ascii="Times New Roman" w:cs="Times New Roman" w:eastAsia="Times New Roman" w:hAnsi="Times New Roman"/>
          <w:sz w:val="22"/>
          <w:szCs w:val="22"/>
          <w:color w:val="auto"/>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Administrator. Any such judicial proceeding must be filed by the earlier of: (a) one year after the Administrator’s final decision regarding the claim appeal or (b) one year after the Participant or other Claimant commenced payment of the Plan benefits at issue in the judicial proceeding. The jurisdiction and venue for any judicial proceedings arising under or relating to the Plan will be exclusively in the courts in California, including the federal courts located there should federal jurisdiction exist. This paragraph (c) shall not be construed to prohibit the enforcement of any arbitration agreements.</w:t>
      </w:r>
    </w:p>
    <w:p>
      <w:pPr>
        <w:spacing w:after="0" w:line="15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Administrator’s Decision is Binding</w:t>
      </w:r>
      <w:r>
        <w:rPr>
          <w:rFonts w:ascii="Times New Roman" w:cs="Times New Roman" w:eastAsia="Times New Roman" w:hAnsi="Times New Roman"/>
          <w:sz w:val="22"/>
          <w:szCs w:val="22"/>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C-3</w:t>
      </w:r>
    </w:p>
    <w:p>
      <w:pPr>
        <w:sectPr>
          <w:pgSz w:w="11900" w:h="16838" w:orient="portrait"/>
          <w:cols w:equalWidth="0" w:num="1">
            <w:col w:w="11240"/>
          </w:cols>
          <w:pgMar w:left="320" w:top="139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60" w:name="page61"/>
    <w:bookmarkEnd w:id="60"/>
    <w:p>
      <w:pPr>
        <w:ind w:left="-20" w:firstLine="332"/>
        <w:spacing w:after="0" w:line="396" w:lineRule="auto"/>
        <w:tabs>
          <w:tab w:leader="none" w:pos="7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August 5, 2024</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42"/>
        </w:trPr>
        <w:tc>
          <w:tcPr>
            <w:tcW w:w="506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 and Interim Chief</w:t>
            </w:r>
          </w:p>
        </w:tc>
      </w:tr>
      <w:tr>
        <w:trPr>
          <w:trHeight w:val="230"/>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189"/>
        </w:trPr>
        <w:tc>
          <w:tcPr>
            <w:tcW w:w="5060" w:type="dxa"/>
            <w:vAlign w:val="bottom"/>
          </w:tcPr>
          <w:p>
            <w:pPr>
              <w:spacing w:after="0"/>
              <w:rPr>
                <w:sz w:val="16"/>
                <w:szCs w:val="16"/>
                <w:color w:val="auto"/>
              </w:rPr>
            </w:pPr>
          </w:p>
        </w:tc>
        <w:tc>
          <w:tcPr>
            <w:tcW w:w="4980" w:type="dxa"/>
            <w:vAlign w:val="bottom"/>
          </w:tcPr>
          <w:p>
            <w:pPr>
              <w:spacing w:after="0" w:line="189" w:lineRule="exact"/>
              <w:rPr>
                <w:sz w:val="20"/>
                <w:szCs w:val="20"/>
                <w:color w:val="auto"/>
              </w:rPr>
            </w:pPr>
            <w:r>
              <w:rPr>
                <w:rFonts w:ascii="Arial" w:cs="Arial" w:eastAsia="Arial" w:hAnsi="Arial"/>
                <w:sz w:val="18"/>
                <w:szCs w:val="18"/>
                <w:color w:val="auto"/>
              </w:rPr>
              <w:t>(Principal Executive Officer and Interim Principal Financial</w:t>
            </w:r>
          </w:p>
        </w:tc>
      </w:tr>
      <w:tr>
        <w:trPr>
          <w:trHeight w:val="239"/>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and Accounting Officer)</w:t>
            </w:r>
          </w:p>
        </w:tc>
      </w:tr>
    </w:tbl>
    <w:p>
      <w:pPr>
        <w:sectPr>
          <w:pgSz w:w="11900" w:h="16838" w:orient="portrait"/>
          <w:cols w:equalWidth="0" w:num="1">
            <w:col w:w="11100"/>
          </w:cols>
          <w:pgMar w:left="340" w:top="1093" w:right="4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62"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2024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2024</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 and Interim Chief</w:t>
      </w:r>
    </w:p>
    <w:p>
      <w:pPr>
        <w:ind w:left="6420"/>
        <w:spacing w:after="0"/>
        <w:rPr>
          <w:sz w:val="20"/>
          <w:szCs w:val="20"/>
          <w:color w:val="auto"/>
        </w:rPr>
      </w:pPr>
      <w:r>
        <w:rPr>
          <w:rFonts w:ascii="Arial" w:cs="Arial" w:eastAsia="Arial" w:hAnsi="Arial"/>
          <w:sz w:val="18"/>
          <w:szCs w:val="18"/>
          <w:color w:val="auto"/>
        </w:rPr>
        <w:t>Financial Officer</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 and Interim Principal Financial</w:t>
      </w:r>
    </w:p>
    <w:p>
      <w:pPr>
        <w:ind w:left="642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91"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Roman"/>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Roman"/>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4"/>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4"/>
    </w:lvl>
    <w:lvl w:ilvl="1">
      <w:lvlJc w:val="left"/>
      <w:lvlText w:val="(%2)"/>
      <w:numFmt w:val="lowerRoman"/>
      <w:start w:val="1"/>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decimal"/>
      <w:start w:val="9"/>
    </w:lvl>
  </w:abstractNum>
  <w:abstractNum w:abstractNumId="26">
    <w:nsid w:val="8138641"/>
    <w:multiLevelType w:val="hybridMultilevel"/>
    <w:lvl w:ilvl="0">
      <w:lvlJc w:val="left"/>
      <w:lvlText w:val="(%1)"/>
      <w:numFmt w:val="decimal"/>
      <w:start w:val="1"/>
    </w:lvl>
    <w:lvl w:ilvl="1">
      <w:lvlJc w:val="left"/>
      <w:lvlText w:val="(%2)"/>
      <w:numFmt w:val="lowerRoman"/>
      <w:start w:val="1"/>
    </w:lvl>
  </w:abstractNum>
  <w:abstractNum w:abstractNumId="27">
    <w:nsid w:val="1E7FF521"/>
    <w:multiLevelType w:val="hybridMultilevel"/>
    <w:lvl w:ilvl="0">
      <w:lvlJc w:val="left"/>
      <w:lvlText w:val="%1"/>
      <w:numFmt w:val="decimal"/>
      <w:start w:val="1"/>
    </w:lvl>
    <w:lvl w:ilvl="1">
      <w:lvlJc w:val="left"/>
      <w:lvlText w:val="(%2)"/>
      <w:numFmt w:val="lowerRoman"/>
      <w:start w:val="1"/>
    </w:lvl>
  </w:abstractNum>
  <w:abstractNum w:abstractNumId="28">
    <w:nsid w:val="7C3DBD3D"/>
    <w:multiLevelType w:val="hybridMultilevel"/>
    <w:lvl w:ilvl="0">
      <w:lvlJc w:val="left"/>
      <w:lvlText w:val="(%1)"/>
      <w:numFmt w:val="decimal"/>
      <w:start w:val="4"/>
    </w:lvl>
    <w:lvl w:ilvl="1">
      <w:lvlJc w:val="left"/>
      <w:lvlText w:val="(%2)"/>
      <w:numFmt w:val="lowerRoman"/>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45" Type="http://schemas.openxmlformats.org/officeDocument/2006/relationships/hyperlink" Target="https://www.sec.gov/Archives/edgar/data/1274737/000119312519252366/d769261dex31.htm" TargetMode="External"/><Relationship Id="rId46" Type="http://schemas.openxmlformats.org/officeDocument/2006/relationships/hyperlink" Target="https://www.sec.gov/Archives/edgar/data/1274737/000127473721000017/ex31-amendedandrestatedbyl.htm" TargetMode="External"/><Relationship Id="rId47" Type="http://schemas.openxmlformats.org/officeDocument/2006/relationships/hyperlink" Target="https://www.sec.gov/ix?doc=/Archives/edgar/data/0001274737/000127473723000004/exdx-20230123.htm" TargetMode="External"/><Relationship Id="rId48" Type="http://schemas.openxmlformats.org/officeDocument/2006/relationships/hyperlink" Target="https://www.sec.gov/Archives/edgar/data/1274737/000119312519240403/d692844dex41.htm" TargetMode="External"/><Relationship Id="rId49" Type="http://schemas.openxmlformats.org/officeDocument/2006/relationships/hyperlink" Target="https://www.sec.gov/Archives/edgar/data/1274737/000119312519228011/d692844dex42.htm" TargetMode="External"/><Relationship Id="rId50" Type="http://schemas.openxmlformats.org/officeDocument/2006/relationships/hyperlink" Target="https://www.sec.gov/Archives/edgar/data/1274737/000119312519228011/d692844dex43.htm" TargetMode="External"/><Relationship Id="rId51" Type="http://schemas.openxmlformats.org/officeDocument/2006/relationships/hyperlink" Target="https://www.sec.gov/Archives/edgar/data/1274737/000119312519228011/d692844dex44.htm" TargetMode="External"/><Relationship Id="rId52" Type="http://schemas.openxmlformats.org/officeDocument/2006/relationships/hyperlink" Target="https://www.sec.gov/Archives/edgar/data/1274737/000119312519228011/d692844dex48.htm" TargetMode="External"/><Relationship Id="rId53" Type="http://schemas.openxmlformats.org/officeDocument/2006/relationships/hyperlink" Target="https://www.sec.gov/Archives/edgar/data/1274737/000127473721000094/ex45-formofprexfundedwarra.htm" TargetMode="External"/><Relationship Id="rId54" Type="http://schemas.openxmlformats.org/officeDocument/2006/relationships/hyperlink" Target="https://www.sec.gov/ix?doc=/Archives/edgar/data/1274737/000127473724000048/exdx-20240331.htm" TargetMode="External"/><Relationship Id="rId55" Type="http://schemas.openxmlformats.org/officeDocument/2006/relationships/hyperlink" Target="https://www.sec.gov/Archives/edgar/data/1274737/000127473724000071/exagencfo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2024-08-05T08:20:12Z</dcterms:created>
  <dcterms:modified xsi:type="dcterms:W3CDTF">2024-08-05T08:20:12Z</dcterms:modified>
</cp:coreProperties>
</file>