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ABALLI JOHN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VISTA</w:t>
            </w:r>
          </w:p>
        </w:tc>
        <w:tc>
          <w:tcPr>
            <w:tcW w:w="1180" w:type="dxa"/>
            <w:vAlign w:val="bottom"/>
          </w:tcPr>
          <w:p>
            <w:pPr>
              <w:ind w:left="3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EXAGEN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42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10/17/2023</w:t>
            </w:r>
          </w:p>
        </w:tc>
        <w:tc>
          <w:tcPr>
            <w:tcW w:w="2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2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Arial" w:cs="Arial" w:eastAsia="Arial" w:hAnsi="Arial"/>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10/17/2023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33,819</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1.7451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415,984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sold by the reporting person to generate proceeds used to satisfy the tax withholding obligation that arose upon the vesting of certain restricted stock units granted to the reporting person on October 16, 2022.</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10/18/2023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311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2023-10-18T15:17:28Z</dcterms:created>
  <dcterms:modified xsi:type="dcterms:W3CDTF">2023-10-18T15:17:28Z</dcterms:modified>
</cp:coreProperties>
</file>