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25, 2024, Exagen Inc. (the “Company”) appointed, effective as of September 1, 2024, Jeffrey Black to serve as the Company’s Chief Financial Officer and principal financial officer for SEC reporting purposes. Mr. Black currently serves as Chief Financial Officer of Standard BioTools Inc., a publicly traded, biological research equipment company. Previously to this role, Mr. Black served as Senior Vice President and Chief Financial Officer of Apollo Endosurgery Inc., a publicly traded, medical technology company focused on endoscopic therapies for gastrointestinal conditions and interventional treatment of obesity, from August 2021 until April 2023, when Apollo was acquired by Boston Scientific. Prior to joining Apollo, he served as Executive Vice President and Chief Financial Officer of Alphatec Holdings, Inc., a publicly traded,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is a member of the board of directors of Cellana, Inc., a privately held company and developer of algae-based bioproducts, where he serves as chairperson of the audit committee. Mr. Black received his B.S. in Business from the University of Arizona.</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Black’s appointment was made pursuant to an Employment Agreement, dated July 25, 2024, by and between the Company and Mr. Black (the “Employment Agreement”). Pursuant to the terms of the Employment Agreement, Mr. Black’s employment term will commence on September 1, 2024 and continue until terminated by Mr. Black or the Company following 30 days’ notice. Mr. Black will be entitled to an annual base salary of $460,000, a signing bonus of $125,000, an annual target performance bonus of up to 50% of his gross base salary (prorated for fiscal year 2024) and will be granted restricted stock units representing the contingent right to receive, up to 225,000 shares of common stock of the Company (the “Equity Award”). The Equity Award will vest as follows: 25% of the restricted stock units underlying the Equity Award will vest on each of the first, second, third and fourth anniversaries of September 1, 2024, subject to Mr. Black’s continued service through each applicable vesting date. The Equity Award will also be subject to the terms of the Company’s 2019 Incentive Award Plan and the applicable award agreements thereunder. Mr. Black will be eligible to participate in the Company’s employee benefit plans, as may be maintained by the Company from time to time, on the same terms as other similarly situated employees of the Company, and as a Tier 2 participant under the Severance Plan (as defined below). A copy of the Employment Agreement is filed as Exhibit 10.1 to this current report on Form 8-K and is incorporated herein by reference. The description of the Employment Agreement is a summary only, does not purport to be complete, and is qualified in its entirety by the terms of the Employment Agreement. Mr. Black and the Company will enter into an indemnification agreement in the form the Company has entered into with certain of its other executive officers (the “Indemnification Agreement”), which form is filed as Exhibit 10.35 to the Company’s registration statement on Form S 1 (File No. 333-233446) filed by the Company with the SEC on September 9, 2019. The Indemnification Agreement will provide, among other things, for indemnification of Mr. Black for expenses, judgments, fines and settlement amounts incurred by him in any action or proceeding arising out of his services as an executive officer of the Company.</w:t>
      </w:r>
    </w:p>
    <w:p>
      <w:pPr>
        <w:spacing w:after="0" w:line="19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July 31, 2024, the Company also announced that John Aballi had been appointed as Interim Chief Financial Officer of the Company, replacing Kamal Adawi who no longer serves as Chief Financial Officer and Corporate Secretary of the Company, effective as of July 31, 2024. Mr. Aballi has also assumed the duties of the Company’s principal financial officer for SEC reporting purposes pending Mr. Black’s appointment. Messrs. Aballi and Black do not have a family relationship with any director or executive officer of the Company or person nominated or chosen by the Company to become a director or executive officer, and there are no arrangements or understandings between Messrs. Aballi or Black and any other person pursuant to which Messrs. Aballi or Black were selected to serve as Interim Chief Financial Officer or Chief Financial Officer of the Company, as applicable. There have been no transactions involving Messrs. Aballi or Black that would require disclosure under Item 404(a)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the Securities Exchange Act of 1934, as amended.</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his execution and delivery of a release of claims against the Company, Mr. Adawi will be entitled to severance benefits pursuant to a termination without cause other than in connection with a change of control as a Tier 2 participant under the Exagen Inc. Amended and Restated Executive Change in Control and Severance Plan on the terms and subject to the conditions set forth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The Company issued a press release on August 1, 2024, announcing the executive transition described above. A copy of the press release is attached as Exhibit 99.1 hereto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880"/>
          </w:cols>
          <w:pgMar w:left="320" w:top="1080" w:right="699" w:bottom="1440" w:gutter="0" w:footer="0" w:header="0"/>
        </w:sect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dated as of September 1, 2024, by and between the Company and Jeffrey Black.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August 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pacing w:after="0" w:line="131"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Company undertakes to furnish supplemental copies of any of the omitted schedules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802640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40" w:space="620"/>
            <w:col w:w="9420"/>
          </w:cols>
          <w:pgMar w:left="320" w:top="1080" w:right="69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This Employment Agreement (this “Agreement”) is effective as of September 1, 2024 (the “Effective Date”) by and between Exagen Inc. (the “Company”), a Delaware corporation, and Jeff Black (“Executive”). References below to the “Company” shall include its subsidiaries and affiliates when applicable.</w:t>
      </w:r>
    </w:p>
    <w:p>
      <w:pPr>
        <w:spacing w:after="0" w:line="168" w:lineRule="exact"/>
        <w:rPr>
          <w:sz w:val="20"/>
          <w:szCs w:val="20"/>
          <w:color w:val="auto"/>
        </w:rPr>
      </w:pPr>
    </w:p>
    <w:p>
      <w:pPr>
        <w:jc w:val="both"/>
        <w:ind w:firstLine="656"/>
        <w:spacing w:after="0" w:line="257" w:lineRule="auto"/>
        <w:tabs>
          <w:tab w:leader="none" w:pos="1293"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Roles and Duties. </w:t>
      </w:r>
      <w:r>
        <w:rPr>
          <w:rFonts w:ascii="Times New Roman" w:cs="Times New Roman" w:eastAsia="Times New Roman" w:hAnsi="Times New Roman"/>
          <w:sz w:val="21"/>
          <w:szCs w:val="21"/>
          <w:color w:val="auto"/>
        </w:rPr>
        <w:t>Subject to the terms and conditions of this Agreement, the Company shall employ Executive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Senior Vice President and Chief Financial Officer, reporting to the Company’s Chief Executive Officer (“CEO”). Executive shall have such duties and responsibilities as are reasonably determined by the CEO and are consistent with the duties customarily performed by Executive’s position in similarly situated companies. Executive accepts employment upon the terms and conditions set forth herein and agrees to perform such duties and discharge such responsibilities to the best of Executive’s ability. Executive shall devote all of Executive’s business time and energies to the business and affairs of the Company. Notwithstanding the foregoing, nothing herein shall preclude Executive from (i) serving on boards, committees or similar bodies of charitable or nonprofit organizations; (ii) fulfilling limited teaching, speaking and writing engagements; and (iii) managing Executive’s personal investments and affairs; provided, however, that the activities set out in clauses (i)-(iii) shall be limited by Executive to not materially conflicting with the performance of Executive’s duties and responsibilities to the Company or contravene any restrictive covenants or codes of conduct; provided, that with respect to the activities in clauses (ii) and/or (iii), Executive shall notify the Board of such activities.</w:t>
      </w:r>
    </w:p>
    <w:p>
      <w:pPr>
        <w:spacing w:after="0" w:line="177" w:lineRule="exact"/>
        <w:rPr>
          <w:rFonts w:ascii="Times New Roman" w:cs="Times New Roman" w:eastAsia="Times New Roman" w:hAnsi="Times New Roman"/>
          <w:sz w:val="21"/>
          <w:szCs w:val="21"/>
          <w:b w:val="1"/>
          <w:bCs w:val="1"/>
          <w:color w:val="auto"/>
        </w:rPr>
      </w:pPr>
    </w:p>
    <w:p>
      <w:pPr>
        <w:jc w:val="both"/>
        <w:ind w:firstLine="656"/>
        <w:spacing w:after="0" w:line="267" w:lineRule="auto"/>
        <w:tabs>
          <w:tab w:leader="none" w:pos="1293"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of Employment. </w:t>
      </w:r>
      <w:r>
        <w:rPr>
          <w:rFonts w:ascii="Times New Roman" w:cs="Times New Roman" w:eastAsia="Times New Roman" w:hAnsi="Times New Roman"/>
          <w:sz w:val="21"/>
          <w:szCs w:val="21"/>
          <w:color w:val="auto"/>
        </w:rPr>
        <w:t>Executive’s employment hereunder shall commence on the Effective Date and shall continue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until terminated hereunder by either party (such term of employment shall be referred to herein as the “Term”), which termination shall be effectuated on no less than thirty (30) days’ written notice to each other (except in the case of Executive’s death).</w:t>
      </w:r>
    </w:p>
    <w:p>
      <w:pPr>
        <w:spacing w:after="0" w:line="166"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w:t>
      </w:r>
    </w:p>
    <w:p>
      <w:pPr>
        <w:spacing w:after="0" w:line="235" w:lineRule="exact"/>
        <w:rPr>
          <w:rFonts w:ascii="Times New Roman" w:cs="Times New Roman" w:eastAsia="Times New Roman" w:hAnsi="Times New Roman"/>
          <w:sz w:val="21"/>
          <w:szCs w:val="21"/>
          <w:b w:val="1"/>
          <w:bCs w:val="1"/>
          <w:color w:val="auto"/>
        </w:rPr>
      </w:pPr>
    </w:p>
    <w:p>
      <w:pPr>
        <w:jc w:val="both"/>
        <w:ind w:firstLine="1304"/>
        <w:spacing w:after="0" w:line="263" w:lineRule="auto"/>
        <w:tabs>
          <w:tab w:leader="none" w:pos="193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The Company shall pay Executive a base salary (the “Base Salary”) at the annual rate of Four Hundred and Sixty Thousand Dollars ($460,000). The Base Salary shall be payable in substantially equal periodic installments in accordance with the Company’s payroll practices as in effect from time to time. The Company shall deduct from each such installment all amounts required to be deducted or withheld under applicable law or under any employee benefit plan in which Executive participates.</w:t>
      </w:r>
    </w:p>
    <w:p>
      <w:pPr>
        <w:spacing w:after="0" w:line="171"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5"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You will receive a signing bonus of One Hundred and Twenty-Five Thousand Dollars ($125,000) subject to applicable taxes and withholding, which will be payable no later than thirty (30) days from the Effective Date (the "Signing Bonus"). Upon your resignation without Good Reason or the Company's termination of your employment for Cause (as such terms are defined in the Company’s Amended and Restated Executive Change in Control and Severance Plan (the “Severance Plan”)), in either case occurring within one (1) year of the Effective Date, you shall be required to repay the Signing Bonus in full (gross of taxes) to the Company no later than thirty (30) days after the date of such termination or resignation. If you are</w:t>
      </w:r>
    </w:p>
    <w:p>
      <w:pPr>
        <w:sectPr>
          <w:pgSz w:w="11900" w:h="16838" w:orient="portrait"/>
          <w:cols w:equalWidth="0" w:num="1">
            <w:col w:w="11240"/>
          </w:cols>
          <w:pgMar w:left="320" w:top="122" w:right="339" w:bottom="1440" w:gutter="0" w:footer="0" w:header="0"/>
        </w:sectPr>
      </w:pPr>
    </w:p>
    <w:bookmarkStart w:id="5" w:name="page6"/>
    <w:bookmarkEnd w:id="5"/>
    <w:p>
      <w:pPr>
        <w:spacing w:after="0" w:line="290" w:lineRule="auto"/>
        <w:rPr>
          <w:sz w:val="20"/>
          <w:szCs w:val="20"/>
          <w:color w:val="auto"/>
        </w:rPr>
      </w:pPr>
      <w:r>
        <w:rPr>
          <w:rFonts w:ascii="Times New Roman" w:cs="Times New Roman" w:eastAsia="Times New Roman" w:hAnsi="Times New Roman"/>
          <w:sz w:val="21"/>
          <w:szCs w:val="21"/>
          <w:color w:val="auto"/>
        </w:rPr>
        <w:t>subject to an Involuntary Termination within one (1) year of the Effective Date, the Signing Bonus shall not be repayable to the Company.</w:t>
      </w:r>
    </w:p>
    <w:p>
      <w:pPr>
        <w:spacing w:after="0" w:line="145" w:lineRule="exact"/>
        <w:rPr>
          <w:sz w:val="20"/>
          <w:szCs w:val="20"/>
          <w:color w:val="auto"/>
        </w:rPr>
      </w:pPr>
    </w:p>
    <w:p>
      <w:pPr>
        <w:jc w:val="both"/>
        <w:ind w:firstLine="1304"/>
        <w:spacing w:after="0" w:line="249" w:lineRule="auto"/>
        <w:tabs>
          <w:tab w:leader="none" w:pos="193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Performance Bonus</w:t>
      </w:r>
      <w:r>
        <w:rPr>
          <w:rFonts w:ascii="Times New Roman" w:cs="Times New Roman" w:eastAsia="Times New Roman" w:hAnsi="Times New Roman"/>
          <w:sz w:val="21"/>
          <w:szCs w:val="21"/>
          <w:color w:val="auto"/>
        </w:rPr>
        <w:t>. Executive shall be eligible to receive an annual cash bonus (the “Annual Performance Bonus”) pursuant to the Company’s bonus plan offered to Company executives, with a target equal to 50% of Executive’s then-current Base Salary. The Annual Performance Bonus will be pro-rated for the year 2024. The Annual Performance Bonus will be based on achieving annual performance metrics determined by the Compensation Committee (or the Board) in its sole discretion. The Annual Performance Bonus shall be paid, if at all and subject to the Board’s full and complete discretion, to Executive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immediately following the calendar year to which it relates. Executive must be employed by the Company on the date that the Annual Performance Bonus is paid to Executive in order to be eligible for, and to be deemed as having earned, such Annual Performance Bonus. The Company shall deduct from the Annual Performance Bonus all amounts required to be deducted or withheld under applicable law or under any employee benefit plan in which Executive participates.</w:t>
      </w:r>
    </w:p>
    <w:p>
      <w:pPr>
        <w:spacing w:after="0" w:line="190" w:lineRule="exact"/>
        <w:rPr>
          <w:rFonts w:ascii="Times New Roman" w:cs="Times New Roman" w:eastAsia="Times New Roman" w:hAnsi="Times New Roman"/>
          <w:sz w:val="21"/>
          <w:szCs w:val="21"/>
          <w:color w:val="auto"/>
        </w:rPr>
      </w:pPr>
    </w:p>
    <w:p>
      <w:pPr>
        <w:jc w:val="both"/>
        <w:ind w:firstLine="1304"/>
        <w:spacing w:after="0" w:line="260" w:lineRule="auto"/>
        <w:tabs>
          <w:tab w:leader="none" w:pos="19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Time-Based Equity Award</w:t>
      </w:r>
      <w:r>
        <w:rPr>
          <w:rFonts w:ascii="Times New Roman" w:cs="Times New Roman" w:eastAsia="Times New Roman" w:hAnsi="Times New Roman"/>
          <w:sz w:val="21"/>
          <w:szCs w:val="21"/>
          <w:color w:val="auto"/>
        </w:rPr>
        <w:t>. Effective as of the Effective Date, Executive shall be granted a Restricted Stock Unit Award (the “Equity Award”) for 225,000 shares of Company common stock, subject to the terms of the 2019 Incentive Award Plan and to the terms set forth in an accompanying award agreement. The Equity Award will vest with respect to 25% of the restricted stock units on each of the first, second, third and fourth anniversaries of the Effective Date, subject to the executive’s continued service through each applicable vesting date.</w:t>
      </w:r>
    </w:p>
    <w:p>
      <w:pPr>
        <w:spacing w:after="0" w:line="176" w:lineRule="exact"/>
        <w:rPr>
          <w:rFonts w:ascii="Times New Roman" w:cs="Times New Roman" w:eastAsia="Times New Roman" w:hAnsi="Times New Roman"/>
          <w:sz w:val="21"/>
          <w:szCs w:val="21"/>
          <w:color w:val="auto"/>
        </w:rPr>
      </w:pPr>
    </w:p>
    <w:p>
      <w:pPr>
        <w:jc w:val="both"/>
        <w:ind w:firstLine="1304"/>
        <w:spacing w:after="0" w:line="272" w:lineRule="auto"/>
        <w:tabs>
          <w:tab w:leader="none" w:pos="193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The Company acknowledges that Executive will manage his vacation in accordance with the Company’s flexible vacation policy, in a manner scheduled to minimize disruption to the Company’s operations. No unused vacation time will be paid to Executive upon termination of employment, unless otherwise required by applicable law.</w:t>
      </w:r>
    </w:p>
    <w:p>
      <w:pPr>
        <w:spacing w:after="0" w:line="164"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Fringe Benefits</w:t>
      </w:r>
      <w:r>
        <w:rPr>
          <w:rFonts w:ascii="Times New Roman" w:cs="Times New Roman" w:eastAsia="Times New Roman" w:hAnsi="Times New Roman"/>
          <w:sz w:val="21"/>
          <w:szCs w:val="21"/>
          <w:color w:val="auto"/>
        </w:rPr>
        <w:t>. While employed,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and on the same terms and conditions as those applicable to similarly situated senior executives. The terms of any such benefits shall be governed by the applicable plan documents and Company policies in effect from time to time (and, to the extent this Agreement conflicts with such terms, the terms of such benefit plans shall govern). Nothing contained herein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Expenses</w:t>
      </w:r>
      <w:r>
        <w:rPr>
          <w:rFonts w:ascii="Times New Roman" w:cs="Times New Roman" w:eastAsia="Times New Roman" w:hAnsi="Times New Roman"/>
          <w:sz w:val="21"/>
          <w:szCs w:val="21"/>
          <w:color w:val="auto"/>
        </w:rPr>
        <w:t>. The Company shall reimburse Executive for all ordinary and reasonable out-of-pocket business expenses incurred by Executive in furtherance of the Company’s business in accordance with the Company’s policies with respect thereto as in effect from time to time. Executive must submit any request for reimbursement no later than ninety (90) days following the date that such business expense is incurred. All reimbursements provided under this Agreement shall be made or provided in accordance with the requirements of Section 409A including, where applicable, the requirement that (i) any reimbursement is for expenses incurred during Executive’s lifetime (or during a shorter period of time specified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66"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21"/>
          <w:szCs w:val="21"/>
          <w:color w:val="auto"/>
        </w:rPr>
        <w:t>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w:t>
      </w:r>
    </w:p>
    <w:p>
      <w:pPr>
        <w:spacing w:after="0" w:line="171" w:lineRule="exact"/>
        <w:rPr>
          <w:sz w:val="20"/>
          <w:szCs w:val="20"/>
          <w:color w:val="auto"/>
        </w:rPr>
      </w:pPr>
    </w:p>
    <w:p>
      <w:pPr>
        <w:jc w:val="both"/>
        <w:ind w:firstLine="1304"/>
        <w:spacing w:after="0" w:line="265" w:lineRule="auto"/>
        <w:tabs>
          <w:tab w:leader="none" w:pos="1934"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will indemnify Executive through a separate Indemnification Agreement that will be entered into simultaneously herewith. The Company will purchase and maintain in effect a directors and officers insurance policy and will insure Executive consistent with coverage provided to all Company directors and officers.</w:t>
      </w:r>
    </w:p>
    <w:p>
      <w:pPr>
        <w:spacing w:after="0" w:line="16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Payments at Termination.</w:t>
      </w:r>
    </w:p>
    <w:p>
      <w:pPr>
        <w:spacing w:after="0" w:line="181" w:lineRule="exact"/>
        <w:rPr>
          <w:rFonts w:ascii="Times New Roman" w:cs="Times New Roman" w:eastAsia="Times New Roman" w:hAnsi="Times New Roman"/>
          <w:sz w:val="21"/>
          <w:szCs w:val="21"/>
          <w:b w:val="1"/>
          <w:bCs w:val="1"/>
          <w:color w:val="auto"/>
        </w:rPr>
      </w:pPr>
    </w:p>
    <w:p>
      <w:pPr>
        <w:jc w:val="both"/>
        <w:ind w:firstLine="1304"/>
        <w:spacing w:after="0" w:line="260" w:lineRule="auto"/>
        <w:tabs>
          <w:tab w:leader="none" w:pos="19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Accrued Obligations</w:t>
      </w:r>
      <w:r>
        <w:rPr>
          <w:rFonts w:ascii="Times New Roman" w:cs="Times New Roman" w:eastAsia="Times New Roman" w:hAnsi="Times New Roman"/>
          <w:sz w:val="21"/>
          <w:szCs w:val="21"/>
          <w:color w:val="auto"/>
        </w:rPr>
        <w:t>. Upon termination, Executive (or his estate) shall be entitled to (i) the portion of Executive’s Base Salary that has accrued prior to any termination of Executive’s employment with Company and has not yet been paid; and (ii) the amount of any expenses properly incurred by Executive on behalf of the Company prior to any such termination and not yet reimbursed. Executive’s entitlement to any other compensation or benefit under any Company plan shall be governed by and determined in accordance with the terms of such plans, except as otherwise specified in this Agreement.</w:t>
      </w:r>
    </w:p>
    <w:p>
      <w:pPr>
        <w:spacing w:after="0" w:line="176" w:lineRule="exact"/>
        <w:rPr>
          <w:rFonts w:ascii="Times New Roman" w:cs="Times New Roman" w:eastAsia="Times New Roman" w:hAnsi="Times New Roman"/>
          <w:sz w:val="21"/>
          <w:szCs w:val="21"/>
          <w:color w:val="auto"/>
        </w:rPr>
      </w:pPr>
    </w:p>
    <w:p>
      <w:pPr>
        <w:ind w:firstLine="1304"/>
        <w:spacing w:after="0" w:line="289" w:lineRule="auto"/>
        <w:tabs>
          <w:tab w:leader="none" w:pos="1934"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 for Severance Plan.</w:t>
      </w:r>
      <w:r>
        <w:rPr>
          <w:rFonts w:ascii="Times New Roman" w:cs="Times New Roman" w:eastAsia="Times New Roman" w:hAnsi="Times New Roman"/>
          <w:sz w:val="21"/>
          <w:szCs w:val="21"/>
          <w:color w:val="auto"/>
        </w:rPr>
        <w:t xml:space="preserve"> Executive shall be eligible to participate in the Severance Plan as a Tier 2 Participant, subject to the terms and conditions of such Severance Plan.</w:t>
      </w:r>
    </w:p>
    <w:p>
      <w:pPr>
        <w:spacing w:after="0" w:line="13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Payments or Benefits Owing</w:t>
      </w:r>
      <w:r>
        <w:rPr>
          <w:rFonts w:ascii="Times New Roman" w:cs="Times New Roman" w:eastAsia="Times New Roman" w:hAnsi="Times New Roman"/>
          <w:sz w:val="21"/>
          <w:szCs w:val="21"/>
          <w:color w:val="auto"/>
        </w:rPr>
        <w:t>. Except as expressly set forth herein, the payments and benefits set</w:t>
      </w:r>
    </w:p>
    <w:p>
      <w:pPr>
        <w:spacing w:after="0" w:line="34" w:lineRule="exact"/>
        <w:rPr>
          <w:rFonts w:ascii="Times New Roman" w:cs="Times New Roman" w:eastAsia="Times New Roman" w:hAnsi="Times New Roman"/>
          <w:sz w:val="21"/>
          <w:szCs w:val="21"/>
          <w:color w:val="auto"/>
        </w:rPr>
      </w:pPr>
    </w:p>
    <w:p>
      <w:pPr>
        <w:jc w:val="both"/>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forth in this Section 4: (a) shall be the sole amounts owing to Executive upon termination of Executive’s employment for the reasons set forth above, and Executive shall not be eligible for any other payments or other forms of compensation or benefits; (b) shall be the sole remedy, if any, available to Executive in the event that Executive brings any claim against the Company relating to the termination of Executive’s employment under this Agreement; and (c) shall not be subject to set-off by the Company or any obligation on the part of Executive to mitigate or to offset compensation earned by Executive in other pursuits after termination of employment, other than as specified herein with respect medical benefits provided by another employer.</w:t>
      </w:r>
    </w:p>
    <w:p>
      <w:pPr>
        <w:spacing w:after="0" w:line="178" w:lineRule="exact"/>
        <w:rPr>
          <w:rFonts w:ascii="Times New Roman" w:cs="Times New Roman" w:eastAsia="Times New Roman" w:hAnsi="Times New Roman"/>
          <w:sz w:val="21"/>
          <w:szCs w:val="21"/>
          <w:color w:val="auto"/>
        </w:rPr>
      </w:pPr>
    </w:p>
    <w:p>
      <w:pPr>
        <w:jc w:val="both"/>
        <w:ind w:firstLine="656"/>
        <w:spacing w:after="0" w:line="267" w:lineRule="auto"/>
        <w:tabs>
          <w:tab w:leader="none" w:pos="1292"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Confidentiality; Inventions Assignment. </w:t>
      </w:r>
      <w:r>
        <w:rPr>
          <w:rFonts w:ascii="Times New Roman" w:cs="Times New Roman" w:eastAsia="Times New Roman" w:hAnsi="Times New Roman"/>
          <w:sz w:val="21"/>
          <w:szCs w:val="21"/>
          <w:color w:val="auto"/>
        </w:rPr>
        <w:t>In light of the competitive and proprietary aspects of the business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and as a condition of employment hereunder, Executive agrees to execute and abide by the Company’s standard form of confidentiality and invention assignment agreement that Executive agrees to execute simultaneously hereof.</w:t>
      </w:r>
    </w:p>
    <w:p>
      <w:pPr>
        <w:spacing w:after="0" w:line="166" w:lineRule="exact"/>
        <w:rPr>
          <w:rFonts w:ascii="Times New Roman" w:cs="Times New Roman" w:eastAsia="Times New Roman" w:hAnsi="Times New Roman"/>
          <w:sz w:val="21"/>
          <w:szCs w:val="21"/>
          <w:b w:val="1"/>
          <w:bCs w:val="1"/>
          <w:color w:val="auto"/>
        </w:rPr>
      </w:pPr>
    </w:p>
    <w:p>
      <w:pPr>
        <w:jc w:val="both"/>
        <w:ind w:firstLine="656"/>
        <w:spacing w:after="0" w:line="249" w:lineRule="auto"/>
        <w:tabs>
          <w:tab w:leader="none" w:pos="1292" w:val="left"/>
        </w:tabs>
        <w:numPr>
          <w:ilvl w:val="0"/>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Property and Records. </w:t>
      </w:r>
      <w:r>
        <w:rPr>
          <w:rFonts w:ascii="Times New Roman" w:cs="Times New Roman" w:eastAsia="Times New Roman" w:hAnsi="Times New Roman"/>
          <w:sz w:val="21"/>
          <w:szCs w:val="21"/>
          <w:color w:val="auto"/>
        </w:rPr>
        <w:t>Upon the termination of Executive’s employment hereunder for any reason or for no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if the Company otherwise requests, Executive shall: (a) return to the Company all tangible business information and copies thereof (regardless how such confidential information or copies are maintained), and (b) deliver to the Company any property of the Company which may be in Executive’s possession, including, but not limited to, devices, smart phones, laptops, cell phones (the foregoing, “electronic devices”), products, materials, memoranda, notes, records, reports or other documents or photocopies of the same. In the event that Executive is then using his personal devices (whether computers, mobile phones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67" w:right="339" w:bottom="1440" w:gutter="0" w:footer="0" w:header="0"/>
        </w:sectPr>
      </w:pPr>
    </w:p>
    <w:bookmarkStart w:id="7" w:name="page8"/>
    <w:bookmarkEnd w:id="7"/>
    <w:p>
      <w:pPr>
        <w:jc w:val="both"/>
        <w:spacing w:after="0" w:line="248" w:lineRule="auto"/>
        <w:rPr>
          <w:sz w:val="20"/>
          <w:szCs w:val="20"/>
          <w:color w:val="auto"/>
        </w:rPr>
      </w:pPr>
      <w:r>
        <w:rPr>
          <w:rFonts w:ascii="Times New Roman" w:cs="Times New Roman" w:eastAsia="Times New Roman" w:hAnsi="Times New Roman"/>
          <w:sz w:val="21"/>
          <w:szCs w:val="21"/>
          <w:color w:val="auto"/>
        </w:rPr>
        <w:t>otherwise) in the service of Company business activities, Executive agrees to tender such devices to Company to enable Company to recover and retrieve any Company information stored therein. Company shall return such devices to Executive after such retrieval. Executive may retain copies of any exclusively personal data contained in or on the Company-owned electronic devices returned to the Company pursuant to the foregoing. The foregoing notwithstanding, Executive understands and agrees that the Company property belongs exclusively to the Company, it should be used for Company business, and Executive has no reasonable expectation of privacy on any Company property or with respect to any information stored thereon.</w:t>
      </w:r>
    </w:p>
    <w:p>
      <w:pPr>
        <w:spacing w:after="0" w:line="169" w:lineRule="exact"/>
        <w:rPr>
          <w:sz w:val="20"/>
          <w:szCs w:val="20"/>
          <w:color w:val="auto"/>
        </w:rPr>
      </w:pPr>
    </w:p>
    <w:p>
      <w:pPr>
        <w:jc w:val="both"/>
        <w:ind w:firstLine="656"/>
        <w:spacing w:after="0" w:line="239" w:lineRule="auto"/>
        <w:tabs>
          <w:tab w:leader="none" w:pos="129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During and after Executive’s employment, Executive shall fully cooperate with the Company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reasonable in the defense or prosecution of any claims or actions now in existence or which may be brought in the future against or on behalf of the Company (other than claims directly or indirectly against Executive) which relate to events or occurrences that transpired while Executive was employed by the Company. Executive’s cooperation in connection with such claims or actions shall include, but not be limited to, being available to meet with counsel to prepare for discovery or trial and to act as a witness on behalf of the Company at mutually convenient times. During and after Executive’s employment, Executive also shall fully cooperate with the Company to the extent reasonable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out-of-pocket expenses incurred in connection with Executive’s performance of obligations pursuant to this section.</w:t>
      </w:r>
    </w:p>
    <w:p>
      <w:pPr>
        <w:spacing w:after="0" w:line="126" w:lineRule="exact"/>
        <w:rPr>
          <w:rFonts w:ascii="Times New Roman" w:cs="Times New Roman" w:eastAsia="Times New Roman" w:hAnsi="Times New Roman"/>
          <w:sz w:val="22"/>
          <w:szCs w:val="22"/>
          <w:b w:val="1"/>
          <w:bCs w:val="1"/>
          <w:color w:val="auto"/>
        </w:rPr>
      </w:pPr>
    </w:p>
    <w:p>
      <w:pPr>
        <w:ind w:right="20" w:firstLine="656"/>
        <w:spacing w:after="0" w:line="275" w:lineRule="auto"/>
        <w:tabs>
          <w:tab w:leader="none" w:pos="1296"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Code Sections 409A and 280G. </w:t>
      </w:r>
      <w:r>
        <w:rPr>
          <w:rFonts w:ascii="Times New Roman" w:cs="Times New Roman" w:eastAsia="Times New Roman" w:hAnsi="Times New Roman"/>
          <w:sz w:val="22"/>
          <w:szCs w:val="22"/>
          <w:color w:val="auto"/>
        </w:rPr>
        <w:t>The terms of the Severance Plan relating to IRS Code Sections 409A and 280G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govern any post-employment payments to Executive.</w:t>
      </w:r>
    </w:p>
    <w:p>
      <w:pPr>
        <w:spacing w:after="0" w:line="8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69" w:lineRule="exact"/>
        <w:rPr>
          <w:rFonts w:ascii="Times New Roman" w:cs="Times New Roman" w:eastAsia="Times New Roman" w:hAnsi="Times New Roman"/>
          <w:sz w:val="22"/>
          <w:szCs w:val="22"/>
          <w:b w:val="1"/>
          <w:bCs w:val="1"/>
          <w:color w:val="auto"/>
        </w:rPr>
      </w:pPr>
    </w:p>
    <w:p>
      <w:pPr>
        <w:jc w:val="both"/>
        <w:ind w:firstLine="1304"/>
        <w:spacing w:after="0"/>
        <w:tabs>
          <w:tab w:leader="none" w:pos="194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telecopy or electronic mail transmission provided acknowledgment of receipt of electronic transmission is provided; or (iv) by certified or registered mail, return receipt requested, upon verification of receipt.</w:t>
      </w:r>
    </w:p>
    <w:p>
      <w:pPr>
        <w:spacing w:after="0" w:line="126" w:lineRule="exact"/>
        <w:rPr>
          <w:sz w:val="20"/>
          <w:szCs w:val="20"/>
          <w:color w:val="auto"/>
        </w:rPr>
      </w:pPr>
    </w:p>
    <w:p>
      <w:pPr>
        <w:ind w:left="660" w:right="120"/>
        <w:spacing w:after="0" w:line="271" w:lineRule="auto"/>
        <w:rPr>
          <w:sz w:val="20"/>
          <w:szCs w:val="20"/>
          <w:color w:val="auto"/>
        </w:rPr>
      </w:pPr>
      <w:r>
        <w:rPr>
          <w:rFonts w:ascii="Times New Roman" w:cs="Times New Roman" w:eastAsia="Times New Roman" w:hAnsi="Times New Roman"/>
          <w:sz w:val="22"/>
          <w:szCs w:val="22"/>
          <w:color w:val="auto"/>
        </w:rPr>
        <w:t>Notices to Executive shall be sent to the last known address in the Company’s records or such other address as Executive may specify in writing.</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the Company shall be sent to:</w:t>
      </w:r>
    </w:p>
    <w:p>
      <w:pPr>
        <w:spacing w:after="0" w:line="16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auto"/>
        </w:rPr>
        <w:t>Attn:</w:t>
        <w:tab/>
        <w:t>John Aballi</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Chief Executive Officer</w:t>
      </w:r>
    </w:p>
    <w:p>
      <w:pPr>
        <w:ind w:left="1520"/>
        <w:spacing w:after="0"/>
        <w:rPr>
          <w:sz w:val="20"/>
          <w:szCs w:val="20"/>
          <w:color w:val="auto"/>
        </w:rPr>
      </w:pPr>
      <w:r>
        <w:rPr>
          <w:rFonts w:ascii="Times New Roman" w:cs="Times New Roman" w:eastAsia="Times New Roman" w:hAnsi="Times New Roman"/>
          <w:sz w:val="22"/>
          <w:szCs w:val="22"/>
          <w:color w:val="auto"/>
        </w:rPr>
        <w:t>Exagen Inc.</w:t>
      </w:r>
    </w:p>
    <w:p>
      <w:pPr>
        <w:ind w:left="1520"/>
        <w:spacing w:after="0" w:line="233" w:lineRule="auto"/>
        <w:rPr>
          <w:sz w:val="20"/>
          <w:szCs w:val="20"/>
          <w:color w:val="auto"/>
        </w:rPr>
      </w:pPr>
      <w:r>
        <w:rPr>
          <w:rFonts w:ascii="Times New Roman" w:cs="Times New Roman" w:eastAsia="Times New Roman" w:hAnsi="Times New Roman"/>
          <w:sz w:val="22"/>
          <w:szCs w:val="22"/>
          <w:color w:val="auto"/>
        </w:rPr>
        <w:t>1261 Liberty Way</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Vista, CA 92081</w:t>
      </w:r>
    </w:p>
    <w:p>
      <w:pPr>
        <w:spacing w:after="0" w:line="209" w:lineRule="exact"/>
        <w:rPr>
          <w:sz w:val="20"/>
          <w:szCs w:val="20"/>
          <w:color w:val="auto"/>
        </w:rPr>
      </w:pPr>
    </w:p>
    <w:p>
      <w:pPr>
        <w:ind w:right="20" w:firstLine="1304"/>
        <w:spacing w:after="0" w:line="271"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Amendments.</w:t>
      </w:r>
      <w:r>
        <w:rPr>
          <w:rFonts w:ascii="Times New Roman" w:cs="Times New Roman" w:eastAsia="Times New Roman" w:hAnsi="Times New Roman"/>
          <w:sz w:val="22"/>
          <w:szCs w:val="22"/>
          <w:color w:val="auto"/>
        </w:rPr>
        <w:t xml:space="preserve"> The terms and provisions of this Agreement may be modified or amended only by written agreement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67" w:right="339" w:bottom="1440" w:gutter="0" w:footer="0" w:header="0"/>
        </w:sectPr>
      </w:pPr>
    </w:p>
    <w:bookmarkStart w:id="8" w:name="page9"/>
    <w:bookmarkEnd w:id="8"/>
    <w:p>
      <w:pPr>
        <w:jc w:val="both"/>
        <w:ind w:firstLine="1304"/>
        <w:spacing w:after="0" w:line="253"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Consents</w:t>
      </w:r>
      <w:r>
        <w:rPr>
          <w:rFonts w:ascii="Times New Roman" w:cs="Times New Roman" w:eastAsia="Times New Roman" w:hAnsi="Times New Roman"/>
          <w:sz w:val="22"/>
          <w:szCs w:val="22"/>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may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Law/Dispute Resolution</w:t>
      </w:r>
      <w:r>
        <w:rPr>
          <w:rFonts w:ascii="Times New Roman" w:cs="Times New Roman" w:eastAsia="Times New Roman" w:hAnsi="Times New Roman"/>
          <w:sz w:val="22"/>
          <w:szCs w:val="22"/>
          <w:color w:val="auto"/>
        </w:rPr>
        <w:t>. This Agreement and the rights and obligations of the parties hereunder shall be construed in accordance with and governed by the law of the State of California without giving effect to the conflict of law principles thereof. The parties have agreed to arbitrate any disputes arising from or relating to this Agreement by arbitration pursuant to the Mutual Agreement to Arbitrate Claims entered into simultaneously herewith.</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agreements specifically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EXAGEN INC.</w:t>
      </w:r>
    </w:p>
    <w:p>
      <w:pPr>
        <w:spacing w:after="0" w:line="200" w:lineRule="exact"/>
        <w:rPr>
          <w:sz w:val="20"/>
          <w:szCs w:val="20"/>
          <w:color w:val="auto"/>
        </w:rPr>
      </w:pPr>
    </w:p>
    <w:p>
      <w:pPr>
        <w:spacing w:after="0" w:line="2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/s/ John Aballi</w:t>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Name: John Aballi</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22"/>
          <w:szCs w:val="22"/>
          <w:color w:val="auto"/>
        </w:rPr>
        <w:t>By: /s/ Jeff Black</w:t>
      </w:r>
    </w:p>
    <w:p>
      <w:pPr>
        <w:spacing w:after="0" w:line="2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22"/>
          <w:szCs w:val="22"/>
          <w:color w:val="auto"/>
        </w:rPr>
        <w:t>Jeff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34924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7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767715</wp:posOffset>
            </wp:positionV>
            <wp:extent cx="144018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0467F"/>
        </w:rPr>
        <w:t>Exagen Appoints Jeffrey G. Black as New 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August 1, 2024</w:t>
      </w:r>
    </w:p>
    <w:p>
      <w:pPr>
        <w:spacing w:after="0" w:line="166" w:lineRule="exact"/>
        <w:rPr>
          <w:sz w:val="20"/>
          <w:szCs w:val="20"/>
          <w:color w:val="auto"/>
        </w:rPr>
      </w:pPr>
    </w:p>
    <w:p>
      <w:pPr>
        <w:ind w:right="120"/>
        <w:spacing w:after="0" w:line="265" w:lineRule="auto"/>
        <w:rPr>
          <w:sz w:val="20"/>
          <w:szCs w:val="20"/>
          <w:color w:val="auto"/>
        </w:rPr>
      </w:pPr>
      <w:r>
        <w:rPr>
          <w:rFonts w:ascii="Arial" w:cs="Arial" w:eastAsia="Arial" w:hAnsi="Arial"/>
          <w:sz w:val="22"/>
          <w:szCs w:val="22"/>
          <w:color w:val="auto"/>
        </w:rPr>
        <w:t>CARLSBAD, Calif., - Exagen Inc. (Nasdaq: XGN), a leading provider of autoimmune testing solutions announced today the appointment of Jeffrey G. Black, to the role of Chief Financial Officer (CFO), effective September 1, 2024. Mr. Black replaces Kamal Adawi, who will be stepping down, and John Aballi will act as interim CFO through the end of August.</w:t>
      </w:r>
    </w:p>
    <w:p>
      <w:pPr>
        <w:spacing w:after="0" w:line="98" w:lineRule="exact"/>
        <w:rPr>
          <w:sz w:val="20"/>
          <w:szCs w:val="20"/>
          <w:color w:val="auto"/>
        </w:rPr>
      </w:pPr>
    </w:p>
    <w:p>
      <w:pPr>
        <w:ind w:right="140"/>
        <w:spacing w:after="0" w:line="265" w:lineRule="auto"/>
        <w:rPr>
          <w:sz w:val="20"/>
          <w:szCs w:val="20"/>
          <w:color w:val="auto"/>
        </w:rPr>
      </w:pPr>
      <w:r>
        <w:rPr>
          <w:rFonts w:ascii="Arial" w:cs="Arial" w:eastAsia="Arial" w:hAnsi="Arial"/>
          <w:sz w:val="22"/>
          <w:szCs w:val="22"/>
          <w:color w:val="auto"/>
        </w:rPr>
        <w:t>“I sincerely thank Kamal for his leadership and numerous contributions to Exagen over the past decade,” said John Aballi, President and CEO of Exagen. “Kamal has been extremely supportive throughout my time with the Company, and I am very appreciative of his dedication to our customers and organization. I appreciate him helping to ensure a smooth transition as we welcome Jeff to the organization.”</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21"/>
          <w:szCs w:val="21"/>
          <w:color w:val="auto"/>
        </w:rPr>
        <w:t>Mr. Black brings to Exagen more than 30 years of financial and accounting experience, having served in finance leadership roles for eight publicly traded companies. He currently serves as CFO of Standard BioTools, where he recently played a key leadership role in executing its merger with SomaLogic, creating a diversified leader in life science tools. Prior to that, he was CFO of Apollo Endosurgery, where he was instrumental in the Company’s turnaround and eventual $650 million sale to Boston Scientific. Previously, he spent over four years as CFO of Alphatec Spine, where he successfully closed nearly $500M in financing transactions to support accelerated growth, two strategic acquisitions and expansion of the company’s market cap from $20M to over $1B during his tenure.</w:t>
      </w:r>
    </w:p>
    <w:p>
      <w:pPr>
        <w:spacing w:after="0" w:line="102" w:lineRule="exact"/>
        <w:rPr>
          <w:sz w:val="20"/>
          <w:szCs w:val="20"/>
          <w:color w:val="auto"/>
        </w:rPr>
      </w:pPr>
    </w:p>
    <w:p>
      <w:pPr>
        <w:ind w:right="160"/>
        <w:spacing w:after="0" w:line="265" w:lineRule="auto"/>
        <w:rPr>
          <w:sz w:val="20"/>
          <w:szCs w:val="20"/>
          <w:color w:val="auto"/>
        </w:rPr>
      </w:pPr>
      <w:r>
        <w:rPr>
          <w:rFonts w:ascii="Arial" w:cs="Arial" w:eastAsia="Arial" w:hAnsi="Arial"/>
          <w:sz w:val="22"/>
          <w:szCs w:val="22"/>
          <w:color w:val="auto"/>
        </w:rPr>
        <w:t>“I am delighted to welcome Jeff to the Exagen executive leadership team to help lead through our next phase of growth,” said Mr. Aballi. “Jeff comes to us with a long history of success as a public company CFO and has a track record of establishing a positive corporate culture rooted in performance. I look forward to partnering with Jeff as the strength of our business starts to create new opportunities for growth.”</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2B2B2B"/>
        </w:rPr>
        <w:t>“I am pleased to join John and his leadership team during an exciting time for Exagen,” said Mr. Black. “There is a compelling opportunity ahead for Exagen to significantly impact patient care with truly differentiated solutions, and enhance shareholder value at the same time. I look forward to being a part of the team as it executes on its mission to improve clinical outcomes for patients.”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 Inc.</w:t>
      </w:r>
    </w:p>
    <w:p>
      <w:pPr>
        <w:sectPr>
          <w:pgSz w:w="11900" w:h="16838" w:orient="portrait"/>
          <w:cols w:equalWidth="0" w:num="1">
            <w:col w:w="11240"/>
          </w:cols>
          <w:pgMar w:left="320" w:top="12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57" w:lineRule="auto"/>
        <w:rPr>
          <w:sz w:val="20"/>
          <w:szCs w:val="20"/>
          <w:color w:val="auto"/>
        </w:rPr>
      </w:pPr>
      <w:r>
        <w:rPr>
          <w:rFonts w:ascii="Arial" w:cs="Arial" w:eastAsia="Arial" w:hAnsi="Arial"/>
          <w:sz w:val="22"/>
          <w:szCs w:val="22"/>
          <w:color w:val="auto"/>
        </w:rPr>
        <w:t>Exagen is a leading provider of autoimmune testing and its purpose as an organization is to provide clarity in autoimmune disease decision making with the goal of improving patients’ clinical outcomes. Exagen is located in San Diego County, California.</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please visit </w:t>
      </w:r>
      <w:r>
        <w:rPr>
          <w:rFonts w:ascii="Arial" w:cs="Arial" w:eastAsia="Arial" w:hAnsi="Arial"/>
          <w:sz w:val="22"/>
          <w:szCs w:val="22"/>
          <w:u w:val="single" w:color="auto"/>
          <w:color w:val="00467F"/>
        </w:rPr>
        <w:t>Exagen.com</w:t>
      </w:r>
      <w:r>
        <w:rPr>
          <w:rFonts w:ascii="Arial" w:cs="Arial" w:eastAsia="Arial" w:hAnsi="Arial"/>
          <w:sz w:val="22"/>
          <w:szCs w:val="22"/>
          <w:color w:val="auto"/>
        </w:rPr>
        <w:t xml:space="preserve"> or follow </w:t>
      </w:r>
      <w:r>
        <w:rPr>
          <w:rFonts w:ascii="Arial" w:cs="Arial" w:eastAsia="Arial" w:hAnsi="Arial"/>
          <w:sz w:val="22"/>
          <w:szCs w:val="22"/>
          <w:u w:val="single" w:color="auto"/>
          <w:color w:val="00467F"/>
        </w:rPr>
        <w:t>@ExagenInc</w:t>
      </w:r>
      <w:r>
        <w:rPr>
          <w:rFonts w:ascii="Arial" w:cs="Arial" w:eastAsia="Arial" w:hAnsi="Arial"/>
          <w:sz w:val="22"/>
          <w:szCs w:val="22"/>
          <w:color w:val="auto"/>
        </w:rPr>
        <w:t xml:space="preserve"> on X (formerly known as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-142875</wp:posOffset>
            </wp:positionV>
            <wp:extent cx="204851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8510" cy="14605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97"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Exagen cautions you that statements contained in this press release regarding matters that are not historical facts are forward-looking statements. These statements are based on Exagen's current beliefs and expectations.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Exagen’s goals, strategies and ambitions; potential future financial and business performance; the potential utility and effectiveness of Exagen’s services and testing solutions; the potential for future successes based on its appointment of Mr. Black; updates to be made to AVISE® CTD; potential shareholder value and growth and 2024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2023 and any subsequent filings with</w:t>
      </w:r>
    </w:p>
    <w:p>
      <w:pPr>
        <w:spacing w:after="0" w:line="12"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Exagen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Ryan Douglas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467F"/>
        </w:rPr>
        <w:t>IR@exagen.com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760.560.1525</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lvl w:ilvl="1">
      <w:lvlJc w:val="left"/>
      <w:lvlText w:val="(%2)"/>
      <w:numFmt w:val="lowerLetter"/>
      <w:start w:val="8"/>
    </w:lvl>
  </w:abstractNum>
  <w:abstractNum w:abstractNumId="4">
    <w:nsid w:val="2EB141F2"/>
    <w:multiLevelType w:val="hybridMultilevel"/>
    <w:lvl w:ilvl="0">
      <w:lvlJc w:val="left"/>
      <w:lvlText w:val="%1."/>
      <w:numFmt w:val="decimal"/>
      <w:start w:val="4"/>
    </w:lvl>
    <w:lvl w:ilvl="1">
      <w:lvlJc w:val="left"/>
      <w:lvlText w:val="(%2)"/>
      <w:numFmt w:val="lowerLetter"/>
      <w:start w:val="1"/>
    </w:lvl>
  </w:abstractNum>
  <w:abstractNum w:abstractNumId="5">
    <w:nsid w:val="41B71EFB"/>
    <w:multiLevelType w:val="hybridMultilevel"/>
    <w:lvl w:ilvl="0">
      <w:lvlJc w:val="left"/>
      <w:lvlText w:val="%1."/>
      <w:numFmt w:val="decimal"/>
      <w:start w:val="7"/>
    </w:lvl>
    <w:lvl w:ilvl="1">
      <w:lvlJc w:val="left"/>
      <w:lvlText w:val="(%2)"/>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2024-08-02T07:20:16Z</dcterms:created>
  <dcterms:modified xsi:type="dcterms:W3CDTF">2024-08-02T07:20:16Z</dcterms:modified>
</cp:coreProperties>
</file>