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Date of Report (Date of earliest event reported): November 17, 2023</w:t>
      </w:r>
    </w:p>
    <w:p>
      <w:pPr>
        <w:spacing w:after="0" w:line="17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020" w:type="dxa"/>
            <w:vAlign w:val="bottom"/>
          </w:tcPr>
          <w:p>
            <w:pPr>
              <w:jc w:val="center"/>
              <w:ind w:right="302"/>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001-39049</w:t>
            </w:r>
          </w:p>
        </w:tc>
        <w:tc>
          <w:tcPr>
            <w:tcW w:w="1640" w:type="dxa"/>
            <w:vAlign w:val="bottom"/>
          </w:tcPr>
          <w:p>
            <w:pPr>
              <w:jc w:val="center"/>
              <w:ind w:left="422"/>
              <w:spacing w:after="0"/>
              <w:rPr>
                <w:sz w:val="20"/>
                <w:szCs w:val="20"/>
                <w:color w:val="auto"/>
              </w:rPr>
            </w:pPr>
            <w:r>
              <w:rPr>
                <w:rFonts w:ascii="Arial" w:cs="Arial" w:eastAsia="Arial" w:hAnsi="Arial"/>
                <w:sz w:val="18"/>
                <w:szCs w:val="18"/>
                <w:b w:val="1"/>
                <w:bCs w:val="1"/>
                <w:color w:val="auto"/>
                <w:w w:val="89"/>
              </w:rPr>
              <w:t>20-0434866</w:t>
            </w:r>
          </w:p>
        </w:tc>
      </w:tr>
      <w:tr>
        <w:trPr>
          <w:trHeight w:val="193"/>
        </w:trPr>
        <w:tc>
          <w:tcPr>
            <w:tcW w:w="2020" w:type="dxa"/>
            <w:vAlign w:val="bottom"/>
          </w:tcPr>
          <w:p>
            <w:pPr>
              <w:jc w:val="center"/>
              <w:ind w:right="302"/>
              <w:spacing w:after="0"/>
              <w:rPr>
                <w:sz w:val="20"/>
                <w:szCs w:val="20"/>
                <w:color w:val="auto"/>
              </w:rPr>
            </w:pPr>
            <w:r>
              <w:rPr>
                <w:rFonts w:ascii="Arial" w:cs="Arial" w:eastAsia="Arial" w:hAnsi="Arial"/>
                <w:sz w:val="14"/>
                <w:szCs w:val="14"/>
                <w:b w:val="1"/>
                <w:bCs w:val="1"/>
                <w:color w:val="auto"/>
                <w:w w:val="93"/>
              </w:rPr>
              <w:t>(State or other jurisdiction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(Commission</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020" w:type="dxa"/>
            <w:vAlign w:val="bottom"/>
          </w:tcPr>
          <w:p>
            <w:pPr>
              <w:jc w:val="center"/>
              <w:ind w:right="282"/>
              <w:spacing w:after="0"/>
              <w:rPr>
                <w:sz w:val="20"/>
                <w:szCs w:val="20"/>
                <w:color w:val="auto"/>
              </w:rPr>
            </w:pPr>
            <w:r>
              <w:rPr>
                <w:rFonts w:ascii="Arial" w:cs="Arial" w:eastAsia="Arial" w:hAnsi="Arial"/>
                <w:sz w:val="14"/>
                <w:szCs w:val="14"/>
                <w:b w:val="1"/>
                <w:bCs w:val="1"/>
                <w:color w:val="auto"/>
                <w:w w:val="94"/>
              </w:rPr>
              <w:t>of incorporation)</w:t>
            </w:r>
          </w:p>
        </w:tc>
        <w:tc>
          <w:tcPr>
            <w:tcW w:w="496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File Number)</w:t>
            </w:r>
          </w:p>
        </w:tc>
        <w:tc>
          <w:tcPr>
            <w:tcW w:w="1640" w:type="dxa"/>
            <w:vAlign w:val="bottom"/>
          </w:tcPr>
          <w:p>
            <w:pPr>
              <w:jc w:val="center"/>
              <w:ind w:left="422"/>
              <w:spacing w:after="0"/>
              <w:rPr>
                <w:sz w:val="20"/>
                <w:szCs w:val="20"/>
                <w:color w:val="auto"/>
              </w:rPr>
            </w:pPr>
            <w:r>
              <w:rPr>
                <w:rFonts w:ascii="Arial" w:cs="Arial" w:eastAsia="Arial" w:hAnsi="Arial"/>
                <w:sz w:val="14"/>
                <w:szCs w:val="14"/>
                <w:b w:val="1"/>
                <w:bCs w:val="1"/>
                <w:color w:val="auto"/>
                <w:w w:val="96"/>
              </w:rPr>
              <w:t>Identification No.)</w:t>
            </w:r>
          </w:p>
        </w:tc>
      </w:tr>
      <w:tr>
        <w:trPr>
          <w:trHeight w:val="520"/>
        </w:trPr>
        <w:tc>
          <w:tcPr>
            <w:tcW w:w="2020" w:type="dxa"/>
            <w:vAlign w:val="bottom"/>
          </w:tcPr>
          <w:p>
            <w:pPr>
              <w:spacing w:after="0"/>
              <w:rPr>
                <w:sz w:val="24"/>
                <w:szCs w:val="24"/>
                <w:color w:val="auto"/>
              </w:rPr>
            </w:pPr>
          </w:p>
        </w:tc>
        <w:tc>
          <w:tcPr>
            <w:tcW w:w="4960" w:type="dxa"/>
            <w:vAlign w:val="bottom"/>
          </w:tcPr>
          <w:p>
            <w:pPr>
              <w:jc w:val="center"/>
              <w:ind w:right="19"/>
              <w:spacing w:after="0"/>
              <w:rPr>
                <w:sz w:val="20"/>
                <w:szCs w:val="20"/>
                <w:color w:val="auto"/>
              </w:rPr>
            </w:pPr>
            <w:r>
              <w:rPr>
                <w:rFonts w:ascii="Arial" w:cs="Arial" w:eastAsia="Arial" w:hAnsi="Arial"/>
                <w:sz w:val="18"/>
                <w:szCs w:val="18"/>
                <w:b w:val="1"/>
                <w:bCs w:val="1"/>
                <w:color w:val="auto"/>
                <w:w w:val="93"/>
              </w:rPr>
              <w:t>1261 Liberty Way</w:t>
            </w:r>
          </w:p>
        </w:tc>
        <w:tc>
          <w:tcPr>
            <w:tcW w:w="1640" w:type="dxa"/>
            <w:vAlign w:val="bottom"/>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2"/>
              </w:rPr>
              <w:t>Vista, CA 92081</w:t>
            </w:r>
          </w:p>
        </w:tc>
        <w:tc>
          <w:tcPr>
            <w:tcW w:w="1640" w:type="dxa"/>
            <w:vAlign w:val="bottom"/>
          </w:tcPr>
          <w:p>
            <w:pPr>
              <w:spacing w:after="0"/>
              <w:rPr>
                <w:sz w:val="18"/>
                <w:szCs w:val="18"/>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640" w:type="dxa"/>
            <w:vAlign w:val="bottom"/>
          </w:tcPr>
          <w:p>
            <w:pPr>
              <w:spacing w:after="0"/>
              <w:rPr>
                <w:sz w:val="16"/>
                <w:szCs w:val="16"/>
                <w:color w:val="auto"/>
              </w:rPr>
            </w:pPr>
          </w:p>
        </w:tc>
      </w:tr>
      <w:tr>
        <w:trPr>
          <w:trHeight w:val="381"/>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w w:val="90"/>
              </w:rPr>
              <w:t>(760) 560-1501</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640" w:type="dxa"/>
            <w:vAlign w:val="bottom"/>
          </w:tcPr>
          <w:p>
            <w:pPr>
              <w:spacing w:after="0"/>
              <w:rPr>
                <w:sz w:val="16"/>
                <w:szCs w:val="16"/>
                <w:color w:val="auto"/>
              </w:rPr>
            </w:pPr>
          </w:p>
        </w:tc>
      </w:tr>
      <w:tr>
        <w:trPr>
          <w:trHeight w:val="381"/>
        </w:trPr>
        <w:tc>
          <w:tcPr>
            <w:tcW w:w="2020" w:type="dxa"/>
            <w:vAlign w:val="bottom"/>
          </w:tcPr>
          <w:p>
            <w:pPr>
              <w:spacing w:after="0"/>
              <w:rPr>
                <w:sz w:val="24"/>
                <w:szCs w:val="24"/>
                <w:color w:val="auto"/>
              </w:rPr>
            </w:pPr>
          </w:p>
        </w:tc>
        <w:tc>
          <w:tcPr>
            <w:tcW w:w="4960" w:type="dxa"/>
            <w:vAlign w:val="bottom"/>
          </w:tcPr>
          <w:p>
            <w:pPr>
              <w:jc w:val="center"/>
              <w:ind w:right="39"/>
              <w:spacing w:after="0"/>
              <w:rPr>
                <w:sz w:val="20"/>
                <w:szCs w:val="20"/>
                <w:color w:val="auto"/>
              </w:rPr>
            </w:pPr>
            <w:r>
              <w:rPr>
                <w:rFonts w:ascii="Arial" w:cs="Arial" w:eastAsia="Arial" w:hAnsi="Arial"/>
                <w:sz w:val="18"/>
                <w:szCs w:val="18"/>
                <w:b w:val="1"/>
                <w:bCs w:val="1"/>
                <w:color w:val="auto"/>
              </w:rPr>
              <w:t>N/A</w:t>
            </w:r>
          </w:p>
        </w:tc>
        <w:tc>
          <w:tcPr>
            <w:tcW w:w="1640" w:type="dxa"/>
            <w:vAlign w:val="bottom"/>
          </w:tcPr>
          <w:p>
            <w:pPr>
              <w:spacing w:after="0"/>
              <w:rPr>
                <w:sz w:val="24"/>
                <w:szCs w:val="24"/>
                <w:color w:val="auto"/>
              </w:rPr>
            </w:pPr>
          </w:p>
        </w:tc>
      </w:tr>
      <w:tr>
        <w:trPr>
          <w:trHeight w:val="186"/>
        </w:trPr>
        <w:tc>
          <w:tcPr>
            <w:tcW w:w="2020" w:type="dxa"/>
            <w:vAlign w:val="bottom"/>
          </w:tcPr>
          <w:p>
            <w:pPr>
              <w:spacing w:after="0"/>
              <w:rPr>
                <w:sz w:val="16"/>
                <w:szCs w:val="16"/>
                <w:color w:val="auto"/>
              </w:rPr>
            </w:pPr>
          </w:p>
        </w:tc>
        <w:tc>
          <w:tcPr>
            <w:tcW w:w="496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640" w:type="dxa"/>
            <w:vAlign w:val="bottom"/>
          </w:tcPr>
          <w:p>
            <w:pPr>
              <w:spacing w:after="0"/>
              <w:rPr>
                <w:sz w:val="16"/>
                <w:szCs w:val="16"/>
                <w:color w:val="auto"/>
              </w:rPr>
            </w:pPr>
          </w:p>
        </w:tc>
      </w:tr>
    </w:tbl>
    <w:p>
      <w:pPr>
        <w:spacing w:after="0" w:line="17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29" w:lineRule="exact"/>
        <w:rPr>
          <w:sz w:val="24"/>
          <w:szCs w:val="24"/>
          <w:color w:val="auto"/>
        </w:rPr>
      </w:pPr>
    </w:p>
    <w:tbl>
      <w:tblPr>
        <w:tblLayout w:type="fixed"/>
        <w:tblInd w:w="38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Trading</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3"/>
        </w:trPr>
        <w:tc>
          <w:tcPr>
            <w:tcW w:w="3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3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8"/>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4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rPr>
        <w:t>☒</w:t>
      </w:r>
    </w:p>
    <w:p>
      <w:pPr>
        <w:spacing w:after="0" w:line="245" w:lineRule="exact"/>
        <w:rPr>
          <w:sz w:val="24"/>
          <w:szCs w:val="24"/>
          <w:color w:val="auto"/>
        </w:rPr>
      </w:pPr>
    </w:p>
    <w:p>
      <w:pPr>
        <w:ind w:right="52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Sales Agreement</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On November 17, 2023, Exagen Inc. (the “Company”) entered into Amendment No. 1 (“Amendment No. 1”) to that certain sales agreement, dated September 15, 2022 (the “Sales Agreement”), by and between the Company and Cowen and Company, LLC (“TD Cowen”) in connection with the continuation of the Company’s at-the-market equity offering program (the “Program”). Pursuant to the terms and conditions of Amendment No. 1, the Company may, from time to time, continue to issue and sell through or to TD Cowen, shares of its common stock, $0.001 par value per share (“common stock”), having an aggregate offering price of up to $50,000,000 (the “ATM Shares”). The purpose of Amendment No. 1 is to add limitations imposed on the Program by General Instruction I.B.6 of Form S-3 (“Instruction I.B.6”) to the Sales Agreement.</w:t>
      </w:r>
    </w:p>
    <w:p>
      <w:pPr>
        <w:spacing w:after="0" w:line="17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Pursuant to Instruction I.B.6, in no event will the Company sell ATM Shares through the Program with a value exceeding more than one-third of the Company’s “public float” (the market value of the Company’s outstanding common stock held by non-affiliates) in any twelve-month period so long as the Company’s public float remains below $75.0 million. The Company has not offered any securities pursuant to Instruction I.B.6 during the prior twelve calendar month period that ends on and includes the date of this Current Report on Form 8-K.</w:t>
      </w:r>
    </w:p>
    <w:p>
      <w:pPr>
        <w:spacing w:after="0" w:line="17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foregoing description of Amendment No. 1 does not purport to be complete and is qualified in its entirety by reference to the full text of Amendment No. 1, a copy of which is filed herewith as Exhibit 1.1 and is incorporated herein by reference.</w:t>
      </w:r>
    </w:p>
    <w:p>
      <w:pPr>
        <w:spacing w:after="0" w:line="171" w:lineRule="exact"/>
        <w:rPr>
          <w:sz w:val="20"/>
          <w:szCs w:val="20"/>
          <w:color w:val="auto"/>
        </w:rPr>
      </w:pPr>
    </w:p>
    <w:p>
      <w:pPr>
        <w:ind w:right="160"/>
        <w:spacing w:after="0" w:line="212" w:lineRule="exact"/>
        <w:rPr>
          <w:sz w:val="20"/>
          <w:szCs w:val="20"/>
          <w:color w:val="auto"/>
        </w:rPr>
      </w:pPr>
      <w:r>
        <w:rPr>
          <w:rFonts w:ascii="Arial" w:cs="Arial" w:eastAsia="Arial" w:hAnsi="Arial"/>
          <w:sz w:val="18"/>
          <w:szCs w:val="18"/>
          <w:color w:val="auto"/>
        </w:rPr>
        <w:t>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jc w:val="center"/>
              <w:ind w:right="239"/>
              <w:spacing w:after="0"/>
              <w:rPr>
                <w:sz w:val="20"/>
                <w:szCs w:val="20"/>
                <w:color w:val="auto"/>
              </w:rPr>
            </w:pPr>
            <w:r>
              <w:rPr>
                <w:rFonts w:ascii="Arial" w:cs="Arial" w:eastAsia="Arial" w:hAnsi="Arial"/>
                <w:sz w:val="14"/>
                <w:szCs w:val="14"/>
                <w:b w:val="1"/>
                <w:bCs w:val="1"/>
                <w:color w:val="auto"/>
                <w:w w:val="98"/>
              </w:rPr>
              <w:t>Exhibit</w:t>
            </w:r>
          </w:p>
        </w:tc>
        <w:tc>
          <w:tcPr>
            <w:tcW w:w="9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660" w:type="dxa"/>
            <w:vAlign w:val="bottom"/>
          </w:tcPr>
          <w:p>
            <w:pPr>
              <w:jc w:val="center"/>
              <w:ind w:right="259"/>
              <w:spacing w:after="0"/>
              <w:rPr>
                <w:sz w:val="20"/>
                <w:szCs w:val="20"/>
                <w:color w:val="auto"/>
              </w:rPr>
            </w:pPr>
            <w:r>
              <w:rPr>
                <w:rFonts w:ascii="Arial" w:cs="Arial" w:eastAsia="Arial" w:hAnsi="Arial"/>
                <w:sz w:val="14"/>
                <w:szCs w:val="14"/>
                <w:b w:val="1"/>
                <w:bCs w:val="1"/>
                <w:color w:val="auto"/>
                <w:w w:val="88"/>
              </w:rPr>
              <w:t>No.</w:t>
            </w:r>
          </w:p>
        </w:tc>
        <w:tc>
          <w:tcPr>
            <w:tcW w:w="9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60" w:type="dxa"/>
            <w:vAlign w:val="bottom"/>
          </w:tcPr>
          <w:p>
            <w:pPr>
              <w:jc w:val="right"/>
              <w:ind w:right="799"/>
              <w:spacing w:after="0" w:line="206" w:lineRule="exact"/>
              <w:rPr>
                <w:sz w:val="20"/>
                <w:szCs w:val="20"/>
                <w:color w:val="auto"/>
              </w:rPr>
            </w:pPr>
            <w:r>
              <w:rPr>
                <w:rFonts w:ascii="Arial" w:cs="Arial" w:eastAsia="Arial" w:hAnsi="Arial"/>
                <w:sz w:val="18"/>
                <w:szCs w:val="18"/>
                <w:color w:val="auto"/>
              </w:rPr>
              <w:t>1.1</w:t>
            </w:r>
          </w:p>
        </w:tc>
        <w:tc>
          <w:tcPr>
            <w:tcW w:w="9580" w:type="dxa"/>
            <w:vAlign w:val="bottom"/>
            <w:gridSpan w:val="3"/>
          </w:tcPr>
          <w:p>
            <w:pPr>
              <w:spacing w:after="0" w:line="206" w:lineRule="exact"/>
              <w:rPr>
                <w:sz w:val="20"/>
                <w:szCs w:val="20"/>
                <w:color w:val="auto"/>
              </w:rPr>
            </w:pPr>
            <w:r>
              <w:rPr>
                <w:rFonts w:ascii="Arial" w:cs="Arial" w:eastAsia="Arial" w:hAnsi="Arial"/>
                <w:sz w:val="18"/>
                <w:szCs w:val="18"/>
                <w:color w:val="0000FF"/>
                <w:w w:val="89"/>
              </w:rPr>
              <w:t>Amendment No. 1, dated November 17, 2023, to the Sales Agreement, dated as of September 15, 2022, by and between Exagen Inc.</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9540" w:type="dxa"/>
            <w:vAlign w:val="bottom"/>
            <w:tcBorders>
              <w:top w:val="single" w:sz="8" w:color="0000FF"/>
            </w:tcBorders>
            <w:gridSpan w:val="2"/>
          </w:tcPr>
          <w:p>
            <w:pPr>
              <w:spacing w:after="0" w:line="156" w:lineRule="exact"/>
              <w:rPr>
                <w:sz w:val="20"/>
                <w:szCs w:val="20"/>
                <w:color w:val="auto"/>
              </w:rPr>
            </w:pPr>
            <w:r>
              <w:rPr>
                <w:rFonts w:ascii="Arial" w:cs="Arial" w:eastAsia="Arial" w:hAnsi="Arial"/>
                <w:sz w:val="18"/>
                <w:szCs w:val="18"/>
                <w:color w:val="0000FF"/>
              </w:rPr>
              <w:t>and Cowen and Company, LLC.</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60" w:type="dxa"/>
            <w:vAlign w:val="bottom"/>
          </w:tcPr>
          <w:p>
            <w:pPr>
              <w:jc w:val="right"/>
              <w:ind w:right="779"/>
              <w:spacing w:after="0"/>
              <w:rPr>
                <w:sz w:val="20"/>
                <w:szCs w:val="20"/>
                <w:color w:val="auto"/>
              </w:rPr>
            </w:pPr>
            <w:r>
              <w:rPr>
                <w:rFonts w:ascii="Arial" w:cs="Arial" w:eastAsia="Arial" w:hAnsi="Arial"/>
                <w:sz w:val="18"/>
                <w:szCs w:val="18"/>
                <w:color w:val="auto"/>
              </w:rPr>
              <w:t>104</w:t>
            </w:r>
          </w:p>
        </w:tc>
        <w:tc>
          <w:tcPr>
            <w:tcW w:w="95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046"/>
        </w:trPr>
        <w:tc>
          <w:tcPr>
            <w:tcW w:w="16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EXAGEN INC.</w:t>
      </w:r>
    </w:p>
    <w:p>
      <w:pPr>
        <w:spacing w:after="0" w:line="283" w:lineRule="exact"/>
        <w:rPr>
          <w:sz w:val="20"/>
          <w:szCs w:val="20"/>
          <w:color w:val="auto"/>
        </w:rPr>
      </w:pPr>
    </w:p>
    <w:p>
      <w:pPr>
        <w:ind w:left="20"/>
        <w:spacing w:after="0"/>
        <w:tabs>
          <w:tab w:leader="none" w:pos="4840" w:val="left"/>
          <w:tab w:leader="none" w:pos="5440" w:val="left"/>
        </w:tabs>
        <w:rPr>
          <w:sz w:val="20"/>
          <w:szCs w:val="20"/>
          <w:color w:val="auto"/>
        </w:rPr>
      </w:pPr>
      <w:r>
        <w:rPr>
          <w:rFonts w:ascii="Arial" w:cs="Arial" w:eastAsia="Arial" w:hAnsi="Arial"/>
          <w:sz w:val="18"/>
          <w:szCs w:val="18"/>
          <w:color w:val="auto"/>
        </w:rPr>
        <w:t>Date: 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31750</wp:posOffset>
            </wp:positionV>
            <wp:extent cx="2648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Kamal Adawi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920"/>
          </w:cols>
          <w:pgMar w:left="320" w:top="904" w:right="659" w:bottom="1440" w:gutter="0" w:footer="0" w:header="0"/>
        </w:sectPr>
      </w:pPr>
    </w:p>
    <w:bookmarkStart w:id="3" w:name="page4"/>
    <w:bookmarkEnd w:id="3"/>
    <w:p>
      <w:pPr>
        <w:ind w:left="9120"/>
        <w:spacing w:after="0"/>
        <w:rPr>
          <w:sz w:val="20"/>
          <w:szCs w:val="20"/>
          <w:color w:val="auto"/>
        </w:rPr>
      </w:pPr>
      <w:r>
        <w:rPr>
          <w:rFonts w:ascii="Arial" w:cs="Arial" w:eastAsia="Arial" w:hAnsi="Arial"/>
          <w:sz w:val="19"/>
          <w:szCs w:val="19"/>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33020</wp:posOffset>
            </wp:positionV>
            <wp:extent cx="6172200" cy="7980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0" w:num="1">
            <w:col w:w="10120"/>
          </w:cols>
          <w:pgMar w:left="1440" w:top="774"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80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80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806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806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500380</wp:posOffset>
            </wp:positionV>
            <wp:extent cx="6172200" cy="7980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2023-11-17T15:49:43Z</dcterms:created>
  <dcterms:modified xsi:type="dcterms:W3CDTF">2023-11-17T15:49:43Z</dcterms:modified>
</cp:coreProperties>
</file>