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9429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42965"/>
                    </a:xfrm>
                    <a:prstGeom prst="rect">
                      <a:avLst/>
                    </a:prstGeom>
                    <a:noFill/>
                  </pic:spPr>
                </pic:pic>
              </a:graphicData>
            </a:graphic>
          </wp:anchor>
        </w:drawing>
      </w:r>
    </w:p>
    <w:p>
      <w:pPr>
        <w:sectPr>
          <w:pgSz w:w="11900" w:h="16838" w:orient="portrait"/>
          <w:cols w:equalWidth="0" w:num="1">
            <w:col w:w="11420"/>
          </w:cols>
          <w:pgMar w:left="240" w:top="226" w:right="239" w:bottom="661"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PALLARES EBETUEL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10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09/18/2019</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EXAGEN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1261 LIBERTY WAY, SUITE C</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40" w:type="dxa"/>
            <w:vAlign w:val="bottom"/>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42"/>
        </w:trPr>
        <w:tc>
          <w:tcPr>
            <w:tcW w:w="840" w:type="dxa"/>
            <w:vAlign w:val="bottom"/>
          </w:tcPr>
          <w:p>
            <w:pPr>
              <w:ind w:left="40"/>
              <w:spacing w:after="0"/>
              <w:rPr>
                <w:sz w:val="20"/>
                <w:szCs w:val="20"/>
                <w:color w:val="auto"/>
              </w:rPr>
            </w:pPr>
            <w:r>
              <w:rPr>
                <w:rFonts w:ascii="Arial" w:cs="Arial" w:eastAsia="Arial" w:hAnsi="Arial"/>
                <w:sz w:val="18"/>
                <w:szCs w:val="18"/>
                <w:color w:val="0000FF"/>
              </w:rPr>
              <w:t>VISTA</w:t>
            </w:r>
          </w:p>
        </w:tc>
        <w:tc>
          <w:tcPr>
            <w:tcW w:w="960" w:type="dxa"/>
            <w:vAlign w:val="bottom"/>
          </w:tcPr>
          <w:p>
            <w:pPr>
              <w:ind w:left="300"/>
              <w:spacing w:after="0"/>
              <w:rPr>
                <w:sz w:val="20"/>
                <w:szCs w:val="20"/>
                <w:color w:val="auto"/>
              </w:rPr>
            </w:pPr>
            <w:r>
              <w:rPr>
                <w:rFonts w:ascii="Arial" w:cs="Arial" w:eastAsia="Arial" w:hAnsi="Arial"/>
                <w:sz w:val="18"/>
                <w:szCs w:val="18"/>
                <w:color w:val="0000FF"/>
              </w:rPr>
              <w:t>CA</w:t>
            </w:r>
          </w:p>
        </w:tc>
        <w:tc>
          <w:tcPr>
            <w:tcW w:w="840" w:type="dxa"/>
            <w:vAlign w:val="bottom"/>
          </w:tcPr>
          <w:p>
            <w:pPr>
              <w:jc w:val="right"/>
              <w:spacing w:after="0"/>
              <w:rPr>
                <w:sz w:val="20"/>
                <w:szCs w:val="20"/>
                <w:color w:val="auto"/>
              </w:rPr>
            </w:pPr>
            <w:r>
              <w:rPr>
                <w:rFonts w:ascii="Arial" w:cs="Arial" w:eastAsia="Arial" w:hAnsi="Arial"/>
                <w:sz w:val="18"/>
                <w:szCs w:val="18"/>
                <w:color w:val="0000FF"/>
              </w:rPr>
              <w:t>92081</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EXAGEN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XGN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224"/>
        </w:trPr>
        <w:tc>
          <w:tcPr>
            <w:tcW w:w="1840" w:type="dxa"/>
            <w:vAlign w:val="bottom"/>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9"/>
                <w:szCs w:val="19"/>
                <w:color w:val="auto"/>
              </w:rPr>
            </w:pPr>
          </w:p>
        </w:tc>
        <w:tc>
          <w:tcPr>
            <w:tcW w:w="2680" w:type="dxa"/>
            <w:vAlign w:val="bottom"/>
            <w:tcBorders>
              <w:bottom w:val="single" w:sz="8" w:color="2C2C2C"/>
            </w:tcBorders>
          </w:tcPr>
          <w:p>
            <w:pPr>
              <w:spacing w:after="0"/>
              <w:rPr>
                <w:sz w:val="19"/>
                <w:szCs w:val="19"/>
                <w:color w:val="auto"/>
              </w:rPr>
            </w:pPr>
          </w:p>
        </w:tc>
      </w:tr>
      <w:tr>
        <w:trPr>
          <w:trHeight w:val="202"/>
        </w:trPr>
        <w:tc>
          <w:tcPr>
            <w:tcW w:w="1840" w:type="dxa"/>
            <w:vAlign w:val="bottom"/>
          </w:tcPr>
          <w:p>
            <w:pPr>
              <w:ind w:left="540"/>
              <w:spacing w:after="0"/>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62"/>
        </w:trPr>
        <w:tc>
          <w:tcPr>
            <w:tcW w:w="1840" w:type="dxa"/>
            <w:vAlign w:val="bottom"/>
          </w:tcPr>
          <w:p>
            <w:pPr>
              <w:ind w:left="540"/>
              <w:spacing w:after="0"/>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bl>
    <w:p>
      <w:pPr>
        <w:ind w:left="3560"/>
        <w:spacing w:after="0" w:line="210" w:lineRule="auto"/>
        <w:tabs>
          <w:tab w:leader="none" w:pos="386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3"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200" w:lineRule="exact"/>
        <w:rPr>
          <w:sz w:val="24"/>
          <w:szCs w:val="24"/>
          <w:color w:val="auto"/>
        </w:rPr>
      </w:pPr>
    </w:p>
    <w:p>
      <w:pPr>
        <w:sectPr>
          <w:pgSz w:w="11900" w:h="16838" w:orient="portrait"/>
          <w:cols w:equalWidth="0" w:num="2">
            <w:col w:w="4720" w:space="480"/>
            <w:col w:w="6220"/>
          </w:cols>
          <w:pgMar w:left="240" w:top="226" w:right="239" w:bottom="661"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tcPr>
          <w:p>
            <w:pPr>
              <w:jc w:val="right"/>
              <w:ind w:right="857"/>
              <w:spacing w:after="0"/>
              <w:rPr>
                <w:sz w:val="20"/>
                <w:szCs w:val="20"/>
                <w:color w:val="auto"/>
              </w:rPr>
            </w:pPr>
            <w:r>
              <w:rPr>
                <w:rFonts w:ascii="Arial" w:cs="Arial" w:eastAsia="Arial" w:hAnsi="Arial"/>
                <w:sz w:val="18"/>
                <w:szCs w:val="18"/>
                <w:color w:val="0000FF"/>
              </w:rPr>
              <w:t>179</w:t>
            </w:r>
          </w:p>
        </w:tc>
        <w:tc>
          <w:tcPr>
            <w:tcW w:w="840" w:type="dxa"/>
            <w:vAlign w:val="bottom"/>
            <w:tcBorders>
              <w:bottom w:val="single" w:sz="8" w:color="2C2C2C"/>
            </w:tcBorders>
          </w:tcPr>
          <w:p>
            <w:pPr>
              <w:ind w:left="60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48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2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450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5700" w:type="dxa"/>
            <w:vAlign w:val="bottom"/>
            <w:gridSpan w:val="6"/>
          </w:tcPr>
          <w:p>
            <w:pPr>
              <w:ind w:lef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8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0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2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80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8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96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4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40" w:type="dxa"/>
            <w:vAlign w:val="bottom"/>
          </w:tcPr>
          <w:p>
            <w:pPr>
              <w:ind w:left="1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960" w:type="dxa"/>
            <w:vAlign w:val="bottom"/>
          </w:tcPr>
          <w:p>
            <w:pPr>
              <w:spacing w:after="0"/>
              <w:rPr>
                <w:sz w:val="12"/>
                <w:szCs w:val="12"/>
                <w:color w:val="auto"/>
              </w:rPr>
            </w:pPr>
          </w:p>
        </w:tc>
        <w:tc>
          <w:tcPr>
            <w:tcW w:w="84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9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Warrants</w:t>
            </w:r>
          </w:p>
        </w:tc>
        <w:tc>
          <w:tcPr>
            <w:tcW w:w="122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(2)</w:t>
            </w:r>
          </w:p>
        </w:tc>
        <w:tc>
          <w:tcPr>
            <w:tcW w:w="1960" w:type="dxa"/>
            <w:vAlign w:val="bottom"/>
            <w:tcBorders>
              <w:bottom w:val="single" w:sz="8" w:color="2C2C2C"/>
            </w:tcBorders>
          </w:tcPr>
          <w:p>
            <w:pPr>
              <w:jc w:val="center"/>
              <w:ind w:left="17"/>
              <w:spacing w:after="0"/>
              <w:rPr>
                <w:sz w:val="20"/>
                <w:szCs w:val="20"/>
                <w:color w:val="auto"/>
              </w:rPr>
            </w:pPr>
            <w:r>
              <w:rPr>
                <w:rFonts w:ascii="Arial" w:cs="Arial" w:eastAsia="Arial" w:hAnsi="Arial"/>
                <w:sz w:val="18"/>
                <w:szCs w:val="18"/>
                <w:color w:val="0000FF"/>
                <w:w w:val="89"/>
              </w:rPr>
              <w:t>Common Stock</w:t>
            </w:r>
          </w:p>
        </w:tc>
        <w:tc>
          <w:tcPr>
            <w:tcW w:w="840" w:type="dxa"/>
            <w:vAlign w:val="bottom"/>
            <w:tcBorders>
              <w:bottom w:val="single" w:sz="8" w:color="2C2C2C"/>
            </w:tcBorders>
          </w:tcPr>
          <w:p>
            <w:pPr>
              <w:jc w:val="center"/>
              <w:ind w:left="21"/>
              <w:spacing w:after="0"/>
              <w:rPr>
                <w:sz w:val="20"/>
                <w:szCs w:val="20"/>
                <w:color w:val="auto"/>
              </w:rPr>
            </w:pPr>
            <w:r>
              <w:rPr>
                <w:rFonts w:ascii="Arial" w:cs="Arial" w:eastAsia="Arial" w:hAnsi="Arial"/>
                <w:sz w:val="18"/>
                <w:szCs w:val="18"/>
                <w:color w:val="0000FF"/>
                <w:w w:val="86"/>
              </w:rPr>
              <w:t>199</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688.63</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Warrants</w:t>
            </w:r>
          </w:p>
        </w:tc>
        <w:tc>
          <w:tcPr>
            <w:tcW w:w="122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1960" w:type="dxa"/>
            <w:vAlign w:val="bottom"/>
            <w:tcBorders>
              <w:bottom w:val="single" w:sz="8" w:color="2C2C2C"/>
            </w:tcBorders>
          </w:tcPr>
          <w:p>
            <w:pPr>
              <w:jc w:val="center"/>
              <w:ind w:left="17"/>
              <w:spacing w:after="0"/>
              <w:rPr>
                <w:sz w:val="20"/>
                <w:szCs w:val="20"/>
                <w:color w:val="auto"/>
              </w:rPr>
            </w:pPr>
            <w:r>
              <w:rPr>
                <w:rFonts w:ascii="Arial" w:cs="Arial" w:eastAsia="Arial" w:hAnsi="Arial"/>
                <w:sz w:val="18"/>
                <w:szCs w:val="18"/>
                <w:color w:val="0000FF"/>
                <w:w w:val="89"/>
              </w:rPr>
              <w:t>Common Stock</w:t>
            </w:r>
          </w:p>
        </w:tc>
        <w:tc>
          <w:tcPr>
            <w:tcW w:w="840" w:type="dxa"/>
            <w:vAlign w:val="bottom"/>
            <w:tcBorders>
              <w:bottom w:val="single" w:sz="8" w:color="2C2C2C"/>
            </w:tcBorders>
          </w:tcPr>
          <w:p>
            <w:pPr>
              <w:jc w:val="center"/>
              <w:ind w:left="41"/>
              <w:spacing w:after="0"/>
              <w:rPr>
                <w:sz w:val="20"/>
                <w:szCs w:val="20"/>
                <w:color w:val="auto"/>
              </w:rPr>
            </w:pPr>
            <w:r>
              <w:rPr>
                <w:rFonts w:ascii="Arial" w:cs="Arial" w:eastAsia="Arial" w:hAnsi="Arial"/>
                <w:sz w:val="18"/>
                <w:szCs w:val="18"/>
                <w:color w:val="0000FF"/>
                <w:w w:val="87"/>
              </w:rPr>
              <w:t>22,427</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1.84</w:t>
            </w:r>
          </w:p>
        </w:tc>
        <w:tc>
          <w:tcPr>
            <w:tcW w:w="88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rPr>
              <w:t>Warrants</w:t>
            </w:r>
          </w:p>
        </w:tc>
        <w:tc>
          <w:tcPr>
            <w:tcW w:w="1220" w:type="dxa"/>
            <w:vAlign w:val="bottom"/>
            <w:gridSpan w:val="2"/>
          </w:tcPr>
          <w:p>
            <w:pPr>
              <w:jc w:val="right"/>
              <w:ind w:right="309"/>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1960" w:type="dxa"/>
            <w:vAlign w:val="bottom"/>
          </w:tcPr>
          <w:p>
            <w:pPr>
              <w:jc w:val="center"/>
              <w:ind w:left="17"/>
              <w:spacing w:after="0"/>
              <w:rPr>
                <w:sz w:val="20"/>
                <w:szCs w:val="20"/>
                <w:color w:val="auto"/>
              </w:rPr>
            </w:pPr>
            <w:r>
              <w:rPr>
                <w:rFonts w:ascii="Arial" w:cs="Arial" w:eastAsia="Arial" w:hAnsi="Arial"/>
                <w:sz w:val="18"/>
                <w:szCs w:val="18"/>
                <w:color w:val="0000FF"/>
                <w:w w:val="89"/>
              </w:rPr>
              <w:t>Common Stock</w:t>
            </w:r>
          </w:p>
        </w:tc>
        <w:tc>
          <w:tcPr>
            <w:tcW w:w="840" w:type="dxa"/>
            <w:vAlign w:val="bottom"/>
          </w:tcPr>
          <w:p>
            <w:pPr>
              <w:jc w:val="center"/>
              <w:ind w:left="21"/>
              <w:spacing w:after="0"/>
              <w:rPr>
                <w:sz w:val="20"/>
                <w:szCs w:val="20"/>
                <w:color w:val="auto"/>
              </w:rPr>
            </w:pPr>
            <w:r>
              <w:rPr>
                <w:rFonts w:ascii="Arial" w:cs="Arial" w:eastAsia="Arial" w:hAnsi="Arial"/>
                <w:sz w:val="18"/>
                <w:szCs w:val="18"/>
                <w:color w:val="0000FF"/>
                <w:w w:val="84"/>
              </w:rPr>
              <w:t>2,265</w:t>
            </w:r>
          </w:p>
        </w:tc>
        <w:tc>
          <w:tcPr>
            <w:tcW w:w="880" w:type="dxa"/>
            <w:vAlign w:val="bottom"/>
          </w:tcPr>
          <w:p>
            <w:pPr>
              <w:jc w:val="center"/>
              <w:spacing w:after="0"/>
              <w:rPr>
                <w:sz w:val="20"/>
                <w:szCs w:val="20"/>
                <w:color w:val="auto"/>
              </w:rPr>
            </w:pPr>
            <w:r>
              <w:rPr>
                <w:rFonts w:ascii="Arial" w:cs="Arial" w:eastAsia="Arial" w:hAnsi="Arial"/>
                <w:sz w:val="18"/>
                <w:szCs w:val="18"/>
                <w:color w:val="0000FF"/>
                <w:w w:val="85"/>
              </w:rPr>
              <w:t>1.84</w:t>
            </w:r>
          </w:p>
        </w:tc>
        <w:tc>
          <w:tcPr>
            <w:tcW w:w="880" w:type="dxa"/>
            <w:vAlign w:val="bottom"/>
          </w:tcPr>
          <w:p>
            <w:pPr>
              <w:ind w:left="420"/>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1960" w:type="dxa"/>
            <w:vAlign w:val="bottom"/>
            <w:tcBorders>
              <w:top w:val="single" w:sz="8" w:color="2C2C2C"/>
            </w:tcBorders>
          </w:tcPr>
          <w:p>
            <w:pPr>
              <w:jc w:val="center"/>
              <w:ind w:left="17"/>
              <w:spacing w:after="0"/>
              <w:rPr>
                <w:sz w:val="20"/>
                <w:szCs w:val="20"/>
                <w:color w:val="auto"/>
              </w:rPr>
            </w:pPr>
            <w:r>
              <w:rPr>
                <w:rFonts w:ascii="Arial" w:cs="Arial" w:eastAsia="Arial" w:hAnsi="Arial"/>
                <w:sz w:val="18"/>
                <w:szCs w:val="18"/>
                <w:color w:val="0000FF"/>
                <w:w w:val="85"/>
              </w:rPr>
              <w:t>Series E Redeemable</w:t>
            </w:r>
          </w:p>
        </w:tc>
        <w:tc>
          <w:tcPr>
            <w:tcW w:w="8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rPr>
              <w:t>Warrants</w:t>
            </w:r>
          </w:p>
        </w:tc>
        <w:tc>
          <w:tcPr>
            <w:tcW w:w="122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1960" w:type="dxa"/>
            <w:vAlign w:val="bottom"/>
          </w:tcPr>
          <w:p>
            <w:pPr>
              <w:jc w:val="center"/>
              <w:ind w:left="37"/>
              <w:spacing w:after="0"/>
              <w:rPr>
                <w:sz w:val="20"/>
                <w:szCs w:val="20"/>
                <w:color w:val="auto"/>
              </w:rPr>
            </w:pPr>
            <w:r>
              <w:rPr>
                <w:rFonts w:ascii="Arial" w:cs="Arial" w:eastAsia="Arial" w:hAnsi="Arial"/>
                <w:sz w:val="18"/>
                <w:szCs w:val="18"/>
                <w:color w:val="0000FF"/>
                <w:w w:val="88"/>
              </w:rPr>
              <w:t>Convertible Preferred</w:t>
            </w:r>
          </w:p>
        </w:tc>
        <w:tc>
          <w:tcPr>
            <w:tcW w:w="840" w:type="dxa"/>
            <w:vAlign w:val="bottom"/>
          </w:tcPr>
          <w:p>
            <w:pPr>
              <w:jc w:val="center"/>
              <w:ind w:left="21"/>
              <w:spacing w:after="0"/>
              <w:rPr>
                <w:sz w:val="20"/>
                <w:szCs w:val="20"/>
                <w:color w:val="auto"/>
              </w:rPr>
            </w:pPr>
            <w:r>
              <w:rPr>
                <w:rFonts w:ascii="Arial" w:cs="Arial" w:eastAsia="Arial" w:hAnsi="Arial"/>
                <w:sz w:val="18"/>
                <w:szCs w:val="18"/>
                <w:color w:val="0000FF"/>
                <w:w w:val="89"/>
              </w:rPr>
              <w:t>219,978</w:t>
            </w:r>
          </w:p>
        </w:tc>
        <w:tc>
          <w:tcPr>
            <w:tcW w:w="880" w:type="dxa"/>
            <w:vAlign w:val="bottom"/>
          </w:tcPr>
          <w:p>
            <w:pPr>
              <w:jc w:val="center"/>
              <w:spacing w:after="0"/>
              <w:rPr>
                <w:sz w:val="20"/>
                <w:szCs w:val="20"/>
                <w:color w:val="auto"/>
              </w:rPr>
            </w:pPr>
            <w:r>
              <w:rPr>
                <w:rFonts w:ascii="Arial" w:cs="Arial" w:eastAsia="Arial" w:hAnsi="Arial"/>
                <w:sz w:val="18"/>
                <w:szCs w:val="18"/>
                <w:color w:val="0000FF"/>
                <w:w w:val="86"/>
              </w:rPr>
              <w:t>14.3235</w:t>
            </w:r>
          </w:p>
        </w:tc>
        <w:tc>
          <w:tcPr>
            <w:tcW w:w="880" w:type="dxa"/>
            <w:vAlign w:val="bottom"/>
          </w:tcPr>
          <w:p>
            <w:pPr>
              <w:ind w:left="420"/>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line="217" w:lineRule="exact"/>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60" w:type="dxa"/>
            <w:vAlign w:val="bottom"/>
          </w:tcPr>
          <w:p>
            <w:pPr>
              <w:jc w:val="center"/>
              <w:ind w:left="37"/>
              <w:spacing w:after="0"/>
              <w:rPr>
                <w:sz w:val="20"/>
                <w:szCs w:val="20"/>
                <w:color w:val="auto"/>
              </w:rPr>
            </w:pPr>
            <w:r>
              <w:rPr>
                <w:rFonts w:ascii="Arial" w:cs="Arial" w:eastAsia="Arial" w:hAnsi="Arial"/>
                <w:sz w:val="18"/>
                <w:szCs w:val="18"/>
                <w:color w:val="0000FF"/>
                <w:w w:val="88"/>
              </w:rPr>
              <w:t>Stock</w:t>
            </w: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w w:val="88"/>
              </w:rPr>
              <w:t>Series E Redeemable Convertible Preferred</w:t>
            </w:r>
          </w:p>
        </w:tc>
        <w:tc>
          <w:tcPr>
            <w:tcW w:w="122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(5)</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1960" w:type="dxa"/>
            <w:vAlign w:val="bottom"/>
            <w:vMerge w:val="restart"/>
          </w:tcPr>
          <w:p>
            <w:pPr>
              <w:jc w:val="center"/>
              <w:ind w:left="17"/>
              <w:spacing w:after="0"/>
              <w:rPr>
                <w:sz w:val="20"/>
                <w:szCs w:val="20"/>
                <w:color w:val="auto"/>
              </w:rPr>
            </w:pPr>
            <w:r>
              <w:rPr>
                <w:rFonts w:ascii="Arial" w:cs="Arial" w:eastAsia="Arial" w:hAnsi="Arial"/>
                <w:sz w:val="18"/>
                <w:szCs w:val="18"/>
                <w:color w:val="0000FF"/>
                <w:w w:val="89"/>
              </w:rPr>
              <w:t>Common Stock</w:t>
            </w:r>
          </w:p>
        </w:tc>
        <w:tc>
          <w:tcPr>
            <w:tcW w:w="840" w:type="dxa"/>
            <w:vAlign w:val="bottom"/>
            <w:vMerge w:val="restart"/>
          </w:tcPr>
          <w:p>
            <w:pPr>
              <w:jc w:val="center"/>
              <w:ind w:left="41"/>
              <w:spacing w:after="0"/>
              <w:rPr>
                <w:sz w:val="20"/>
                <w:szCs w:val="20"/>
                <w:color w:val="auto"/>
              </w:rPr>
            </w:pPr>
            <w:r>
              <w:rPr>
                <w:rFonts w:ascii="Arial" w:cs="Arial" w:eastAsia="Arial" w:hAnsi="Arial"/>
                <w:sz w:val="18"/>
                <w:szCs w:val="18"/>
                <w:color w:val="0000FF"/>
                <w:w w:val="87"/>
              </w:rPr>
              <w:t>77,204</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88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6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rPr>
              <w:t>Stock</w:t>
            </w:r>
          </w:p>
        </w:tc>
        <w:tc>
          <w:tcPr>
            <w:tcW w:w="122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960" w:type="dxa"/>
            <w:vAlign w:val="bottom"/>
          </w:tcPr>
          <w:p>
            <w:pPr>
              <w:spacing w:after="0"/>
              <w:rPr>
                <w:sz w:val="4"/>
                <w:szCs w:val="4"/>
                <w:color w:val="auto"/>
              </w:rPr>
            </w:pPr>
          </w:p>
        </w:tc>
        <w:tc>
          <w:tcPr>
            <w:tcW w:w="8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w w:val="89"/>
              </w:rPr>
              <w:t>Series F Redeemable Convertible Preferred</w:t>
            </w:r>
          </w:p>
        </w:tc>
        <w:tc>
          <w:tcPr>
            <w:tcW w:w="122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(6)</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1960" w:type="dxa"/>
            <w:vAlign w:val="bottom"/>
            <w:vMerge w:val="restart"/>
          </w:tcPr>
          <w:p>
            <w:pPr>
              <w:jc w:val="center"/>
              <w:ind w:left="17"/>
              <w:spacing w:after="0"/>
              <w:rPr>
                <w:sz w:val="20"/>
                <w:szCs w:val="20"/>
                <w:color w:val="auto"/>
              </w:rPr>
            </w:pPr>
            <w:r>
              <w:rPr>
                <w:rFonts w:ascii="Arial" w:cs="Arial" w:eastAsia="Arial" w:hAnsi="Arial"/>
                <w:sz w:val="18"/>
                <w:szCs w:val="18"/>
                <w:color w:val="0000FF"/>
                <w:w w:val="89"/>
              </w:rPr>
              <w:t>Common Stock</w:t>
            </w:r>
          </w:p>
        </w:tc>
        <w:tc>
          <w:tcPr>
            <w:tcW w:w="840" w:type="dxa"/>
            <w:vAlign w:val="bottom"/>
            <w:vMerge w:val="restart"/>
          </w:tcPr>
          <w:p>
            <w:pPr>
              <w:jc w:val="center"/>
              <w:ind w:left="41"/>
              <w:spacing w:after="0"/>
              <w:rPr>
                <w:sz w:val="20"/>
                <w:szCs w:val="20"/>
                <w:color w:val="auto"/>
              </w:rPr>
            </w:pPr>
            <w:r>
              <w:rPr>
                <w:rFonts w:ascii="Arial" w:cs="Arial" w:eastAsia="Arial" w:hAnsi="Arial"/>
                <w:sz w:val="18"/>
                <w:szCs w:val="18"/>
                <w:color w:val="0000FF"/>
                <w:w w:val="87"/>
              </w:rPr>
              <w:t>43,405</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88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6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rPr>
              <w:t>Stock</w:t>
            </w:r>
          </w:p>
        </w:tc>
        <w:tc>
          <w:tcPr>
            <w:tcW w:w="122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960" w:type="dxa"/>
            <w:vAlign w:val="bottom"/>
          </w:tcPr>
          <w:p>
            <w:pPr>
              <w:spacing w:after="0"/>
              <w:rPr>
                <w:sz w:val="4"/>
                <w:szCs w:val="4"/>
                <w:color w:val="auto"/>
              </w:rPr>
            </w:pPr>
          </w:p>
        </w:tc>
        <w:tc>
          <w:tcPr>
            <w:tcW w:w="8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reported on this form are held of record by PCM/Exagen, L.P. ("PCM"). Ebetuel Pallares is a co-manager of PCM. As a result, each of PCM and Dr. Pallares may be deemed to share beneficial ownership of the shares held of record by PCM.</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warrants are currently exercisable and will terminate upon closing of the Issuer's initial public offering.</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warrants are currently exercisable and will expire on January 19, 2026.</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warrants are currently exercisable and will expire on March 31, 2026.</w:t>
      </w:r>
    </w:p>
    <w:p>
      <w:pPr>
        <w:spacing w:after="0" w:line="41" w:lineRule="exact"/>
        <w:rPr>
          <w:rFonts w:ascii="Arial" w:cs="Arial" w:eastAsia="Arial" w:hAnsi="Arial"/>
          <w:sz w:val="14"/>
          <w:szCs w:val="14"/>
          <w:color w:val="008000"/>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Series E Redeemable Convertible Preferred Stock (the "Series E") is convertible into the Issuer's Common Stock on a 57.294-for-one basis at the holder's election and has no expiration date. The Series E will automatically convert into Commons Stock upon the closing of the Issuer's initial public offering.</w:t>
      </w:r>
    </w:p>
    <w:p>
      <w:pPr>
        <w:spacing w:after="0" w:line="30"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Series F Redeemable Convertible Preferred Stock ("Series F") is convertible into the Issuer's Common Stock on a 183.635-for-one basis at the holder's election and has no expiration date. The Series F will automatically convert into Commons Stock upon the closing of the Issuer's initial public offering.</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ind w:left="6860"/>
        <w:spacing w:after="0" w:line="184" w:lineRule="auto"/>
        <w:rPr>
          <w:sz w:val="20"/>
          <w:szCs w:val="20"/>
          <w:color w:val="auto"/>
        </w:rPr>
      </w:pPr>
      <w:r>
        <w:rPr>
          <w:rFonts w:ascii="Arial" w:cs="Arial" w:eastAsia="Arial" w:hAnsi="Arial"/>
          <w:sz w:val="17"/>
          <w:szCs w:val="17"/>
          <w:color w:val="0000FF"/>
        </w:rPr>
        <w:t xml:space="preserve">/s/ Kamal Adawi, Attorney-in-  </w:t>
      </w:r>
      <w:r>
        <w:rPr>
          <w:rFonts w:ascii="Arial" w:cs="Arial" w:eastAsia="Arial" w:hAnsi="Arial"/>
          <w:sz w:val="34"/>
          <w:szCs w:val="34"/>
          <w:color w:val="0000FF"/>
          <w:vertAlign w:val="subscript"/>
        </w:rPr>
        <w:t>09/18/2019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684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661" w:gutter="0" w:footer="0" w:header="0"/>
          <w:type w:val="continuous"/>
        </w:sectPr>
      </w:pPr>
    </w:p>
    <w:bookmarkStart w:id="1" w:name="page2"/>
    <w:bookmarkEnd w:id="1"/>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2099" w:firstLine="632"/>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Fortunato Ron Rocca, Kamal Adawi and Mark Hazeltine, signing singly, with full power of substitution, as the undersigned's true and lawful attorney-in-fact to:</w:t>
      </w:r>
    </w:p>
    <w:p>
      <w:pPr>
        <w:spacing w:after="0" w:line="207" w:lineRule="exact"/>
        <w:rPr>
          <w:sz w:val="20"/>
          <w:szCs w:val="20"/>
          <w:color w:val="auto"/>
        </w:rPr>
      </w:pPr>
    </w:p>
    <w:p>
      <w:pPr>
        <w:ind w:left="640" w:right="1779"/>
        <w:spacing w:after="0" w:line="237" w:lineRule="auto"/>
        <w:tabs>
          <w:tab w:leader="none" w:pos="127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11" w:lineRule="exact"/>
        <w:rPr>
          <w:rFonts w:ascii="Courier New" w:cs="Courier New" w:eastAsia="Courier New" w:hAnsi="Courier New"/>
          <w:sz w:val="18"/>
          <w:szCs w:val="18"/>
          <w:color w:val="auto"/>
        </w:rPr>
      </w:pPr>
    </w:p>
    <w:p>
      <w:pPr>
        <w:ind w:left="640" w:right="1999"/>
        <w:spacing w:after="0" w:line="237" w:lineRule="auto"/>
        <w:tabs>
          <w:tab w:leader="none" w:pos="127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Exagen Inc., a Delaware corporation (the "Company"), and/or 10% holder of the Company's capital stock, Forms 3, 4, and 5 and any amendments thereto in accordance with Section 16(a) of the Securities Exchange Act of 1934 and the rules thereunder;</w:t>
      </w:r>
    </w:p>
    <w:p>
      <w:pPr>
        <w:spacing w:after="0" w:line="209" w:lineRule="exact"/>
        <w:rPr>
          <w:rFonts w:ascii="Courier New" w:cs="Courier New" w:eastAsia="Courier New" w:hAnsi="Courier New"/>
          <w:sz w:val="18"/>
          <w:szCs w:val="18"/>
          <w:color w:val="auto"/>
        </w:rPr>
      </w:pPr>
    </w:p>
    <w:p>
      <w:pPr>
        <w:ind w:left="640" w:right="1779"/>
        <w:spacing w:after="0" w:line="237" w:lineRule="auto"/>
        <w:tabs>
          <w:tab w:leader="none" w:pos="127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8" w:lineRule="exact"/>
        <w:rPr>
          <w:rFonts w:ascii="Courier New" w:cs="Courier New" w:eastAsia="Courier New" w:hAnsi="Courier New"/>
          <w:sz w:val="18"/>
          <w:szCs w:val="18"/>
          <w:color w:val="auto"/>
        </w:rPr>
      </w:pPr>
    </w:p>
    <w:p>
      <w:pPr>
        <w:ind w:left="640" w:right="1779"/>
        <w:spacing w:after="0" w:line="237" w:lineRule="auto"/>
        <w:tabs>
          <w:tab w:leader="none" w:pos="127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17th day of September, 2019.</w:t>
      </w:r>
    </w:p>
    <w:p>
      <w:pPr>
        <w:spacing w:after="0" w:line="200" w:lineRule="exact"/>
        <w:rPr>
          <w:sz w:val="20"/>
          <w:szCs w:val="20"/>
          <w:color w:val="auto"/>
        </w:rPr>
      </w:pPr>
    </w:p>
    <w:p>
      <w:pPr>
        <w:spacing w:after="0" w:line="205"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 Ebetuel Pallares</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360" w:val="left"/>
        </w:tabs>
        <w:rPr>
          <w:sz w:val="20"/>
          <w:szCs w:val="20"/>
          <w:color w:val="auto"/>
        </w:rPr>
      </w:pPr>
      <w:r>
        <w:rPr>
          <w:rFonts w:ascii="Courier New" w:cs="Courier New" w:eastAsia="Courier New" w:hAnsi="Courier New"/>
          <w:sz w:val="18"/>
          <w:szCs w:val="18"/>
          <w:color w:val="auto"/>
        </w:rPr>
        <w:t>Print Name:</w:t>
      </w:r>
      <w:r>
        <w:rPr>
          <w:sz w:val="20"/>
          <w:szCs w:val="20"/>
          <w:color w:val="auto"/>
        </w:rPr>
        <w:tab/>
      </w:r>
      <w:r>
        <w:rPr>
          <w:rFonts w:ascii="Courier New" w:cs="Courier New" w:eastAsia="Courier New" w:hAnsi="Courier New"/>
          <w:sz w:val="16"/>
          <w:szCs w:val="16"/>
          <w:color w:val="auto"/>
        </w:rPr>
        <w:t>Ebetuel Pallares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614597" TargetMode="External"/><Relationship Id="rId12"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2019-12-23T16:08:45Z</dcterms:created>
  <dcterms:modified xsi:type="dcterms:W3CDTF">2019-12-23T16:08:45Z</dcterms:modified>
</cp:coreProperties>
</file>