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Hazeltine Mark</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EXAGEN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1261 LIBERTY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EXAGEN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XGN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02/04/2022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Operating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VISTA</w:t>
            </w:r>
          </w:p>
        </w:tc>
        <w:tc>
          <w:tcPr>
            <w:tcW w:w="860" w:type="dxa"/>
            <w:vAlign w:val="bottom"/>
            <w:vMerge w:val="restart"/>
          </w:tcPr>
          <w:p>
            <w:pPr>
              <w:ind w:left="60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92081</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02/04/2022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88"/>
              </w:rPr>
              <w:t>63,500</w:t>
            </w:r>
            <w:r>
              <w:rPr>
                <w:rFonts w:ascii="Arial" w:cs="Arial" w:eastAsia="Arial" w:hAnsi="Arial"/>
                <w:sz w:val="22"/>
                <w:szCs w:val="22"/>
                <w:color w:val="008000"/>
                <w:w w:val="88"/>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38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102,934</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63,500 restricted stock units. Each restricted stock unit represents a contingent right to receive one share of the Issuer's common stock. The restricted stock unit will vest with respect to 25% of the restricted stock units on each of the first, second, third and fourth anniversaries of February 4, 2022, subject to the Reporting Person's continued service through the applicable vesting date. In addition, the award may become fully vested upon a qualifying termination of employment in connection with a change in control.</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63,500 shares of restricted stock units granted on February 4, 2022, 37,500 shares of restricted stock units granted on February 23, 2021 and 1,934 shares of common stock.</w:t>
      </w:r>
    </w:p>
    <w:p>
      <w:pPr>
        <w:sectPr>
          <w:pgSz w:w="11900" w:h="16838" w:orient="portrait"/>
          <w:cols w:equalWidth="0" w:num="1">
            <w:col w:w="11080"/>
          </w:cols>
          <w:pgMar w:left="460" w:top="225" w:right="359" w:bottom="1440" w:gutter="0" w:footer="0" w:header="0"/>
          <w:type w:val="continuous"/>
        </w:sectPr>
      </w:pP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Kamal Adawi,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16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2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Arial" w:cs="Arial" w:eastAsia="Arial" w:hAnsi="Arial"/>
          <w:sz w:val="15"/>
          <w:szCs w:val="15"/>
          <w:color w:val="0000FF"/>
        </w:rPr>
        <w:t>02/08/2022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60" w:space="12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2986" TargetMode="External"/><Relationship Id="rId13"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2022-02-08T15:29:45Z</dcterms:created>
  <dcterms:modified xsi:type="dcterms:W3CDTF">2022-02-08T15:29:45Z</dcterms:modified>
</cp:coreProperties>
</file>