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43"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0"/>
                <w:szCs w:val="20"/>
                <w:color w:val="auto"/>
              </w:rPr>
            </w:pPr>
          </w:p>
        </w:tc>
      </w:tr>
      <w:tr>
        <w:trPr>
          <w:trHeight w:val="689"/>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r>
      <w:tr>
        <w:trPr>
          <w:trHeight w:val="201"/>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3740" w:type="dxa"/>
            <w:vAlign w:val="bottom"/>
            <w:gridSpan w:val="2"/>
          </w:tcPr>
          <w:p>
            <w:pPr>
              <w:jc w:val="center"/>
              <w:ind w:left="152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80" w:type="dxa"/>
            <w:vAlign w:val="bottom"/>
          </w:tcPr>
          <w:p>
            <w:pPr>
              <w:jc w:val="center"/>
              <w:ind w:right="7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9"/>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190"/>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296"/>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6"/>
                <w:szCs w:val="16"/>
                <w:color w:val="auto"/>
              </w:rPr>
            </w:pPr>
          </w:p>
        </w:tc>
      </w:tr>
      <w:tr>
        <w:trPr>
          <w:trHeight w:val="297"/>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8"/>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60"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0"/>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73"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August 6, 2021 was 16,126,784.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60" w:type="dxa"/>
            <w:vAlign w:val="bottom"/>
            <w:gridSpan w:val="9"/>
          </w:tcPr>
          <w:p>
            <w:pPr>
              <w:ind w:left="8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30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8300" w:type="dxa"/>
            <w:vAlign w:val="bottom"/>
            <w:gridSpan w:val="17"/>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300" w:type="dxa"/>
            <w:vAlign w:val="bottom"/>
            <w:gridSpan w:val="1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Financial Statements (unaudited)</w:t>
              </w:r>
            </w:hyperlink>
          </w:p>
        </w:tc>
        <w:tc>
          <w:tcPr>
            <w:tcW w:w="480" w:type="dxa"/>
            <w:vAlign w:val="bottom"/>
            <w:gridSpan w:val="2"/>
          </w:tcPr>
          <w:p>
            <w:pPr>
              <w:ind w:left="38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5840" w:type="dxa"/>
            <w:vAlign w:val="bottom"/>
            <w:gridSpan w:val="13"/>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Balance Sheets as of June 30, 2021 and December 31, 2020</w:t>
              </w:r>
            </w:hyperlink>
          </w:p>
        </w:tc>
        <w:tc>
          <w:tcPr>
            <w:tcW w:w="2460" w:type="dxa"/>
            <w:vAlign w:val="bottom"/>
            <w:gridSpan w:val="4"/>
          </w:tcPr>
          <w:p>
            <w:pPr>
              <w:spacing w:after="0"/>
              <w:rPr>
                <w:sz w:val="18"/>
                <w:szCs w:val="18"/>
                <w:color w:val="auto"/>
              </w:rPr>
            </w:pPr>
          </w:p>
        </w:tc>
        <w:tc>
          <w:tcPr>
            <w:tcW w:w="480" w:type="dxa"/>
            <w:vAlign w:val="bottom"/>
            <w:gridSpan w:val="2"/>
          </w:tcPr>
          <w:p>
            <w:pPr>
              <w:ind w:left="3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920" w:type="dxa"/>
            <w:vAlign w:val="bottom"/>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Statements of Operations for the Three and Six Months ended June 30, 2021 and 2020</w:t>
              </w:r>
            </w:hyperlink>
          </w:p>
        </w:tc>
        <w:tc>
          <w:tcPr>
            <w:tcW w:w="380" w:type="dxa"/>
            <w:vAlign w:val="bottom"/>
          </w:tcPr>
          <w:p>
            <w:pPr>
              <w:spacing w:after="0"/>
              <w:rPr>
                <w:sz w:val="18"/>
                <w:szCs w:val="18"/>
                <w:color w:val="auto"/>
              </w:rPr>
            </w:pPr>
          </w:p>
        </w:tc>
        <w:tc>
          <w:tcPr>
            <w:tcW w:w="480" w:type="dxa"/>
            <w:vAlign w:val="bottom"/>
            <w:gridSpan w:val="2"/>
          </w:tcPr>
          <w:p>
            <w:pPr>
              <w:ind w:left="3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7800" w:type="dxa"/>
            <w:vAlign w:val="bottom"/>
            <w:gridSpan w:val="15"/>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Statements of Stockholders' Equity for the Six Months ended June 30, 2021 and 2020</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ind w:left="38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8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Statements of Cash Flows for the Six Months ended June 30, 2021 and 2020</w:t>
              </w:r>
            </w:hyperlink>
          </w:p>
        </w:tc>
        <w:tc>
          <w:tcPr>
            <w:tcW w:w="500" w:type="dxa"/>
            <w:vAlign w:val="bottom"/>
            <w:gridSpan w:val="2"/>
          </w:tcPr>
          <w:p>
            <w:pPr>
              <w:spacing w:after="0"/>
              <w:rPr>
                <w:sz w:val="18"/>
                <w:szCs w:val="18"/>
                <w:color w:val="auto"/>
              </w:rPr>
            </w:pPr>
          </w:p>
        </w:tc>
        <w:tc>
          <w:tcPr>
            <w:tcW w:w="480" w:type="dxa"/>
            <w:vAlign w:val="bottom"/>
            <w:gridSpan w:val="2"/>
          </w:tcPr>
          <w:p>
            <w:pPr>
              <w:ind w:left="38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Unaudited Condensed Financial Statements</w:t>
              </w:r>
            </w:hyperlink>
          </w:p>
        </w:tc>
        <w:tc>
          <w:tcPr>
            <w:tcW w:w="2840" w:type="dxa"/>
            <w:vAlign w:val="bottom"/>
            <w:gridSpan w:val="4"/>
          </w:tcPr>
          <w:p>
            <w:pPr>
              <w:spacing w:after="0"/>
              <w:rPr>
                <w:sz w:val="18"/>
                <w:szCs w:val="18"/>
                <w:color w:val="auto"/>
              </w:rPr>
            </w:pPr>
          </w:p>
        </w:tc>
        <w:tc>
          <w:tcPr>
            <w:tcW w:w="1220" w:type="dxa"/>
            <w:vAlign w:val="bottom"/>
            <w:gridSpan w:val="3"/>
          </w:tcPr>
          <w:p>
            <w:pPr>
              <w:spacing w:after="0"/>
              <w:rPr>
                <w:sz w:val="18"/>
                <w:szCs w:val="18"/>
                <w:color w:val="auto"/>
              </w:rPr>
            </w:pPr>
          </w:p>
        </w:tc>
        <w:tc>
          <w:tcPr>
            <w:tcW w:w="480" w:type="dxa"/>
            <w:vAlign w:val="bottom"/>
            <w:gridSpan w:val="2"/>
          </w:tcPr>
          <w:p>
            <w:pPr>
              <w:ind w:left="38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Management's Discussion and Analysis of Financial Condition and Results of Operations</w:t>
              </w:r>
            </w:hyperlink>
          </w:p>
        </w:tc>
        <w:tc>
          <w:tcPr>
            <w:tcW w:w="1220" w:type="dxa"/>
            <w:vAlign w:val="bottom"/>
            <w:gridSpan w:val="3"/>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1220" w:type="dxa"/>
            <w:vAlign w:val="bottom"/>
            <w:gridSpan w:val="3"/>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3600" w:type="dxa"/>
            <w:vAlign w:val="bottom"/>
            <w:gridSpan w:val="6"/>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50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32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300" w:type="dxa"/>
            <w:vAlign w:val="bottom"/>
            <w:gridSpan w:val="17"/>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1640" w:type="dxa"/>
            <w:vAlign w:val="bottom"/>
            <w:gridSpan w:val="4"/>
          </w:tcPr>
          <w:p>
            <w:pPr>
              <w:ind w:left="38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35">
              <w:r>
                <w:rPr>
                  <w:rFonts w:ascii="Arial" w:cs="Arial" w:eastAsia="Arial" w:hAnsi="Arial"/>
                  <w:sz w:val="18"/>
                  <w:szCs w:val="18"/>
                  <w:color w:val="0000FF"/>
                  <w:w w:val="97"/>
                </w:rPr>
                <w:t>Risk Factors</w:t>
              </w:r>
            </w:hyperlink>
          </w:p>
        </w:tc>
        <w:tc>
          <w:tcPr>
            <w:tcW w:w="480" w:type="dxa"/>
            <w:vAlign w:val="bottom"/>
            <w:gridSpan w:val="2"/>
          </w:tcPr>
          <w:p>
            <w:pPr>
              <w:spacing w:after="0"/>
              <w:rPr>
                <w:sz w:val="18"/>
                <w:szCs w:val="18"/>
                <w:color w:val="auto"/>
              </w:rPr>
            </w:pPr>
          </w:p>
        </w:tc>
        <w:tc>
          <w:tcPr>
            <w:tcW w:w="6820" w:type="dxa"/>
            <w:vAlign w:val="bottom"/>
            <w:gridSpan w:val="12"/>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30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640" w:type="dxa"/>
            <w:vAlign w:val="bottom"/>
            <w:gridSpan w:val="4"/>
          </w:tcPr>
          <w:p>
            <w:pPr>
              <w:ind w:left="38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3460" w:type="dxa"/>
            <w:vAlign w:val="bottom"/>
            <w:gridSpan w:val="5"/>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5760" w:type="dxa"/>
            <w:vAlign w:val="bottom"/>
            <w:gridSpan w:val="9"/>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Other Information</w:t>
              </w:r>
            </w:hyperlink>
          </w:p>
        </w:tc>
        <w:tc>
          <w:tcPr>
            <w:tcW w:w="520" w:type="dxa"/>
            <w:vAlign w:val="bottom"/>
            <w:gridSpan w:val="2"/>
          </w:tcPr>
          <w:p>
            <w:pPr>
              <w:spacing w:after="0"/>
              <w:rPr>
                <w:sz w:val="18"/>
                <w:szCs w:val="18"/>
                <w:color w:val="auto"/>
              </w:rPr>
            </w:pPr>
          </w:p>
        </w:tc>
        <w:tc>
          <w:tcPr>
            <w:tcW w:w="6380" w:type="dxa"/>
            <w:vAlign w:val="bottom"/>
            <w:gridSpan w:val="11"/>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9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6900" w:type="dxa"/>
            <w:vAlign w:val="bottom"/>
            <w:gridSpan w:val="13"/>
          </w:tcPr>
          <w:p>
            <w:pPr>
              <w:spacing w:after="0"/>
              <w:rPr>
                <w:sz w:val="18"/>
                <w:szCs w:val="18"/>
                <w:color w:val="auto"/>
              </w:rPr>
            </w:pPr>
          </w:p>
        </w:tc>
        <w:tc>
          <w:tcPr>
            <w:tcW w:w="1640" w:type="dxa"/>
            <w:vAlign w:val="bottom"/>
            <w:gridSpan w:val="4"/>
          </w:tcPr>
          <w:p>
            <w:pPr>
              <w:ind w:left="380"/>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30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1640" w:type="dxa"/>
            <w:vAlign w:val="bottom"/>
            <w:gridSpan w:val="4"/>
          </w:tcPr>
          <w:p>
            <w:pPr>
              <w:ind w:left="380"/>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5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124,528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133,323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June 30, 2021 and</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580" w:type="dxa"/>
            <w:vAlign w:val="bottom"/>
          </w:tcPr>
          <w:p>
            <w:pPr>
              <w:ind w:left="360"/>
              <w:spacing w:after="0"/>
              <w:rPr>
                <w:sz w:val="20"/>
                <w:szCs w:val="20"/>
                <w:color w:val="auto"/>
              </w:rPr>
            </w:pPr>
            <w:r>
              <w:rPr>
                <w:rFonts w:ascii="Arial" w:cs="Arial" w:eastAsia="Arial" w:hAnsi="Arial"/>
                <w:sz w:val="14"/>
                <w:szCs w:val="14"/>
                <w:color w:val="auto"/>
              </w:rPr>
              <w:t>December 31, 2020</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June 30, 2021 and December 31, 2020; 16,126,784 and</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12,652,308 shares issued and outstanding at June 30, 2021 and December 31, 2020, respectively</w:t>
            </w:r>
          </w:p>
        </w:tc>
        <w:tc>
          <w:tcPr>
            <w:tcW w:w="1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290,272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96,380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18,532</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8,276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17,902</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18,514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12,365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27,170</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(9,044)</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540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(6,410)</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(3,363)</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(12,619)</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4"/>
                <w:szCs w:val="14"/>
                <w:color w:val="auto"/>
              </w:rPr>
              <w:t>Weighted-average number of shares used to compute net loss per share,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4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16,928,613</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12,637,642</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14,946,935</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12,616,678</w:t>
            </w:r>
          </w:p>
        </w:tc>
        <w:tc>
          <w:tcPr>
            <w:tcW w:w="0" w:type="dxa"/>
            <w:vAlign w:val="bottom"/>
          </w:tcPr>
          <w:p>
            <w:pPr>
              <w:spacing w:after="0"/>
              <w:rPr>
                <w:sz w:val="1"/>
                <w:szCs w:val="1"/>
                <w:color w:val="auto"/>
              </w:rPr>
            </w:pPr>
          </w:p>
        </w:tc>
      </w:tr>
      <w:tr>
        <w:trPr>
          <w:trHeight w:val="144"/>
        </w:trPr>
        <w:tc>
          <w:tcPr>
            <w:tcW w:w="5400" w:type="dxa"/>
            <w:vAlign w:val="bottom"/>
          </w:tcPr>
          <w:p>
            <w:pPr>
              <w:ind w:left="20"/>
              <w:spacing w:after="0" w:line="144" w:lineRule="exact"/>
              <w:rPr>
                <w:sz w:val="20"/>
                <w:szCs w:val="20"/>
                <w:color w:val="auto"/>
              </w:rPr>
            </w:pPr>
            <w:r>
              <w:rPr>
                <w:rFonts w:ascii="Arial" w:cs="Arial" w:eastAsia="Arial" w:hAnsi="Arial"/>
                <w:sz w:val="14"/>
                <w:szCs w:val="14"/>
                <w:color w:val="auto"/>
              </w:rPr>
              <w:t>and diluted (Note 2)</w:t>
            </w: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jc w:val="center"/>
              <w:ind w:right="4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2"/>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Deficit</w:t>
            </w:r>
          </w:p>
        </w:tc>
        <w:tc>
          <w:tcPr>
            <w:tcW w:w="280" w:type="dxa"/>
            <w:vAlign w:val="bottom"/>
          </w:tcPr>
          <w:p>
            <w:pPr>
              <w:spacing w:after="0"/>
              <w:rPr>
                <w:sz w:val="12"/>
                <w:szCs w:val="12"/>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12,652,308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223,115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14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Retirement of common stock in exchange for</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common stock warrant</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common stock warrant in exchange for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12,775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w:t>
            </w:r>
          </w:p>
        </w:tc>
        <w:tc>
          <w:tcPr>
            <w:tcW w:w="15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14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16,126,784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290,272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96,380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740" w:type="dxa"/>
            <w:vAlign w:val="bottom"/>
          </w:tcPr>
          <w:p>
            <w:pPr>
              <w:spacing w:after="0"/>
              <w:rPr>
                <w:sz w:val="24"/>
                <w:szCs w:val="24"/>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jc w:val="center"/>
              <w:ind w:right="4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2"/>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Deficit</w:t>
            </w:r>
          </w:p>
        </w:tc>
        <w:tc>
          <w:tcPr>
            <w:tcW w:w="280" w:type="dxa"/>
            <w:vAlign w:val="bottom"/>
          </w:tcPr>
          <w:p>
            <w:pPr>
              <w:spacing w:after="0"/>
              <w:rPr>
                <w:sz w:val="12"/>
                <w:szCs w:val="12"/>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220,248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exercise of common stock warrants</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220,689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(170,165)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common stock warrants</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14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12,640,409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221,356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8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(8,926)</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890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Paycheck Protection Program loan</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Paycheck Protection Program loan</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64,771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72,184</w:t>
            </w:r>
          </w:p>
        </w:tc>
        <w:tc>
          <w:tcPr>
            <w:tcW w:w="0" w:type="dxa"/>
            <w:vAlign w:val="bottom"/>
          </w:tcPr>
          <w:p>
            <w:pPr>
              <w:spacing w:after="0"/>
              <w:rPr>
                <w:sz w:val="1"/>
                <w:szCs w:val="1"/>
                <w:color w:val="auto"/>
              </w:rPr>
            </w:pPr>
          </w:p>
        </w:tc>
      </w:tr>
      <w:tr>
        <w:trPr>
          <w:trHeight w:val="20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112,676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expense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June 30, 2021, the Company had cash and cash equivalents of $112.6 million and had an accumulated deficit of $193.9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interim condensed balance sheet as of June 30, 2021, the condensed statements of operations and the condensed statements of stockholders' equity for the three and six months ended June 30, 2021 and 2020 and cash flows for the six months ended June 30, 2021 and 2020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June 30, 2021 and its results of operations for the three and six month periods presented. The results for the six months ended June 30, 2021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2020, included in its Annual Report on Form 10-K filed with the SEC on March 16, 2021.</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9" w:right="419" w:bottom="1440" w:gutter="0" w:footer="0" w:header="0"/>
        </w:sectPr>
      </w:pPr>
    </w:p>
    <w:bookmarkStart w:id="7" w:name="page8"/>
    <w:bookmarkEnd w:id="7"/>
    <w:p>
      <w:pPr>
        <w:ind w:right="60"/>
        <w:spacing w:after="0" w:line="253"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15"/>
        </w:trPr>
        <w:tc>
          <w:tcPr>
            <w:tcW w:w="5600" w:type="dxa"/>
            <w:vAlign w:val="bottom"/>
          </w:tcPr>
          <w:p>
            <w:pPr>
              <w:spacing w:after="0"/>
              <w:rPr>
                <w:sz w:val="10"/>
                <w:szCs w:val="10"/>
                <w:color w:val="auto"/>
              </w:rPr>
            </w:pPr>
          </w:p>
        </w:tc>
        <w:tc>
          <w:tcPr>
            <w:tcW w:w="2280" w:type="dxa"/>
            <w:vAlign w:val="bottom"/>
            <w:gridSpan w:val="4"/>
          </w:tcPr>
          <w:p>
            <w:pPr>
              <w:jc w:val="center"/>
              <w:ind w:left="417"/>
              <w:spacing w:after="0" w:line="115" w:lineRule="exact"/>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gridSpan w:val="3"/>
          </w:tcPr>
          <w:p>
            <w:pPr>
              <w:jc w:val="center"/>
              <w:ind w:left="342"/>
              <w:spacing w:after="0" w:line="115" w:lineRule="exact"/>
              <w:rPr>
                <w:sz w:val="20"/>
                <w:szCs w:val="20"/>
                <w:color w:val="auto"/>
              </w:rPr>
            </w:pPr>
            <w:r>
              <w:rPr>
                <w:rFonts w:ascii="Arial" w:cs="Arial" w:eastAsia="Arial" w:hAnsi="Arial"/>
                <w:sz w:val="13"/>
                <w:szCs w:val="13"/>
                <w:b w:val="1"/>
                <w:bCs w:val="1"/>
                <w:color w:val="auto"/>
                <w:w w:val="97"/>
              </w:rPr>
              <w:t>Six Months Ended</w:t>
            </w:r>
          </w:p>
        </w:tc>
        <w:tc>
          <w:tcPr>
            <w:tcW w:w="820" w:type="dxa"/>
            <w:vAlign w:val="bottom"/>
          </w:tcPr>
          <w:p>
            <w:pPr>
              <w:spacing w:after="0"/>
              <w:rPr>
                <w:sz w:val="10"/>
                <w:szCs w:val="10"/>
                <w:color w:val="auto"/>
              </w:rPr>
            </w:pPr>
          </w:p>
        </w:tc>
      </w:tr>
      <w:tr>
        <w:trPr>
          <w:trHeight w:val="172"/>
        </w:trPr>
        <w:tc>
          <w:tcPr>
            <w:tcW w:w="5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96"/>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3"/>
                <w:szCs w:val="13"/>
                <w:b w:val="1"/>
                <w:bCs w:val="1"/>
                <w:color w:val="auto"/>
                <w:w w:val="96"/>
              </w:rPr>
              <w:t>June 30,</w:t>
            </w:r>
          </w:p>
        </w:tc>
        <w:tc>
          <w:tcPr>
            <w:tcW w:w="820" w:type="dxa"/>
            <w:vAlign w:val="bottom"/>
            <w:tcBorders>
              <w:bottom w:val="single" w:sz="8" w:color="auto"/>
            </w:tcBorders>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35"/>
              <w:spacing w:after="0"/>
              <w:rPr>
                <w:sz w:val="20"/>
                <w:szCs w:val="20"/>
                <w:color w:val="auto"/>
              </w:rPr>
            </w:pPr>
            <w:r>
              <w:rPr>
                <w:rFonts w:ascii="Arial" w:cs="Arial" w:eastAsia="Arial" w:hAnsi="Arial"/>
                <w:sz w:val="13"/>
                <w:szCs w:val="13"/>
                <w:b w:val="1"/>
                <w:bCs w:val="1"/>
                <w:color w:val="auto"/>
                <w:w w:val="96"/>
              </w:rPr>
              <w:t>2020</w:t>
            </w:r>
          </w:p>
        </w:tc>
      </w:tr>
      <w:tr>
        <w:trPr>
          <w:trHeight w:val="227"/>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301"/>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25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48"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Accounts Receivable</w:t>
            </w:r>
          </w:p>
        </w:tc>
      </w:tr>
      <w:tr>
        <w:trPr>
          <w:trHeight w:val="412"/>
        </w:trPr>
        <w:tc>
          <w:tcPr>
            <w:tcW w:w="10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74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 2021</w:t>
            </w:r>
          </w:p>
        </w:tc>
        <w:tc>
          <w:tcPr>
            <w:tcW w:w="1640" w:type="dxa"/>
            <w:vAlign w:val="bottom"/>
          </w:tcPr>
          <w:p>
            <w:pPr>
              <w:jc w:val="right"/>
              <w:ind w:right="177"/>
              <w:spacing w:after="0"/>
              <w:rPr>
                <w:sz w:val="20"/>
                <w:szCs w:val="20"/>
                <w:color w:val="auto"/>
              </w:rPr>
            </w:pPr>
            <w:r>
              <w:rPr>
                <w:rFonts w:ascii="Arial" w:cs="Arial" w:eastAsia="Arial" w:hAnsi="Arial"/>
                <w:sz w:val="13"/>
                <w:szCs w:val="13"/>
                <w:b w:val="1"/>
                <w:bCs w:val="1"/>
                <w:color w:val="auto"/>
              </w:rPr>
              <w:t>December 31, 2020</w:t>
            </w:r>
          </w:p>
        </w:tc>
      </w:tr>
      <w:tr>
        <w:trPr>
          <w:trHeight w:val="230"/>
        </w:trPr>
        <w:tc>
          <w:tcPr>
            <w:tcW w:w="7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16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175"/>
        </w:trPr>
        <w:tc>
          <w:tcPr>
            <w:tcW w:w="1000" w:type="dxa"/>
            <w:vAlign w:val="bottom"/>
            <w:tcBorders>
              <w:bottom w:val="single" w:sz="8" w:color="auto"/>
            </w:tcBorders>
          </w:tcPr>
          <w:p>
            <w:pPr>
              <w:spacing w:after="0"/>
              <w:rPr>
                <w:sz w:val="15"/>
                <w:szCs w:val="15"/>
                <w:color w:val="auto"/>
              </w:rPr>
            </w:pPr>
          </w:p>
        </w:tc>
        <w:tc>
          <w:tcPr>
            <w:tcW w:w="6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150"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26"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For the three months ended June 30, 2021 and 2020, approximately 81% and 60%,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2021 and 2020, approximately 81% and 72%,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4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each of the three and six months ended June 30, 2021 and 2020, approximately 97%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3"/>
                <w:szCs w:val="13"/>
                <w:b w:val="1"/>
                <w:bCs w:val="1"/>
                <w:color w:val="auto"/>
              </w:rPr>
              <w:t>Six Months Ended June 30,</w:t>
            </w:r>
          </w:p>
        </w:tc>
      </w:tr>
      <w:tr>
        <w:trPr>
          <w:trHeight w:val="172"/>
        </w:trPr>
        <w:tc>
          <w:tcPr>
            <w:tcW w:w="5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2020</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7,381</w:t>
            </w:r>
          </w:p>
        </w:tc>
        <w:tc>
          <w:tcPr>
            <w:tcW w:w="100" w:type="dxa"/>
            <w:vAlign w:val="bottom"/>
          </w:tcPr>
          <w:p>
            <w:pPr>
              <w:spacing w:after="0"/>
              <w:rPr>
                <w:sz w:val="16"/>
                <w:szCs w:val="16"/>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4,138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13,408</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10,200</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4,052</w:t>
            </w: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Client(1)</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1,828</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89"/>
        </w:trPr>
        <w:tc>
          <w:tcPr>
            <w:tcW w:w="51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r>
      <w:tr>
        <w:trPr>
          <w:trHeight w:val="20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12,772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 that is immaterial</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is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2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Pursuant to the Janssen Agreement,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first and second quarters of 2020, the tiered promotion fee ranged from $750 to $1,250 per prescription over a predetermined baseline. Due in part to COVID-19, in June 2020, the Janssen Agreement was amended to adjust the predetermined average baseline for the third and fourth quarters of 2020. The Janssen Agreement was further amended in June 2020 and December 2020 to adjust the predetermined average baseline for prescribed units for the quarters ending December 31, 2020 and March 31, 2021 and was subject to further adjustment under certain circumstances. In June 2021, the Janssen Agreement was again amended to proportionally increase the baseline for prescribed units for the quarter ended June 30, 2021 to reflect the addition of certain geographies to the sales territories covered by the Janssen Agreement. For the first and second quarters of 2021, the Company is entitled to an amended tiered promotion fee ranging from $500 to $1,000 per prescription based on the incremental increase in total prescribed units, and the Company is entitled to receive a promotion fee of at least $0.3 million, but capped at 10% above the adjusted predetermined baseline.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0" w:name="page11"/>
    <w:bookmarkEnd w:id="10"/>
    <w:p>
      <w:pPr>
        <w:ind w:right="60"/>
        <w:spacing w:after="0" w:line="254" w:lineRule="auto"/>
        <w:rPr>
          <w:sz w:val="20"/>
          <w:szCs w:val="20"/>
          <w:color w:val="auto"/>
        </w:rPr>
      </w:pPr>
      <w:r>
        <w:rPr>
          <w:rFonts w:ascii="Arial" w:cs="Arial" w:eastAsia="Arial" w:hAnsi="Arial"/>
          <w:sz w:val="18"/>
          <w:szCs w:val="18"/>
          <w:color w:val="auto"/>
        </w:rPr>
        <w:t>In connection with the Janssen Agreement's termination, the Company is entitled to receive an aggregate of $0.6 million in consideration. During the remainder of the term of the Janssen Agreement and the 9 month period immediately following its termination on August 31, 2021, the Company will be restricted from promoting any other biologic or Janus kinase inhibitor used for treatment of indications covered by the Janssen Agreement without first obtaining Janssen's written consent.</w:t>
      </w:r>
    </w:p>
    <w:p>
      <w:pPr>
        <w:spacing w:after="0" w:line="13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Amended Janssen Agreement is cancelable. The Company recognized co-promotion revenue of approximately $0.3 million and $2.1 million during the three months ended June 30, 2021 and 2020, respectively. The Company recognized co-promotion revenue of approximately $0.6 million and $2.1 million during the six months ended June 30, 2021 and 2020,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$0.4 million and $0.3 million for the three months ended June 30, 2021 and 2020, respectively, and $0.6 million and $0.7 million for the six months ended June 30, 2021 and 2020, respectively, and are included in selling, general and administrative expenses in the accompanying condensed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$0.6 million and $0.3 million for the three months ended June 30, 2021 and 2020, respectively, and $1.0 million and $0.7 million for the six months ended June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fair value of the Company's common stock is determined by using the closing price of its common stock on the corresponding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2021 used to compute basic and diluted shares includes shares issuable upon the exercise of pre-funded warrants at a nominal price. Potentially dilutive common stock equivalents are comprised of warrants for the purchase of common stock, options and restricted stock units outstanding under the Company's 2019 Incentive Award Plan (the 2019 Plan) and shares of the Company's common stock pursuant to the ESPP. For the three and six months ended June 30, 2021 and 2020, there is no difference in the number of shares used to calculate basic and diluted shares outstanding as the inclusion of the potentially dilutive securities would be antidilutive.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52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40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2,123,617</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1,677,000</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2,123,617</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1,677,000</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375,525</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375,525</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12,525</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10,259</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12,525</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10,259</w:t>
            </w:r>
          </w:p>
        </w:tc>
      </w:tr>
      <w:tr>
        <w:trPr>
          <w:trHeight w:val="20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2,938,494</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2,114,086</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2,938,494</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2,114,086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Government assistance grants which are unconditional when received and intended to compensate for expenses incurred or replace lost revenue are recognized when those expenses are incurred or during the period that lost revenue is experienced, and the net amount is included in other income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spacing w:after="0" w:line="261" w:lineRule="auto"/>
        <w:rPr>
          <w:sz w:val="20"/>
          <w:szCs w:val="20"/>
          <w:color w:val="auto"/>
        </w:rPr>
      </w:pPr>
      <w:r>
        <w:rPr>
          <w:rFonts w:ascii="Arial" w:cs="Arial" w:eastAsia="Arial" w:hAnsi="Arial"/>
          <w:sz w:val="18"/>
          <w:szCs w:val="18"/>
          <w:color w:val="auto"/>
        </w:rPr>
        <w:t>recently issued standards that are not yet effective will not have a material impact on the Company's financial position or results of operations upon adoption.</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In June 2020, the FASB issued ASU 2020-05, which delays the adoption of ASU 2016-02 for non-public entities to fiscal years beginning after December 15, 2021, and interim periods beginning after December 15, 2022. As an emerging growth company as defined in the JOBS Act, the Company has elected to delay adoption of this ASU until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new guidance removes certain exceptions to the general principles of ASC 740 in order to simplify the complexities of its application. These changes include eliminations to the exceptions for intraperiod tax allocation, recognizing deferred tax liabilities related to outside basis differences, and year-to-date losses in interim periods, among others. The effective date of this guidance for public companies is for fiscal years, and interim period within those fiscal years, beginning after December 15, 2020. The Company adopted this guidance on January 1, 2021, and the adoption did not have a material impact on its condensed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68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2,229</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and other current assets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659</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2020</w:t>
            </w:r>
          </w:p>
        </w:tc>
      </w:tr>
      <w:tr>
        <w:trPr>
          <w:trHeight w:val="18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2,679</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5,043</w:t>
            </w:r>
          </w:p>
        </w:tc>
      </w:tr>
      <w:tr>
        <w:trPr>
          <w:trHeight w:val="18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Depreciation and amortization expense for each of the three months ended June 30, 2021 and 2020 was approximately $ 0.2 million, and for the six months ended June 30, 2021 and 2020, was approximately $0.4 million and $0.3 million, respectively. At June 30, 2021 and December 31, 2020, the gross book value of assets under capital lease was $2.3 million and $1.2 million, respectively, and is classified in "Laboratory equipment" in the table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3,589</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147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221</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308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5,757</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June 30, 2021, no additional amounts remain available to borrow under the 2017 Term Loan.</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the Company executed the First Amendment to the Loan and Security Agreement (the 2017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each of the three months ended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p>
      <w:pPr>
        <w:ind w:right="260"/>
        <w:spacing w:after="0" w:line="261" w:lineRule="auto"/>
        <w:rPr>
          <w:sz w:val="20"/>
          <w:szCs w:val="20"/>
          <w:color w:val="auto"/>
        </w:rPr>
      </w:pPr>
      <w:r>
        <w:rPr>
          <w:rFonts w:ascii="Arial" w:cs="Arial" w:eastAsia="Arial" w:hAnsi="Arial"/>
          <w:sz w:val="18"/>
          <w:szCs w:val="18"/>
          <w:color w:val="auto"/>
        </w:rPr>
        <w:t>June 30, 2021 and 2020, the Company issued PIK Loans totaling $0.1 million. For each of the six months ended June 30, 2021 and 2020, the Company issued PIK Loans totaling $0.3 million.</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Loan Amendment requires a prepayment premium of 2% of the aggregate outstanding principal. The prepayment premium decreases by 1% on November 19, 2021 and 2022.</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in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Loan Amendment requires that the Company maintain certain levels of minimum liquidity and maintains an unrestricted cash balance of $2.0 million.</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Company was in compliance with all covenants of the Loan Amendment.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condensed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June 30, 2021, future minimum aggregate payments, including interest, for outstanding borrowings under the Loan Amendment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June 30, 2021</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2,996</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r>
      <w:tr>
        <w:trPr>
          <w:trHeight w:val="18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14,280</w:t>
            </w:r>
          </w:p>
        </w:tc>
      </w:tr>
      <w:tr>
        <w:trPr>
          <w:trHeight w:val="18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33,784</w:t>
            </w:r>
          </w:p>
        </w:tc>
      </w:tr>
      <w:tr>
        <w:trPr>
          <w:trHeight w:val="189"/>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9"/>
        </w:trPr>
        <w:tc>
          <w:tcPr>
            <w:tcW w:w="9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(6,462)</w:t>
            </w:r>
          </w:p>
        </w:tc>
      </w:tr>
      <w:tr>
        <w:trPr>
          <w:trHeight w:val="208"/>
        </w:trPr>
        <w:tc>
          <w:tcPr>
            <w:tcW w:w="9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June 30, 2021, the Company leases office and laboratory space in Vista, California, under leases that expire in January 2026, with an option to extend a portion of the lease for an additional 5-year period. In addition, the Company also leases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the three months ended June 30, 2021 and 2020, rent expense was $0.2 million and $0.1 million, respectively. For the six months ended June 30, 2021 and 2020, rent expense was $0.3 million and $0.2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As of June 30, 2021 and December 31, 2020, the remaining potential milestone obligation is for an additional $2.0 million payment to Prometheus Laboratories, Inc. (Prometheus) for which the fair value was determined to be zero at June 30, 2021 and December 31, 2020.</w:t>
      </w:r>
    </w:p>
    <w:p>
      <w:pPr>
        <w:spacing w:after="0" w:line="20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addition, the Company has ongoing royalty payment obligations of 2.5% on net sales of products which incorporate certain acquired technologies. Future royalties payable under these arrangements are limited to the lesser of (i) an aggregate of $1.2 million (including an upfront payment of $100,000) and (ii)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3.0% on net sales of products which incorporate licensed technology, as defined in such agreements. Royalties are accrued when earned and recorded in costs of revenue in the accompanying condensed statement of operations.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or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2020, the Company entered into an amended supply agreement with one supplier for reagents which includes minimum annual purchase commitments of $ 4.1 million and $6.0 million for the years ended December 31, 2021 and 2022, respectively, with a 15% annual increase thereafter through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$67,000 for the three and six months ended June 30, 2021. Collaboration expenses under the AHN collaboration are included in research and development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ind w:left="200"/>
              <w:spacing w:after="0"/>
              <w:rPr>
                <w:sz w:val="20"/>
                <w:szCs w:val="20"/>
                <w:color w:val="auto"/>
              </w:rPr>
            </w:pPr>
            <w:r>
              <w:rPr>
                <w:rFonts w:ascii="Arial" w:cs="Arial" w:eastAsia="Arial" w:hAnsi="Arial"/>
                <w:sz w:val="13"/>
                <w:szCs w:val="13"/>
                <w:b w:val="1"/>
                <w:bCs w:val="1"/>
                <w:color w:val="auto"/>
              </w:rPr>
              <w:t>June 30, 2021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4"/>
          </w:tcPr>
          <w:p>
            <w:pPr>
              <w:ind w:left="38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200" w:type="dxa"/>
            <w:vAlign w:val="bottom"/>
            <w:gridSpan w:val="4"/>
          </w:tcPr>
          <w:p>
            <w:pPr>
              <w:ind w:left="28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7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105,719</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105,719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7"/>
        </w:trPr>
        <w:tc>
          <w:tcPr>
            <w:tcW w:w="4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3"/>
          </w:tcPr>
          <w:p>
            <w:pPr>
              <w:ind w:left="80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800"/>
              <w:spacing w:after="0" w:line="153" w:lineRule="exact"/>
              <w:rPr>
                <w:sz w:val="20"/>
                <w:szCs w:val="20"/>
                <w:color w:val="auto"/>
              </w:rPr>
            </w:pPr>
            <w:r>
              <w:rPr>
                <w:rFonts w:ascii="Arial" w:cs="Arial" w:eastAsia="Arial" w:hAnsi="Arial"/>
                <w:sz w:val="14"/>
                <w:szCs w:val="14"/>
                <w:color w:val="auto"/>
              </w:rPr>
              <w:t>Money market funds, included in cash and cash</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34,507</w:t>
            </w:r>
          </w:p>
        </w:tc>
        <w:tc>
          <w:tcPr>
            <w:tcW w:w="12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34,507</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0" w:type="dxa"/>
            <w:vAlign w:val="bottom"/>
            <w:gridSpan w:val="4"/>
            <w:vMerge w:val="restart"/>
          </w:tcPr>
          <w:p>
            <w:pPr>
              <w:ind w:left="5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680" w:type="dxa"/>
            <w:vAlign w:val="bottom"/>
          </w:tcPr>
          <w:p>
            <w:pPr>
              <w:ind w:left="360"/>
              <w:spacing w:after="0"/>
              <w:rPr>
                <w:sz w:val="20"/>
                <w:szCs w:val="20"/>
                <w:color w:val="auto"/>
              </w:rPr>
            </w:pPr>
            <w:r>
              <w:rPr>
                <w:rFonts w:ascii="Arial" w:cs="Arial" w:eastAsia="Arial" w:hAnsi="Arial"/>
                <w:sz w:val="14"/>
                <w:szCs w:val="14"/>
                <w:color w:val="auto"/>
              </w:rPr>
              <w:t>equivalents</w:t>
            </w:r>
          </w:p>
        </w:tc>
        <w:tc>
          <w:tcPr>
            <w:tcW w:w="7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On March 25, 2021, the Company completed a public offering of 4,255,000 shares of its common stock at a public offering price of $16.25 per share. Net proceeds from the offering were approximately $64.7 million, after deducting underwriting discounts and commissions and offering expenses of $4.4 million. The shares were registered pursuant to the Company's Shelf Registration Statement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4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7" w:name="page18"/>
    <w:bookmarkEnd w:id="17"/>
    <w:p>
      <w:pPr>
        <w:ind w:right="180"/>
        <w:spacing w:after="0" w:line="252" w:lineRule="auto"/>
        <w:rPr>
          <w:sz w:val="20"/>
          <w:szCs w:val="20"/>
          <w:color w:val="auto"/>
        </w:rPr>
      </w:pPr>
      <w:r>
        <w:rPr>
          <w:rFonts w:ascii="Arial" w:cs="Arial" w:eastAsia="Arial" w:hAnsi="Arial"/>
          <w:sz w:val="18"/>
          <w:szCs w:val="18"/>
          <w:color w:val="auto"/>
        </w:rPr>
        <w:t>the Company's common stock, which percentage may change at the Exchanging Stockholder's election to any other percentage upon 61 days' notice to the Company. The Company recorded the retirement of the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June 30, 2021, none of the Exchange Warrants have been exercised.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69,176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183"/>
        </w:trPr>
        <w:tc>
          <w:tcPr>
            <w:tcW w:w="3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1,231,778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June 30, 2021, 1,112,598 shares of common stock remained available for future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June 30, 2021, 345,493 shares of common stock remained available for issuance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214,850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(54,766)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June 30, 2021</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2,123,617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8,932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June 30, 2021</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2,123,617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June 30,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812,611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5,125</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June 30, 2021, total unrecognized compensation cost related to option awards was $9.1 million, which is expected to be recognized over a remaining weighted-average vesting period of 2.4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1620" w:type="dxa"/>
            <w:vAlign w:val="bottom"/>
            <w:vMerge w:val="restart"/>
          </w:tcPr>
          <w:p>
            <w:pPr>
              <w:jc w:val="right"/>
              <w:ind w:right="431"/>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Weighted-</w:t>
            </w:r>
          </w:p>
        </w:tc>
        <w:tc>
          <w:tcPr>
            <w:tcW w:w="300" w:type="dxa"/>
            <w:vAlign w:val="bottom"/>
          </w:tcPr>
          <w:p>
            <w:pPr>
              <w:spacing w:after="0"/>
              <w:rPr>
                <w:sz w:val="13"/>
                <w:szCs w:val="13"/>
                <w:color w:val="auto"/>
              </w:rPr>
            </w:pPr>
          </w:p>
        </w:tc>
        <w:tc>
          <w:tcPr>
            <w:tcW w:w="1340" w:type="dxa"/>
            <w:vAlign w:val="bottom"/>
          </w:tcPr>
          <w:p>
            <w:pPr>
              <w:jc w:val="center"/>
              <w:ind w:right="21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1340" w:type="dxa"/>
            <w:vAlign w:val="bottom"/>
          </w:tcPr>
          <w:p>
            <w:pPr>
              <w:jc w:val="center"/>
              <w:ind w:right="233"/>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2"/>
        </w:trPr>
        <w:tc>
          <w:tcPr>
            <w:tcW w:w="62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Grant Date Fair Value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389,700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375,525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June 30, 2021, all of the outstanding restricted stock units are unvested. As of June 30, 2021, total unrecognized compensation cost related to restricted stock units was $6.0 million, which is expected to be recognized over a remaining weighted-average vesting period of 3.7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980" w:type="dxa"/>
            <w:vAlign w:val="bottom"/>
            <w:gridSpan w:val="4"/>
          </w:tcPr>
          <w:p>
            <w:pPr>
              <w:ind w:left="540"/>
              <w:spacing w:after="0"/>
              <w:rPr>
                <w:sz w:val="20"/>
                <w:szCs w:val="20"/>
                <w:color w:val="auto"/>
              </w:rPr>
            </w:pPr>
            <w:r>
              <w:rPr>
                <w:rFonts w:ascii="Arial" w:cs="Arial" w:eastAsia="Arial" w:hAnsi="Arial"/>
                <w:sz w:val="13"/>
                <w:szCs w:val="13"/>
                <w:b w:val="1"/>
                <w:bCs w:val="1"/>
                <w:color w:val="auto"/>
              </w:rPr>
              <w:t>Three Months Ended June 30,</w:t>
            </w:r>
          </w:p>
        </w:tc>
        <w:tc>
          <w:tcPr>
            <w:tcW w:w="2880" w:type="dxa"/>
            <w:vAlign w:val="bottom"/>
            <w:gridSpan w:val="3"/>
          </w:tcPr>
          <w:p>
            <w:pPr>
              <w:ind w:left="620"/>
              <w:spacing w:after="0"/>
              <w:rPr>
                <w:sz w:val="20"/>
                <w:szCs w:val="20"/>
                <w:color w:val="auto"/>
              </w:rPr>
            </w:pPr>
            <w:r>
              <w:rPr>
                <w:rFonts w:ascii="Arial" w:cs="Arial" w:eastAsia="Arial" w:hAnsi="Arial"/>
                <w:sz w:val="13"/>
                <w:szCs w:val="13"/>
                <w:b w:val="1"/>
                <w:bCs w:val="1"/>
                <w:color w:val="auto"/>
              </w:rPr>
              <w:t>Six Months Ended June 30,</w:t>
            </w:r>
          </w:p>
        </w:tc>
      </w:tr>
      <w:tr>
        <w:trPr>
          <w:trHeight w:val="172"/>
        </w:trPr>
        <w:tc>
          <w:tcPr>
            <w:tcW w:w="538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83%-84%</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47%-51%</w:t>
            </w:r>
          </w:p>
        </w:tc>
      </w:tr>
      <w:tr>
        <w:trPr>
          <w:trHeight w:val="189"/>
        </w:trPr>
        <w:tc>
          <w:tcPr>
            <w:tcW w:w="53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0.8%-1.1%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0.4%-1.7%</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53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5.50-6.08</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980" w:type="dxa"/>
            <w:vAlign w:val="bottom"/>
            <w:gridSpan w:val="4"/>
          </w:tcPr>
          <w:p>
            <w:pPr>
              <w:ind w:left="540"/>
              <w:spacing w:after="0"/>
              <w:rPr>
                <w:sz w:val="20"/>
                <w:szCs w:val="20"/>
                <w:color w:val="auto"/>
              </w:rPr>
            </w:pPr>
            <w:r>
              <w:rPr>
                <w:rFonts w:ascii="Arial" w:cs="Arial" w:eastAsia="Arial" w:hAnsi="Arial"/>
                <w:sz w:val="13"/>
                <w:szCs w:val="13"/>
                <w:b w:val="1"/>
                <w:bCs w:val="1"/>
                <w:color w:val="auto"/>
              </w:rPr>
              <w:t>Three Months Ended June 30,</w:t>
            </w:r>
          </w:p>
        </w:tc>
        <w:tc>
          <w:tcPr>
            <w:tcW w:w="2860" w:type="dxa"/>
            <w:vAlign w:val="bottom"/>
            <w:gridSpan w:val="3"/>
          </w:tcPr>
          <w:p>
            <w:pPr>
              <w:ind w:left="620"/>
              <w:spacing w:after="0"/>
              <w:rPr>
                <w:sz w:val="20"/>
                <w:szCs w:val="20"/>
                <w:color w:val="auto"/>
              </w:rPr>
            </w:pPr>
            <w:r>
              <w:rPr>
                <w:rFonts w:ascii="Arial" w:cs="Arial" w:eastAsia="Arial" w:hAnsi="Arial"/>
                <w:sz w:val="13"/>
                <w:szCs w:val="13"/>
                <w:b w:val="1"/>
                <w:bCs w:val="1"/>
                <w:color w:val="auto"/>
              </w:rPr>
              <w:t>Six Months Ended June 30,</w:t>
            </w:r>
          </w:p>
        </w:tc>
      </w:tr>
      <w:tr>
        <w:trPr>
          <w:trHeight w:val="172"/>
        </w:trPr>
        <w:tc>
          <w:tcPr>
            <w:tcW w:w="540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58%</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1.1%</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5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30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Stock-based compensation expense for the ESPP was immaterial for the three and six months ended June 30, 2021 and 2020. As of June 30, 2021, total unrecognized compensation cost related to stock purchase rights granted under the ESPP was an immaterial amount, which is expected to be recognized over a remaining weighted-average vesting period of 0.2 years.</w:t>
      </w:r>
    </w:p>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 of operations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Six Months Ended June 30,</w:t>
            </w:r>
          </w:p>
        </w:tc>
      </w:tr>
      <w:tr>
        <w:trPr>
          <w:trHeight w:val="172"/>
        </w:trPr>
        <w:tc>
          <w:tcPr>
            <w:tcW w:w="54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2020</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0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986</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w:t>
            </w:r>
          </w:p>
        </w:tc>
      </w:tr>
      <w:tr>
        <w:trPr>
          <w:trHeight w:val="20"/>
        </w:trPr>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COVID-19</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During 2020, due to the worldwide COVID-19 pandemic, the Company experienced a reduction in patient test volumes, delays in patient enrollment in ongoing and planned clinical studies, and delays in the procurement of its testing supplies. In response to the pandemic, the Company has curtailed non-essential employee travel, equipped employees with the ability to work remotely with the exception of clinical laboratory employees, and reduced marketing spend and employee headcount.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3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 against its deferred tax assets in the amount of $0.1 million. The release of valuation allowance resulted in a discrete tax benefit of $0.1 million in the first quarter of 2020.</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 been met. During the three and six months ended June 30, 2020, the Company recognized $0.7 million due to lost revenue attributable to COVID-19, which is reflected in other income, net, on its condensed statements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ind w:right="20"/>
        <w:spacing w:after="0" w:line="237" w:lineRule="auto"/>
        <w:rPr>
          <w:sz w:val="20"/>
          <w:szCs w:val="20"/>
          <w:color w:val="auto"/>
        </w:rPr>
      </w:pPr>
      <w:r>
        <w:rPr>
          <w:rFonts w:ascii="Arial" w:cs="Arial" w:eastAsia="Arial" w:hAnsi="Arial"/>
          <w:sz w:val="18"/>
          <w:szCs w:val="18"/>
          <w:color w:val="auto"/>
        </w:rPr>
        <w:t>On April 16, 2020, the Company entered into a promissory note (the Note) with BOKF, NA dba Bank of Oklahoma (BofO),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Note.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2020, the Consolidated Appropriations Act, 2021 was signed into law. It provides additional COVID-19 focused relief and extends certain provisions of the CARES Act. At this time, the Company does not believe that the Consolidated Appropriations Act, 2021 has a material impact on its financial statements.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2020 included in our Annual Report on Form 10-K for the year ended December 31, 2020,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81% and 72% of our revenue for the six months ended June 30, 2021 and 2020,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or GSK, Covance Inc.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t>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expect to begin the conversion of approximately 8,000 square feet of warehouse space into additional clinical laboratory space and approximately 6,000 square feet of warehouse space into additional research and development facility space, and expect to complete such conversion in the third quarter of 2022.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market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using our specialized sales force. As of June 30, 2021, we have a sales force of 60 representatives covering a total of 63 territories. Unlike many diagnostic sales forces that are 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devoted substantially all of our efforts developing and marketing products for the diagnosis, prognosis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monitoring of autoimmune diseases. Although our revenue has increased sequentially year over year, we have never been profitable and,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June 30, 2021 we had an accumulated deficit of $193.9 million. We incurred net losses of $12.6 million and $8.9 million for the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2021 and 2020, respectively. We expect to continue to incur operating losses in the near term as our operating expenses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support the growth of our business, as well as additional costs associated with being a public company. We have funded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primarily through equity and debt financings and revenue from sales of our products. We completed our initial public offering,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IPO, in September 2019, raising net proceeds from the offering of approximately $50.4 million, net of underwriting discounts,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offering expenses, for aggregate expenses of approximately $7.5 million. In March 2021, we completed a public offering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4,255,000 shares of our common stock at a public offering price of $16.25 per share. Net proceeds from the offering were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$64.7 million, net of underwriting discounts and commissions and offering costs of $4.4 million. As of June 30, 2021, we had $112.6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a phased re-opening, although the potential to return to prior restrictions remains if there are increases (or, in some jurisdictions, continued increases) in new cases of COVID-19 or any of its viral variants in the future. Even in areas where "stay-at-home" restrictions have been lifted and the number of COVID-19 cases have declined, many individuals remain cautious about resuming activities such as preventative-care medical visits. As a result of COVID-19 related limitations and reordering of priorities across the U.S. healthcare system, a reduction in patient flow occurred and our test volumes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3" w:name="page24"/>
    <w:bookmarkEnd w:id="23"/>
    <w:p>
      <w:pPr>
        <w:spacing w:after="0" w:line="213" w:lineRule="auto"/>
        <w:rPr>
          <w:sz w:val="20"/>
          <w:szCs w:val="20"/>
          <w:color w:val="auto"/>
        </w:rPr>
      </w:pPr>
      <w:r>
        <w:rPr>
          <w:rFonts w:ascii="Arial" w:cs="Arial" w:eastAsia="Arial" w:hAnsi="Arial"/>
          <w:sz w:val="18"/>
          <w:szCs w:val="18"/>
          <w:color w:val="auto"/>
        </w:rPr>
        <w:t>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For the three months ended June 30, 2021 as compared to the same period in 2020,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80%. For the six months ended June 30, 2021 as compared to the same period in 2020,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37%. However, the continued spread of COVID-19, the extent of which is highly uncertain, may adversely affect testing volumes in future periods.</w:t>
      </w:r>
    </w:p>
    <w:p>
      <w:pPr>
        <w:spacing w:after="0" w:line="21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pricing discounts with our key suppliers and absorb fixed laboratory expenses. For example, we have experienced delays in patient enrollment for ongoing and planned clinical studies involving our tests, which may delay or prevent launch of future test products. We have also experienced delays in procurement of our testing supplies due to suppliers rationing testing supplies and prioritizing COVID-19 testing beginning in the first quarter of 2021, which may continue into the future, and our partners may also experience a disruption in their ability to readily obtain supply. Our sales force has been, and for an extended period of time may continue to be limited, in their in-person interactions with healthcare providers, and therefore, also limited in their ability to engage in various types of healthcare provider education activities.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portion of our workforce which has been working remotely in an effort to reduce the spread of COVID-19, may be infected from the virus or otherwise distracted.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response to the COVID-19 pandemic, we initially curtailed non-essential travel and have equipped most of our employees with the ability to work remotely with the exception of our clinical laboratory employees, and implemented measures to protect the health of our employees and to support the functionality of our clinical laboratory, such as providing personal protective equipment (including face masks or shields) and maintaining social distancing. In addition, in the second quarter of 2020, our sales force recommenced certain field-based interactions and scaled marketing spend, although access to healthcare providers remains limited and the use of virtual sales tools has increased. From March 2020 through December 31, 2020, as a result of the COVID-19 pandemic, we terminated our temporary employees and 18 full-time employees, which included three employees at the vice president level. The full extent of which the COVID-19 pandemic will directly or indirectly continue to impact our business, results of operations and financial condition,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40" w:hanging="328"/>
        <w:spacing w:after="0" w:line="225"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June 30, 2021,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over 549,000 of these tests. Through the second quarter of 2021, 62,357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37% growth over the same period in 2020. The number of ordering healthcare providers in the second quarter of 2021 was a record 1,934, representing an approximate 34% increase over the same period in 2020, and we had a record 703</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4" w:name="page25"/>
    <w:bookmarkEnd w:id="24"/>
    <w:p>
      <w:pPr>
        <w:ind w:left="328" w:right="180"/>
        <w:spacing w:after="0" w:line="253" w:lineRule="auto"/>
        <w:rPr>
          <w:sz w:val="20"/>
          <w:szCs w:val="20"/>
          <w:color w:val="auto"/>
        </w:rPr>
      </w:pPr>
      <w:r>
        <w:rPr>
          <w:rFonts w:ascii="Arial" w:cs="Arial" w:eastAsia="Arial" w:hAnsi="Arial"/>
          <w:sz w:val="18"/>
          <w:szCs w:val="18"/>
          <w:color w:val="auto"/>
        </w:rPr>
        <w:t>adopting healthcare providers (defined as those who previously prescribed at least 11 diagnostic tests in the corresponding period) compared to 428 in the same period in 2020. A high percentage of adopting healthcare providers continue to order tests in subsequent quarters, as approximately 99% of adopting healthcare providers from the first quarter of 2021 ordered at least one diagnostic test in the second quarter of 2021. Revenue growth for our testing products will depend on our ability to continue to expand our base of ordering healthcare providers and increase our penetration with existing healthcare providers.</w:t>
      </w:r>
    </w:p>
    <w:p>
      <w:pPr>
        <w:spacing w:after="0" w:line="75" w:lineRule="exact"/>
        <w:rPr>
          <w:sz w:val="20"/>
          <w:szCs w:val="20"/>
          <w:color w:val="auto"/>
        </w:rPr>
      </w:pPr>
    </w:p>
    <w:p>
      <w:pPr>
        <w:ind w:left="328" w:right="80" w:hanging="328"/>
        <w:spacing w:after="0" w:line="253"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79" w:lineRule="exact"/>
        <w:rPr>
          <w:rFonts w:ascii="Arial" w:cs="Arial" w:eastAsia="Arial" w:hAnsi="Arial"/>
          <w:sz w:val="18"/>
          <w:szCs w:val="18"/>
          <w:color w:val="auto"/>
        </w:rPr>
      </w:pPr>
    </w:p>
    <w:p>
      <w:pPr>
        <w:ind w:left="328" w:right="200" w:hanging="328"/>
        <w:spacing w:after="0" w:line="259"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Success of Synergistic Partnerships</w:t>
      </w:r>
      <w:r>
        <w:rPr>
          <w:rFonts w:ascii="Arial" w:cs="Arial" w:eastAsia="Arial" w:hAnsi="Arial"/>
          <w:sz w:val="17"/>
          <w:szCs w:val="17"/>
          <w:color w:val="auto"/>
        </w:rPr>
        <w:t>. In August 2021, we mutually agreed to terminate the Janssen Agreement regarding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promotion efforts with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effective August 31, 2021. Our SIMPONI promotion efforts contributed approximately $0.6 million and $2.1 million in revenue for the six months ended June 30, 2021 and 2020, respectively. We will continue to rely on our existing testing products to drive revenue growth and intend to leverage our integrated testing and therapeutics strategy to establish partnerships with a focus on the development and commercialization of therapeutics that are synergistic with our testing products.</w:t>
      </w:r>
    </w:p>
    <w:p>
      <w:pPr>
        <w:spacing w:after="0" w:line="71" w:lineRule="exact"/>
        <w:rPr>
          <w:rFonts w:ascii="Arial" w:cs="Arial" w:eastAsia="Arial" w:hAnsi="Arial"/>
          <w:sz w:val="17"/>
          <w:szCs w:val="17"/>
          <w:color w:val="auto"/>
        </w:rPr>
      </w:pPr>
    </w:p>
    <w:p>
      <w:pPr>
        <w:ind w:left="328" w:right="20" w:hanging="328"/>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6" w:lineRule="exact"/>
        <w:rPr>
          <w:rFonts w:ascii="Arial" w:cs="Arial" w:eastAsia="Arial" w:hAnsi="Arial"/>
          <w:sz w:val="18"/>
          <w:szCs w:val="18"/>
          <w:color w:val="auto"/>
        </w:rPr>
      </w:pPr>
    </w:p>
    <w:p>
      <w:pPr>
        <w:ind w:left="328" w:right="100" w:hanging="328"/>
        <w:spacing w:after="0" w:line="282"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328" w:hanging="328"/>
        <w:spacing w:after="0" w:line="246"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328" w:right="60" w:hanging="328"/>
        <w:spacing w:after="0" w:line="268"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payor. Changes to such estimates may increase or decrease revenue recognized in future periods.</w:t>
      </w:r>
    </w:p>
    <w:p>
      <w:pPr>
        <w:spacing w:after="0" w:line="200" w:lineRule="exact"/>
        <w:rPr>
          <w:sz w:val="20"/>
          <w:szCs w:val="20"/>
          <w:color w:val="auto"/>
        </w:rPr>
      </w:pPr>
    </w:p>
    <w:p>
      <w:pPr>
        <w:spacing w:after="0" w:line="31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976" w:right="359" w:bottom="1440" w:gutter="0" w:footer="0" w:header="0"/>
        </w:sectPr>
      </w:pPr>
    </w:p>
    <w:bookmarkStart w:id="25" w:name="page26"/>
    <w:bookmarkEnd w:id="25"/>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 Pursuant to the Janssen Agreement,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quarter ended June 30, 2020, the tiered promotion fee ranged from $750 to $1,250 per prescription over a predetermined baseline. Due in part to COVID-19, in June 2020 we amended the Janssen Agreement, to adjust the predetermined average baseline for the third and fourth quarters of 2020. In December 2020, we further amended the Janssen Agreement, to adjust the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and March 31, 2021, subject to further adjustment under certain circumstances. In June 2021, the Janssen Agreement was again amended to proportionally increase the baseline for prescribed units for the quarter ending June 30, 2021 to reflect the addition of certain geographies to the sales territories covered by the Janssen Agreement. For the first and second quarters of 2021, we are entitled to an amended quarterly tiered promotion fee ranging from $500 to $1,000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the predetermined baseline, and we are entitled to receive a minimum promotion fee of $0.3 million and the fee will be capped at 10% above the adjusted predetermined baseline. In connection with the Janssen Agreement's termination, we are entitled to receive an aggregate of $0.6 million in consideration. During the remainder of the term of the Janssen Agreement and the 9 month period immediately following its termination on August 31, 2021, we will be restricted from promoting any other biologic or Janus kinase inhibitor used for treatment of indications covered by the Janssen Agreement without first obtaining Janssen's written consent.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recognized approximately $0.6 million and $2.1 million in revenue for the six months ended June 30, 2021 and 2020, respectively, for our promotional efforts under the Janssen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jc w:val="both"/>
        <w:ind w:right="180"/>
        <w:spacing w:after="0" w:line="26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87" w:lineRule="exact"/>
        <w:rPr>
          <w:sz w:val="20"/>
          <w:szCs w:val="20"/>
          <w:color w:val="auto"/>
        </w:rPr>
      </w:pPr>
    </w:p>
    <w:p>
      <w:pPr>
        <w:jc w:val="both"/>
        <w:ind w:right="200"/>
        <w:spacing w:after="0" w:line="233"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2020. However, the continued spread of COVID-19, including any of its viral variants, may adversely affect testing volumes in future periods, and the extent of any such adverse effects is highly uncertain.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 As discussed above, the continued spread of COVID-19 may adversely affect testing volumes which may result in an increase in cost per test due to our inability to realize volume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2021 as compared to 2020, as we continue to evaluate the reach and frequency of our sales and sales support functions, expected additions to headcount and increases for personnel costs, including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expect that our research and development expenses will increase in absolute dollars in 2021 as compared to 2020, as we continue to invest in research and development activities related to our existing testing products and product candidates, including the expansion of our clinical research and development facility, expected additions to headcount and increases for personnel costs, including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or Innovatus.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consistent in 2021 as compared to 2020, and remain consistent thereafter until 2023.</w:t>
      </w:r>
    </w:p>
    <w:p>
      <w:pPr>
        <w:sectPr>
          <w:pgSz w:w="11900" w:h="16838" w:orient="portrait"/>
          <w:cols w:equalWidth="0" w:num="1">
            <w:col w:w="11200"/>
          </w:cols>
          <w:pgMar w:left="320" w:top="1124"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amount received under the CARES Act Provider Relief Fund in the second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ind w:left="100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Revenue increased $3.8 million, or 42.7%, for the three months ended June 30, 2021 compared to the three months ended June 30,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and 60% of revenue in the three months ended June 30, 2021 and 2020, respectively, increased to 33,328 tests delivered in the three months ended June 30, 2021 compared to 18,522 tests delivered in the same 2020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three months ended June 30, 2021 increased to 1,934 ordering healthcare providers as compared to 1,442 ordering healthcare providers in the same 2020 period. The increase in revenue was partially offset by a decrease in revenue from the co-promotion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during the three months ended June 30, 2021 to approximately $0.3 million compared to approximately $2.1 million during the three months ended June 30,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Costs of revenue increased $2.1 million, or 63.3%, for the three months ended June 30, 2021 compared to the three months ended June 30, 2020. This increase was primarily due to increased direct costs such as materials and supplies, labor and shipping and handling associated with the increase in test volume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Selling, general and administrative expenses increased $2.9 million, or 35.0%, for the three months ended June 30, 2021 compared to the three months ended June 30, 2020. This increase was primarily due to an increase of $2.2 million of employee related expenses, including stock-based compensation and recruitment expenses, and increases related to audit and professional services of $0.2 million, insurance expenses of $0.3 million, marketing expenses of $0.1 million and facilities expenses of $0.1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ind w:right="20"/>
        <w:spacing w:after="0" w:line="256" w:lineRule="auto"/>
        <w:rPr>
          <w:sz w:val="20"/>
          <w:szCs w:val="20"/>
          <w:color w:val="auto"/>
        </w:rPr>
      </w:pPr>
      <w:r>
        <w:rPr>
          <w:rFonts w:ascii="Arial" w:cs="Arial" w:eastAsia="Arial" w:hAnsi="Arial"/>
          <w:sz w:val="18"/>
          <w:szCs w:val="18"/>
          <w:color w:val="auto"/>
        </w:rPr>
        <w:t>Research and development expenses increased $ 1.1 million for the three months ended June 30, 2021 compared to the three months ended June 30, 2020. This increase was primarily due to increases related to license fees of $0.4 million, clinical trial expenses of $0.4 million, employee related expenses, including stock-based compensation, of $0.2 million and laboratory supplies expense of $0.1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Interest expense remained substantially consistent for the three months ended June 30, 2021 compared to the three months ended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Other (expense) income, net, decreased $0.7 million for the three months ended June 30, 2021 compared to the three months ended June 30, 2020. The decrease was primarily driven by the $0.7 million we received under the CARES Act Provider Relief Fund due to lost revenues attributable to COVID-19 in the second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5"/>
          </w:tcPr>
          <w:p>
            <w:pPr>
              <w:ind w:left="98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3,309</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(3,575)</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Revenue increased $4.8 million, or 26.0%, for the six months ended June 30, 2021 compared to the six months ended June 30,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and 72% of revenue in the six months ended June 30, 2021 and 2020, respectively, increased to 62,357 tests delivered in the six months ended June 30, 2021 compared to 45,648 tests delivered in the same 2020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six months ended June 30, 2021 increased to 2,236 ordering healthcare providers as compared to 1,950 ordering healthcare providers in the same 2020 period. The increase in revenue was partially offset by a decrease in revenue from the co-promotion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during the six months ended June 30, 2021 to approximately $0.6 million compared to approximately $2.1 million during the six months ended June 30,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Costs of revenue increased $2.3 million, or 28.9%, for the six months ended June 30, 2021 compared to the six months ended June 30, 2020. This increase was primarily due to increased direct costs such as materials and supplies, labor and shipping and handling associated with the increase in test volume in 2021 compared to 2020, partially offset by decreased royalty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40"/>
        <w:spacing w:after="0" w:line="253" w:lineRule="auto"/>
        <w:rPr>
          <w:sz w:val="20"/>
          <w:szCs w:val="20"/>
          <w:color w:val="auto"/>
        </w:rPr>
      </w:pPr>
      <w:r>
        <w:rPr>
          <w:rFonts w:ascii="Arial" w:cs="Arial" w:eastAsia="Arial" w:hAnsi="Arial"/>
          <w:sz w:val="18"/>
          <w:szCs w:val="18"/>
          <w:color w:val="auto"/>
        </w:rPr>
        <w:t>Selling, general and administrative expenses increased $3.3 million, or 18.5%, for the six months ended June 30, 2021 compared to the six months ended June 30, 2020. This increase was primarily due to an increase of $2.6 million of employee related expenses, including stock-based compensation and recruitment expenses, and increases related to insurance expenses of $0.3 million, audit and professional services of $0.1 million and facilities expenses of $0.2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Research and development expenses increased $ 1.9 million for the six months ended June 30, 2021 compared to the six months ended June 30, 2020. This increase was primarily due to increases related to clinical trial expenses of $0.7 million, employee related expenses, including stock-based compensation and recruitment expenses, of $0.5 million, license fees of $0.4 million and laboratory supplies expense of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Interest expense remained substantially consistent for the six months ended June 30, 2021 compared to the six months ended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Other (expense) income, net, decreased $0.9 million for the six months ended June 30, 2021 compared to the six months ended June 30, 2020. The decrease was primarily driven by the $ 0.7 million we received under the CARES Act Provider Relief Fund due to lost revenues attributable to COVID-19 in the second quarter of 2020 and lower money market interest rates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tax benefit decreased $0.1 million for the six months ended June 30, 2021 compared to the six months ended June 30, 2020 due to a change in tax law under the CARES Act enacted in 2020 that resulted in an income tax benefit during the six months ended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incurred net losses since our inception. For the six months ended June 30, 2021 and 2020, we incurred a net loss of $12.6 million and $ 8.9 million, respectively, and we expect to incur additional losses and increased operating expenses in future periods. As of June 30, 2021, we had an accumulated deficit of $193.9 million. To date, we have generated only limited revenue, and we may never achieve revenue sufficient to offset our expenses.</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stock and redeemable convertible preferred stock and borrowings under various debt financings. In September 2019, we completed our IPO and received net proceeds of approximately $50.4 million, net of underwriting discounts, commissions and other offering expenses, for aggregate expenses of approximately $7.5 million. On November 10, 2020, we filed a registration statement on Form S-3, or the Shelf Registration Statement, covering the offering, from time to time, of up to $150.0 million of common stock, preferred stock, debt securities, warrants and units, which Shelf Registration Statement became effective on November 19, 2020. In March 2021, we completed a 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$4.4 million. As of June 30, 2021, we had $112.6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and security agreement with Innovatus, which we collectively refer to as the Amended Loan Agreement. Pursuant to the Amended Loan Agreement, the loan term is for five years with a final maturity date of November 2024. The Amended Loan Agreement accrues interest at an annual rate of 8.5%, of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ind w:right="20"/>
        <w:spacing w:after="0" w:line="252" w:lineRule="auto"/>
        <w:rPr>
          <w:sz w:val="20"/>
          <w:szCs w:val="20"/>
          <w:color w:val="auto"/>
        </w:rPr>
      </w:pPr>
      <w:r>
        <w:rPr>
          <w:rFonts w:ascii="Arial" w:cs="Arial" w:eastAsia="Arial" w:hAnsi="Arial"/>
          <w:sz w:val="18"/>
          <w:szCs w:val="18"/>
          <w:color w:val="auto"/>
        </w:rPr>
        <w:t>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at each of the second anniversary and the third anniversary of the Loan Amendment.</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At June 30, 2021,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execution of the loan and security agreement with Innovatus in November 2017, we issued the lender a seven-year warrant to purchase 15,384,615 shares of our Series F redeemable convertible preferred stock at an exercise price of $0.078 per share, and in December 2018, in connection with the additional $5.0 million borrowed under the loan and security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 per share.</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or HHS,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expect to begin such conversion in the second half of 2021 and complete such conversion in the third quarter of 2022. The expansion of our clinical laboratory and research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21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ind w:right="100"/>
        <w:spacing w:after="0" w:line="252" w:lineRule="auto"/>
        <w:rPr>
          <w:sz w:val="20"/>
          <w:szCs w:val="20"/>
          <w:color w:val="auto"/>
        </w:rPr>
      </w:pPr>
      <w:r>
        <w:rPr>
          <w:rFonts w:ascii="Arial" w:cs="Arial" w:eastAsia="Arial" w:hAnsi="Arial"/>
          <w:sz w:val="18"/>
          <w:szCs w:val="18"/>
          <w:color w:val="auto"/>
        </w:rPr>
        <w:t>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payments for capital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20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right="5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challenges resulting from social distancing and stay-at 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6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35"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including the expansion of our sales capabilities, and the extent and timing of generating revenue from each such promotion.</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3"/>
                <w:szCs w:val="13"/>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r>
      <w:tr>
        <w:trPr>
          <w:trHeight w:val="169"/>
        </w:trPr>
        <w:tc>
          <w:tcPr>
            <w:tcW w:w="8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560" w:type="dxa"/>
            <w:vAlign w:val="bottom"/>
            <w:gridSpan w:val="3"/>
          </w:tcPr>
          <w:p>
            <w:pPr>
              <w:jc w:val="right"/>
              <w:ind w:right="551"/>
              <w:spacing w:after="0"/>
              <w:rPr>
                <w:sz w:val="20"/>
                <w:szCs w:val="20"/>
                <w:color w:val="auto"/>
              </w:rPr>
            </w:pPr>
            <w:r>
              <w:rPr>
                <w:rFonts w:ascii="Arial" w:cs="Arial" w:eastAsia="Arial" w:hAnsi="Arial"/>
                <w:sz w:val="13"/>
                <w:szCs w:val="13"/>
                <w:b w:val="1"/>
                <w:bCs w:val="1"/>
                <w:color w:val="auto"/>
              </w:rPr>
              <w:t>(unaudited)</w:t>
            </w:r>
          </w:p>
        </w:tc>
        <w:tc>
          <w:tcPr>
            <w:tcW w:w="520" w:type="dxa"/>
            <w:vAlign w:val="bottom"/>
          </w:tcPr>
          <w:p>
            <w:pPr>
              <w:spacing w:after="0"/>
              <w:rPr>
                <w:sz w:val="15"/>
                <w:szCs w:val="15"/>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(8,762)</w:t>
            </w:r>
          </w:p>
        </w:tc>
        <w:tc>
          <w:tcPr>
            <w:tcW w:w="100" w:type="dxa"/>
            <w:vAlign w:val="bottom"/>
          </w:tcPr>
          <w:p>
            <w:pPr>
              <w:spacing w:after="0"/>
              <w:rPr>
                <w:sz w:val="16"/>
                <w:szCs w:val="16"/>
                <w:color w:val="auto"/>
              </w:rPr>
            </w:pPr>
          </w:p>
        </w:tc>
        <w:tc>
          <w:tcPr>
            <w:tcW w:w="9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(8,057)</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55,128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2021 was $8.8 million and primarily resulted from (i) our net loss of $12.6 million adjusted for non-cash charges of $3.0 million related to stock-based compensation, depreciation, amortization and non-cash interest and (ii) changes in our net operating assets of $0.8 million primarily related to net decreases in prepaid expenses and other current assets.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2020 was $8.1 million and primarily resulted from (i) our net loss of $8.9 million adjusted for non-cash charges of $1.6 million related to depreciation, amortization, stock-based compensation, non-cash interest and deferred income taxes and (ii) changes in our net operating assets of $0.7 million primarily related to net increases in accounts receivables.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2021 and 2020 was $0.9 million and $0.2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in financing activities for the six months ended June 30, 2021 was $64.8 million primarily resulting from the net proceeds received from our public offering in March 2021 of $64.7 million and proceeds from ESPP purchases, partially offset by principal payments on capital lease obligations.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used in financing activities for the six months ended June 30, 2020 was $0.1 million and primarily resulted from principal payments on capital lease obligations, as well as proceeds from our unsecured loan pursuant to the U.S. Small Business Administration Paycheck Protection Program of the CARES Act, which we subsequently repaid in May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 Estimates</w:t>
      </w:r>
      <w:r>
        <w:rPr>
          <w:rFonts w:ascii="Arial" w:cs="Arial" w:eastAsia="Arial" w:hAnsi="Arial"/>
          <w:sz w:val="18"/>
          <w:szCs w:val="18"/>
          <w:color w:val="auto"/>
        </w:rPr>
        <w:t>" contained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2020, as amended. There have been no significant changes in our critical accounting policies and estimates during the three months ended June 30, 2021 as compared to the critical accounting policies and estimates disclosed in the Management’s Discussion and Analysis of Financial Condition and Operations included in our Annual Report on Form 10-K for the year ended December 31, 2020, as amended, other than as set forth in Note 2 to the unaudited condensed financial statements included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3" w:name="page34"/>
    <w:bookmarkEnd w:id="33"/>
    <w:p>
      <w:pPr>
        <w:ind w:right="4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Securities and Exchange Commission, or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Jumpstart Our Business Startups Act of 2012, or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660" w:firstLine="8"/>
        <w:spacing w:after="0" w:line="256"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may cease to be an emerging growth company prior to the end of such five-year period.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with or submit to the SEC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June 30, 2021,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34" w:name="page35"/>
    <w:bookmarkEnd w:id="34"/>
    <w:p>
      <w:pPr>
        <w:ind w:right="58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24" w:right="5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2020, as amended, other than changes to the risk factors set forth below: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continuing global pandemic of the COVID-19 coronavirus.</w:t>
      </w:r>
    </w:p>
    <w:p>
      <w:pPr>
        <w:spacing w:after="0" w:line="12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a phased re-opening, although the potential to return to prior restrictions remains if there are increases (or, in some jurisdictions, continued increases) in new cases of COVID-19 or any of its viral variants in the future. The duration of any restrictions may also vary depending on the ultimate success of ongoing vaccination efforts. Even in areas where "stay-at-home" restrictions, masking and social distancing measures have been lifted and the number of COVID-19 cases have declined, some jurisdictions are considering re-imposing these measures as variant strains emerge. Many individuals remain cautious about resuming activities such as preventative-care medical visits. A pandemic, including COVID-19 or other public health epidemic, poses the risk that we or our employees, contractors, suppliers, third-party shipping carriers, government and third-party payors and other members of our supply chain may be prevented from conducting business activities for an indefinite period of time, including due to spread of the disease within these groups or due to shutdowns that may be requested or mandated by governmental authorities.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For the three months ended June 30,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80%. For the six months ended June 30, 2021 as compared to the same period in 2020,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37%. However, the continued spread of COVID-19 may adversely affect testing volumes in future periods, the extent of which is highly uncertain.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economic downturn may also result in closures of the practices of our primary customers.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or re-negotiate volume-based discounts with our key suppliers and to absorb fixed laboratory expenses. For example, we have experienced delays in patient enrollment for ongoing and planned clinical studies involving our tests, which may delay or prevent launch of future test products. Our sales force has been, and for an extended period of time may continue to be limited to their in-person interactions with healthcare providers, and therefore, also limited their ability to engage in various types of healthcare provider education activities. The portion of our workforce which has been working remotely in an effort to reduce the spread of COVID-19, may be infected from the virus or otherwise impaired. We have also experienced delays in procurement of our testing supplies due to suppliers rationing testing supplies and prioritizing COVID-19 testing beginning in the first quarter of 2021, which may continue into the future, and our partners, may also experience a disruption in their ability to readily obtain supply.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36" w:name="page37"/>
    <w:bookmarkEnd w:id="36"/>
    <w:p>
      <w:pPr>
        <w:ind w:right="120"/>
        <w:spacing w:after="0" w:line="238"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Disruptions in our laboratory operations could have a material adverse effect on our business and could impede our ability to process tests in a timely manner, or at all.</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2020, as amended.</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second half of 2021, we expect to begin the conversion of approximately 8,000 square feet of warehouse space into additional clinical laboratory space and approximately 6,000 square feet of warehouse space into additional research and development facility space in order to develop molecular and multiomic capabilities. We have not yet developed any molecular or multiomic testing products nor do we have experience developing and integrating molecular biomarkers into new or existing testing products, and we may never be successful doing so in the future. As a result, there is considerable risk that the expansion of our clinical laboratory and research and development facility may not lead to the development of additional testing products that generate meaningful revenue. Further, as we begin to expand our clinical laboratory and research and development facility in order to develop molecular and multiomic capabilities, we expect to need to make significant investments in key personnel and highly trained scientists with relevant experience to handle the increased operations and development of molecular biomarkers.</w:t>
      </w:r>
    </w:p>
    <w:p>
      <w:pPr>
        <w:spacing w:after="0" w:line="15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In addition, as we develop testing products, we will have to make significant investments in product development, marketing and selling resources. If a clinical validation study fails to demonstrate the prospectively defined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ind w:right="80"/>
        <w:spacing w:after="0"/>
        <w:rPr>
          <w:sz w:val="20"/>
          <w:szCs w:val="20"/>
          <w:color w:val="auto"/>
        </w:rPr>
      </w:pPr>
      <w:r>
        <w:rPr>
          <w:rFonts w:ascii="Arial" w:cs="Arial" w:eastAsia="Arial" w:hAnsi="Arial"/>
          <w:sz w:val="18"/>
          <w:szCs w:val="18"/>
          <w:color w:val="auto"/>
        </w:rPr>
        <w:t>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through third party collaborations and strategic partnerships, and we may be unsuccessful in our efforts to establish relationships with these third parties or our promotion efforts after any of these relationships are established, which could adversely affect our ability to implement this strategy.</w:t>
      </w:r>
    </w:p>
    <w:p>
      <w:pPr>
        <w:spacing w:after="0" w:line="14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intend to integrate our historical testing products business with the promotion of therapeutics in an integrated testing and therapeutics strategy. Our integrated testing and therapeutics strategy would leverage our sales and marketing efforts, targeting rheumatologists for the commercialization of our testing products in co-promotion with therapeutics. As a result, our future growth is dependent, in part, on the success of this strategy. The Janssen Agreement will be terminated effective as of August 31, 2021. While we remain committed to the strategy of providing an integrated testing and therapeutics model, we may be unsuccessful in our efforts to establish relationships with collaborators in the future. Even if we successfully establish these relationships, our ability to effectively implement this strategy will include creating demand for the applicable therapeutic through our or our collaborator's commercial and sales activities. Moreover, we may encounter difficulties in maintaining an effective salesforce in furtherance of these co-promotion efforts.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5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If we fail to successfully establish and maintain relationships with these collaborators and strategic partners, our ability to implement our integrated testing and therapeutics strategy and generate sufficient revenue to grow and sustain our business, and our business, financial condition and results of operations, will be materially adversely affected.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June 30, 2021, we have used approximately $ 26.4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June 22, 2021, we entered into an exchange agreement, or the Exchange Agreement, with an Investor and its affiliates, or the Exchanging Stockholders, pursuant to which we exchanged an aggregate 804,951 shares of our common stock owned by the Exchanging Stockholders for pre-funded warrants, or the Exchange Warrants,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8" w:name="page39"/>
    <w:bookmarkEnd w:id="38"/>
    <w:p>
      <w:pPr>
        <w:ind w:right="40"/>
        <w:spacing w:after="0" w:line="252" w:lineRule="auto"/>
        <w:rPr>
          <w:sz w:val="20"/>
          <w:szCs w:val="20"/>
          <w:color w:val="auto"/>
        </w:rPr>
      </w:pPr>
      <w:r>
        <w:rPr>
          <w:rFonts w:ascii="Arial" w:cs="Arial" w:eastAsia="Arial" w:hAnsi="Arial"/>
          <w:sz w:val="18"/>
          <w:szCs w:val="18"/>
          <w:color w:val="auto"/>
        </w:rPr>
        <w:t>purchase an aggregate of 804,951 shares of Common Stock (subject to adjustment in the event of stock splits, recapitalizations and other similar events affecting common stock), with an exercise price of $0.001 per share. The Exchange Warrants are exercisable at any time, except that the Exchange Warrants will not be exercised by the Exchanging Stockholders if, upon giving effect thereto, the Exchanging Stockholders would beneficially own more than 4.99% of the total number of issued and outstanding Common Stock, which percentage may change at the Exchanging Stockholders' election to any other number upon 61 days' notice to us. The Exchange Warrants were issued in reliance on Section 3(a)(9) of the Securities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40" w:type="dxa"/>
            <w:vAlign w:val="bottom"/>
            <w:tcBorders>
              <w:top w:val="single" w:sz="8" w:color="auto"/>
              <w:left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Total Number of Shares</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Average Price Paid Per</w:t>
            </w:r>
          </w:p>
        </w:tc>
        <w:tc>
          <w:tcPr>
            <w:tcW w:w="2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2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Period</w:t>
            </w:r>
          </w:p>
        </w:tc>
        <w:tc>
          <w:tcPr>
            <w:tcW w:w="2220" w:type="dxa"/>
            <w:vAlign w:val="bottom"/>
            <w:tcBorders>
              <w:right w:val="single" w:sz="8" w:color="auto"/>
            </w:tcBorders>
            <w:vMerge w:val="continue"/>
          </w:tcPr>
          <w:p>
            <w:pPr>
              <w:spacing w:after="0"/>
              <w:rPr>
                <w:sz w:val="15"/>
                <w:szCs w:val="15"/>
                <w:color w:val="auto"/>
              </w:rPr>
            </w:pPr>
          </w:p>
        </w:tc>
        <w:tc>
          <w:tcPr>
            <w:tcW w:w="226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2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2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June 1 - 30, 2021</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804,951</w:t>
            </w:r>
          </w:p>
        </w:tc>
        <w:tc>
          <w:tcPr>
            <w:tcW w:w="2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Not applicable.</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Exchange Warrants.</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39" w:name="page40"/>
    <w:bookmarkEnd w:id="39"/>
    <w:p>
      <w:pPr>
        <w:jc w:val="center"/>
        <w:ind w:right="377"/>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tbl>
      <w:tblPr>
        <w:tblLayout w:type="fixed"/>
        <w:tblInd w:w="103"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25"/>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25"/>
          </w:tcPr>
          <w:p>
            <w:pPr>
              <w:spacing w:after="0" w:line="155" w:lineRule="exact"/>
              <w:rPr>
                <w:rFonts w:ascii="Arial" w:cs="Arial" w:eastAsia="Arial" w:hAnsi="Arial"/>
                <w:sz w:val="14"/>
                <w:szCs w:val="14"/>
                <w:color w:val="0000FF"/>
              </w:rPr>
            </w:pPr>
            <w:hyperlink r:id="rId49">
              <w:r>
                <w:rPr>
                  <w:rFonts w:ascii="Arial" w:cs="Arial" w:eastAsia="Arial" w:hAnsi="Arial"/>
                  <w:sz w:val="14"/>
                  <w:szCs w:val="14"/>
                  <w:color w:val="0000FF"/>
                </w:rPr>
                <w:t>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49">
              <w:r>
                <w:rPr>
                  <w:rFonts w:ascii="Arial" w:cs="Arial" w:eastAsia="Arial" w:hAnsi="Arial"/>
                  <w:sz w:val="13"/>
                  <w:szCs w:val="13"/>
                  <w:color w:val="0000FF"/>
                </w:rPr>
                <w:t>Incorporation.</w:t>
              </w:r>
            </w:hyperlink>
          </w:p>
        </w:tc>
        <w:tc>
          <w:tcPr>
            <w:tcW w:w="148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25"/>
          </w:tcPr>
          <w:p>
            <w:pPr>
              <w:spacing w:after="0"/>
              <w:rPr>
                <w:rFonts w:ascii="Arial" w:cs="Arial" w:eastAsia="Arial" w:hAnsi="Arial"/>
                <w:sz w:val="14"/>
                <w:szCs w:val="14"/>
                <w:color w:val="0000FF"/>
              </w:rPr>
            </w:pPr>
            <w:hyperlink r:id="rId50">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25"/>
          </w:tcPr>
          <w:p>
            <w:pPr>
              <w:spacing w:after="0"/>
              <w:rPr>
                <w:rFonts w:ascii="Arial" w:cs="Arial" w:eastAsia="Arial" w:hAnsi="Arial"/>
                <w:sz w:val="14"/>
                <w:szCs w:val="14"/>
                <w:color w:val="0000FF"/>
              </w:rPr>
            </w:pPr>
            <w:hyperlink r:id="rId51">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2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of common stock.</w:t>
              </w:r>
            </w:hyperlink>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r:id="rId52">
              <w:r>
                <w:rPr>
                  <w:rFonts w:ascii="Arial" w:cs="Arial" w:eastAsia="Arial" w:hAnsi="Arial"/>
                  <w:sz w:val="14"/>
                  <w:szCs w:val="14"/>
                  <w:color w:val="0000FF"/>
                </w:rPr>
                <w:t>Amended and Restated Investors' Rights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4"/>
          </w:tcPr>
          <w:p>
            <w:pPr>
              <w:spacing w:after="0" w:line="122" w:lineRule="exact"/>
              <w:rPr>
                <w:rFonts w:ascii="Arial" w:cs="Arial" w:eastAsia="Arial" w:hAnsi="Arial"/>
                <w:sz w:val="14"/>
                <w:szCs w:val="14"/>
                <w:color w:val="0000FF"/>
              </w:rPr>
            </w:pPr>
            <w:hyperlink r:id="rId52">
              <w:r>
                <w:rPr>
                  <w:rFonts w:ascii="Arial" w:cs="Arial" w:eastAsia="Arial" w:hAnsi="Arial"/>
                  <w:sz w:val="14"/>
                  <w:szCs w:val="14"/>
                  <w:color w:val="0000FF"/>
                </w:rPr>
                <w:t>Agreement, dated July 12, 2019, by and</w:t>
              </w:r>
            </w:hyperlink>
          </w:p>
        </w:tc>
        <w:tc>
          <w:tcPr>
            <w:tcW w:w="540" w:type="dxa"/>
            <w:vAlign w:val="bottom"/>
            <w:gridSpan w:val="11"/>
          </w:tcPr>
          <w:p>
            <w:pPr>
              <w:spacing w:after="0" w:line="122" w:lineRule="exact"/>
              <w:rPr>
                <w:rFonts w:ascii="Arial" w:cs="Arial" w:eastAsia="Arial" w:hAnsi="Arial"/>
                <w:sz w:val="14"/>
                <w:szCs w:val="14"/>
                <w:color w:val="0000FF"/>
              </w:rPr>
            </w:pPr>
            <w:hyperlink r:id="rId52">
              <w:r>
                <w:rPr>
                  <w:rFonts w:ascii="Arial" w:cs="Arial" w:eastAsia="Arial" w:hAnsi="Arial"/>
                  <w:sz w:val="14"/>
                  <w:szCs w:val="14"/>
                  <w:color w:val="0000FF"/>
                </w:rPr>
                <w:t>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bottom w:val="single" w:sz="8" w:color="0000FF"/>
            </w:tcBorders>
            <w:gridSpan w:val="19"/>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the Registrant and certain of its stockholders.</w:t>
              </w:r>
            </w:hyperlink>
          </w:p>
        </w:tc>
        <w:tc>
          <w:tcPr>
            <w:tcW w:w="14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r:id="rId53">
              <w:r>
                <w:rPr>
                  <w:rFonts w:ascii="Arial" w:cs="Arial" w:eastAsia="Arial" w:hAnsi="Arial"/>
                  <w:sz w:val="14"/>
                  <w:szCs w:val="14"/>
                  <w:color w:val="0000FF"/>
                </w:rPr>
                <w:t>Amended and Restated Stockholders'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25"/>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Agreement, dated July 12, 2019, by and 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bottom w:val="single" w:sz="8" w:color="0000FF"/>
            </w:tcBorders>
            <w:gridSpan w:val="19"/>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the Registrant and certain of its stockholders.</w:t>
              </w:r>
            </w:hyperlink>
          </w:p>
        </w:tc>
        <w:tc>
          <w:tcPr>
            <w:tcW w:w="14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r:id="rId54">
              <w:r>
                <w:rPr>
                  <w:rFonts w:ascii="Arial" w:cs="Arial" w:eastAsia="Arial" w:hAnsi="Arial"/>
                  <w:sz w:val="14"/>
                  <w:szCs w:val="14"/>
                  <w:color w:val="0000FF"/>
                </w:rPr>
                <w:t>Form of Common Stock Purchase Warrant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issued to investors by the Registrant in</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gridSpan w:val="25"/>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connection with private placement financings.</w:t>
              </w:r>
            </w:hyperlink>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172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Form of Exchange Warrant</w:t>
              </w:r>
            </w:hyperlink>
          </w:p>
        </w:tc>
        <w:tc>
          <w:tcPr>
            <w:tcW w:w="1160" w:type="dxa"/>
            <w:vAlign w:val="bottom"/>
            <w:tcBorders>
              <w:top w:val="single" w:sz="8" w:color="0000FF"/>
            </w:tcBorders>
            <w:gridSpan w:val="14"/>
          </w:tcPr>
          <w:p>
            <w:pPr>
              <w:spacing w:after="0"/>
              <w:rPr>
                <w:sz w:val="14"/>
                <w:szCs w:val="14"/>
                <w:color w:val="auto"/>
              </w:rPr>
            </w:pPr>
          </w:p>
        </w:tc>
        <w:tc>
          <w:tcPr>
            <w:tcW w:w="26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25"/>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Amendment #4 to Co-Promotion Agreement,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w:anchor="page56">
              <w:r>
                <w:rPr>
                  <w:rFonts w:ascii="Arial" w:cs="Arial" w:eastAsia="Arial" w:hAnsi="Arial"/>
                  <w:sz w:val="13"/>
                  <w:szCs w:val="13"/>
                  <w:color w:val="0000FF"/>
                </w:rPr>
                <w:t>dated June 30, 2021</w:t>
              </w:r>
            </w:hyperlink>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Certificate of Principal Executive Officer,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25"/>
          </w:tcPr>
          <w:p>
            <w:pPr>
              <w:spacing w:after="0" w:line="115" w:lineRule="exact"/>
              <w:rPr>
                <w:rFonts w:ascii="Arial" w:cs="Arial" w:eastAsia="Arial" w:hAnsi="Arial"/>
                <w:sz w:val="13"/>
                <w:szCs w:val="13"/>
                <w:color w:val="0000FF"/>
              </w:rPr>
            </w:pPr>
            <w:hyperlink w:anchor="page58">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31.1</w:t>
            </w:r>
          </w:p>
        </w:tc>
        <w:tc>
          <w:tcPr>
            <w:tcW w:w="26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w:anchor="page58">
              <w:r>
                <w:rPr>
                  <w:rFonts w:ascii="Arial" w:cs="Arial" w:eastAsia="Arial" w:hAnsi="Arial"/>
                  <w:sz w:val="13"/>
                  <w:szCs w:val="13"/>
                  <w:color w:val="0000FF"/>
                </w:rPr>
                <w:t>adopted pursuant to Section 302 of the</w:t>
              </w:r>
            </w:hyperlink>
          </w:p>
        </w:tc>
        <w:tc>
          <w:tcPr>
            <w:tcW w:w="100" w:type="dxa"/>
            <w:vAlign w:val="bottom"/>
            <w:gridSpan w:val="2"/>
          </w:tcPr>
          <w:p>
            <w:pPr>
              <w:spacing w:after="0"/>
              <w:rPr>
                <w:sz w:val="10"/>
                <w:szCs w:val="10"/>
                <w:color w:val="auto"/>
              </w:rPr>
            </w:pPr>
          </w:p>
        </w:tc>
        <w:tc>
          <w:tcPr>
            <w:tcW w:w="2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w:anchor="page58">
              <w:r>
                <w:rPr>
                  <w:rFonts w:ascii="Arial" w:cs="Arial" w:eastAsia="Arial" w:hAnsi="Arial"/>
                  <w:sz w:val="13"/>
                  <w:szCs w:val="13"/>
                  <w:color w:val="0000FF"/>
                </w:rPr>
                <w:t>Sarbanes-Oxley Act of 2002.</w:t>
              </w:r>
            </w:hyperlink>
          </w:p>
        </w:tc>
        <w:tc>
          <w:tcPr>
            <w:tcW w:w="70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2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3100" w:type="dxa"/>
            <w:vAlign w:val="bottom"/>
            <w:tcBorders>
              <w:top w:val="single" w:sz="8" w:color="0000FF"/>
            </w:tcBorders>
            <w:gridSpan w:val="23"/>
          </w:tcPr>
          <w:p>
            <w:pPr>
              <w:spacing w:after="0" w:line="106" w:lineRule="exact"/>
              <w:rPr>
                <w:rFonts w:ascii="Arial" w:cs="Arial" w:eastAsia="Arial" w:hAnsi="Arial"/>
                <w:sz w:val="12"/>
                <w:szCs w:val="12"/>
                <w:color w:val="0000FF"/>
              </w:rPr>
            </w:pPr>
            <w:hyperlink w:anchor="page60">
              <w:r>
                <w:rPr>
                  <w:rFonts w:ascii="Arial" w:cs="Arial" w:eastAsia="Arial" w:hAnsi="Arial"/>
                  <w:sz w:val="12"/>
                  <w:szCs w:val="12"/>
                  <w:color w:val="0000FF"/>
                </w:rPr>
                <w:t>to Rule 13a-14(a)/15d-14(a), as adopted</w:t>
              </w:r>
            </w:hyperlink>
          </w:p>
        </w:tc>
        <w:tc>
          <w:tcPr>
            <w:tcW w:w="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2"/>
          </w:tcPr>
          <w:p>
            <w:pPr>
              <w:spacing w:after="0" w:line="122" w:lineRule="exact"/>
              <w:rPr>
                <w:rFonts w:ascii="Arial" w:cs="Arial" w:eastAsia="Arial" w:hAnsi="Arial"/>
                <w:sz w:val="14"/>
                <w:szCs w:val="14"/>
                <w:color w:val="0000FF"/>
              </w:rPr>
            </w:pPr>
            <w:hyperlink w:anchor="page60">
              <w:r>
                <w:rPr>
                  <w:rFonts w:ascii="Arial" w:cs="Arial" w:eastAsia="Arial" w:hAnsi="Arial"/>
                  <w:sz w:val="14"/>
                  <w:szCs w:val="14"/>
                  <w:color w:val="0000FF"/>
                </w:rPr>
                <w:t>pursuant to Section 302 of the Sarbanes</w:t>
              </w:r>
            </w:hyperlink>
          </w:p>
        </w:tc>
        <w:tc>
          <w:tcPr>
            <w:tcW w:w="580" w:type="dxa"/>
            <w:vAlign w:val="bottom"/>
            <w:gridSpan w:val="13"/>
          </w:tcPr>
          <w:p>
            <w:pPr>
              <w:spacing w:after="0" w:line="122" w:lineRule="exact"/>
              <w:rPr>
                <w:rFonts w:ascii="Arial" w:cs="Arial" w:eastAsia="Arial" w:hAnsi="Arial"/>
                <w:sz w:val="14"/>
                <w:szCs w:val="14"/>
                <w:color w:val="0000FF"/>
              </w:rPr>
            </w:pPr>
            <w:hyperlink w:anchor="page60">
              <w:r>
                <w:rPr>
                  <w:rFonts w:ascii="Arial" w:cs="Arial" w:eastAsia="Arial" w:hAnsi="Arial"/>
                  <w:sz w:val="14"/>
                  <w:szCs w:val="14"/>
                  <w:color w:val="0000FF"/>
                </w:rPr>
                <w:t>-Oxley</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w:anchor="page60">
              <w:r>
                <w:rPr>
                  <w:rFonts w:ascii="Arial" w:cs="Arial" w:eastAsia="Arial" w:hAnsi="Arial"/>
                  <w:sz w:val="13"/>
                  <w:szCs w:val="13"/>
                  <w:color w:val="0000FF"/>
                </w:rPr>
                <w:t>Act of 2002.</w:t>
              </w:r>
            </w:hyperlink>
          </w:p>
        </w:tc>
        <w:tc>
          <w:tcPr>
            <w:tcW w:w="14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5"/>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Certifications Pursuant to U.S.C. Section 1350,</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w:anchor="page62">
              <w:r>
                <w:rPr>
                  <w:rFonts w:ascii="Arial" w:cs="Arial" w:eastAsia="Arial" w:hAnsi="Arial"/>
                  <w:sz w:val="13"/>
                  <w:szCs w:val="13"/>
                  <w:color w:val="0000FF"/>
                </w:rPr>
                <w:t>As Adopted Pursuant to Section 906 of the</w:t>
              </w:r>
            </w:hyperlink>
          </w:p>
        </w:tc>
        <w:tc>
          <w:tcPr>
            <w:tcW w:w="160" w:type="dxa"/>
            <w:vAlign w:val="bottom"/>
            <w:gridSpan w:val="5"/>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w:anchor="page62">
              <w:r>
                <w:rPr>
                  <w:rFonts w:ascii="Arial" w:cs="Arial" w:eastAsia="Arial" w:hAnsi="Arial"/>
                  <w:sz w:val="13"/>
                  <w:szCs w:val="13"/>
                  <w:color w:val="0000FF"/>
                </w:rPr>
                <w:t>Public Company Accounting Reform and</w:t>
              </w:r>
            </w:hyperlink>
          </w:p>
        </w:tc>
        <w:tc>
          <w:tcPr>
            <w:tcW w:w="420" w:type="dxa"/>
            <w:vAlign w:val="bottom"/>
            <w:gridSpan w:val="8"/>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8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62">
              <w:r>
                <w:rPr>
                  <w:rFonts w:ascii="Arial" w:cs="Arial" w:eastAsia="Arial" w:hAnsi="Arial"/>
                  <w:sz w:val="13"/>
                  <w:szCs w:val="13"/>
                  <w:color w:val="0000FF"/>
                </w:rPr>
                <w:t>Investor Protection Act of 2002.</w:t>
              </w:r>
            </w:hyperlink>
          </w:p>
        </w:tc>
        <w:tc>
          <w:tcPr>
            <w:tcW w:w="560" w:type="dxa"/>
            <w:vAlign w:val="bottom"/>
            <w:gridSpan w:val="1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14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spacing w:after="0"/>
              <w:rPr>
                <w:sz w:val="13"/>
                <w:szCs w:val="13"/>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3140" w:type="dxa"/>
            <w:vAlign w:val="bottom"/>
            <w:gridSpan w:val="25"/>
          </w:tcPr>
          <w:p>
            <w:pPr>
              <w:spacing w:after="0" w:line="13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25"/>
          </w:tcPr>
          <w:p>
            <w:pPr>
              <w:spacing w:after="0" w:line="135"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101.CAL</w:t>
            </w: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101.DEF</w:t>
            </w: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101.LAB</w:t>
            </w: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101.PRE</w:t>
            </w: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tcPr>
          <w:p>
            <w:pPr>
              <w:spacing w:after="0"/>
              <w:rPr>
                <w:sz w:val="13"/>
                <w:szCs w:val="13"/>
                <w:color w:val="auto"/>
              </w:rPr>
            </w:pPr>
          </w:p>
        </w:tc>
        <w:tc>
          <w:tcPr>
            <w:tcW w:w="3140" w:type="dxa"/>
            <w:vAlign w:val="bottom"/>
            <w:gridSpan w:val="25"/>
          </w:tcPr>
          <w:p>
            <w:pPr>
              <w:spacing w:after="0" w:line="152"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40" w:type="dxa"/>
            <w:vAlign w:val="bottom"/>
            <w:gridSpan w:val="25"/>
          </w:tcPr>
          <w:p>
            <w:pPr>
              <w:spacing w:after="0" w:line="135" w:lineRule="exact"/>
              <w:rPr>
                <w:sz w:val="20"/>
                <w:szCs w:val="20"/>
                <w:color w:val="auto"/>
              </w:rPr>
            </w:pPr>
            <w:r>
              <w:rPr>
                <w:rFonts w:ascii="Arial" w:cs="Arial" w:eastAsia="Arial" w:hAnsi="Arial"/>
                <w:sz w:val="14"/>
                <w:szCs w:val="14"/>
                <w:color w:val="auto"/>
              </w:rPr>
              <w:t>Report on Form 10-Q for the quarter ended June</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5"/>
          </w:tcPr>
          <w:p>
            <w:pPr>
              <w:spacing w:after="0"/>
              <w:rPr>
                <w:sz w:val="20"/>
                <w:szCs w:val="20"/>
                <w:color w:val="auto"/>
              </w:rPr>
            </w:pPr>
            <w:r>
              <w:rPr>
                <w:rFonts w:ascii="Arial" w:cs="Arial" w:eastAsia="Arial" w:hAnsi="Arial"/>
                <w:sz w:val="14"/>
                <w:szCs w:val="14"/>
                <w:color w:val="auto"/>
              </w:rPr>
              <w:t>30, 2021, has been formatted in Inline XBRL.</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643" w:hanging="643"/>
        <w:spacing w:after="0" w:line="261" w:lineRule="auto"/>
        <w:tabs>
          <w:tab w:leader="none" w:pos="31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90" w:lineRule="exact"/>
        <w:rPr>
          <w:sz w:val="20"/>
          <w:szCs w:val="20"/>
          <w:color w:val="auto"/>
        </w:rPr>
      </w:pPr>
    </w:p>
    <w:p>
      <w:pPr>
        <w:ind w:left="4803" w:right="1600" w:hanging="4803"/>
        <w:spacing w:after="0" w:line="903" w:lineRule="auto"/>
        <w:tabs>
          <w:tab w:leader="none" w:pos="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Confidential portions of this exhibit have been omitted pursuant to Item 601(b)(10)(iv) of Regulation S-K.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-306070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29" w:right="67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3840" w:type="dxa"/>
            <w:vAlign w:val="bottom"/>
          </w:tcPr>
          <w:p>
            <w:pPr>
              <w:spacing w:after="0"/>
              <w:rPr>
                <w:sz w:val="20"/>
                <w:szCs w:val="20"/>
                <w:color w:val="auto"/>
              </w:rPr>
            </w:pPr>
            <w:r>
              <w:rPr>
                <w:rFonts w:ascii="Arial" w:cs="Arial" w:eastAsia="Arial" w:hAnsi="Arial"/>
                <w:sz w:val="18"/>
                <w:szCs w:val="18"/>
                <w:color w:val="auto"/>
              </w:rPr>
              <w:t>Date: August 9, 2021</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840" w:type="dxa"/>
            <w:vAlign w:val="bottom"/>
          </w:tcPr>
          <w:p>
            <w:pPr>
              <w:spacing w:after="0"/>
              <w:rPr>
                <w:sz w:val="20"/>
                <w:szCs w:val="20"/>
                <w:color w:val="auto"/>
              </w:rPr>
            </w:pPr>
            <w:r>
              <w:rPr>
                <w:rFonts w:ascii="Arial" w:cs="Arial" w:eastAsia="Arial" w:hAnsi="Arial"/>
                <w:sz w:val="18"/>
                <w:szCs w:val="18"/>
                <w:color w:val="auto"/>
              </w:rPr>
              <w:t>Date: August 9, 2021</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1129"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PRE-FUNDED WARRANT TO PURCHASE COMMON STOCK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Warrant Shares: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___________, 2021</w:t>
      </w:r>
    </w:p>
    <w:p>
      <w:pPr>
        <w:spacing w:after="0" w:line="86"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ind w:left="5640"/>
        <w:spacing w:after="0"/>
        <w:rPr>
          <w:sz w:val="20"/>
          <w:szCs w:val="20"/>
          <w:color w:val="auto"/>
        </w:rPr>
      </w:pPr>
      <w:r>
        <w:rPr>
          <w:rFonts w:ascii="Arial" w:cs="Arial" w:eastAsia="Arial" w:hAnsi="Arial"/>
          <w:sz w:val="16"/>
          <w:szCs w:val="16"/>
          <w:color w:val="auto"/>
        </w:rPr>
        <w:t>Issue Date: ___________, 2021</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PRE-FUNDED WARRANT TO PURCHASE COMMON STOCK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__________, 2021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the close of business on the date that this Warrant has been exercised in full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to subscribe for and purchase from Exagen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__________ shares (as subject to</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3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9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Capitalized terms used and not otherwise defined herein shall have the meanings set forth in that certain Exchange Agreement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dated __________, 2021, among the Company and the Holders signatory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52" w:lineRule="exact"/>
        <w:rPr>
          <w:sz w:val="20"/>
          <w:szCs w:val="20"/>
          <w:color w:val="auto"/>
        </w:rPr>
      </w:pPr>
    </w:p>
    <w:p>
      <w:pPr>
        <w:jc w:val="both"/>
        <w:ind w:left="660" w:firstLine="644"/>
        <w:spacing w:after="0" w:line="286" w:lineRule="auto"/>
        <w:tabs>
          <w:tab w:leader="none" w:pos="1493"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Within two</w:t>
      </w:r>
    </w:p>
    <w:p>
      <w:pPr>
        <w:spacing w:after="0" w:line="1" w:lineRule="exact"/>
        <w:rPr>
          <w:rFonts w:ascii="Arial" w:cs="Arial" w:eastAsia="Arial" w:hAnsi="Arial"/>
          <w:sz w:val="16"/>
          <w:szCs w:val="16"/>
          <w:color w:val="auto"/>
        </w:rPr>
      </w:pPr>
    </w:p>
    <w:p>
      <w:pPr>
        <w:jc w:val="both"/>
        <w:ind w:left="660" w:hanging="4"/>
        <w:spacing w:after="0" w:line="288" w:lineRule="auto"/>
        <w:tabs>
          <w:tab w:leader="none" w:pos="9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w:t>
      </w:r>
    </w:p>
    <w:p>
      <w:pPr>
        <w:sectPr>
          <w:pgSz w:w="11900" w:h="16838" w:orient="portrait"/>
          <w:cols w:equalWidth="0" w:num="1">
            <w:col w:w="11240"/>
          </w:cols>
          <w:pgMar w:left="320" w:top="121" w:right="339" w:bottom="1440" w:gutter="0" w:footer="0" w:header="0"/>
          <w:type w:val="continuous"/>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 xml:space="preserve">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7"/>
          <w:szCs w:val="17"/>
          <w:b w:val="1"/>
          <w:bCs w:val="1"/>
          <w:color w:val="auto"/>
        </w:rPr>
        <w:t>The Holder and any</w:t>
      </w:r>
      <w:r>
        <w:rPr>
          <w:rFonts w:ascii="Arial" w:cs="Arial" w:eastAsia="Arial" w:hAnsi="Arial"/>
          <w:sz w:val="17"/>
          <w:szCs w:val="17"/>
          <w:color w:val="auto"/>
        </w:rPr>
        <w:t xml:space="preserve"> </w:t>
      </w:r>
      <w:r>
        <w:rPr>
          <w:rFonts w:ascii="Arial" w:cs="Arial" w:eastAsia="Arial" w:hAnsi="Arial"/>
          <w:sz w:val="17"/>
          <w:szCs w:val="17"/>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4" w:lineRule="exact"/>
        <w:rPr>
          <w:sz w:val="20"/>
          <w:szCs w:val="20"/>
          <w:color w:val="auto"/>
        </w:rPr>
      </w:pPr>
    </w:p>
    <w:p>
      <w:pPr>
        <w:jc w:val="both"/>
        <w:ind w:firstLine="644"/>
        <w:spacing w:after="0" w:line="293" w:lineRule="auto"/>
        <w:tabs>
          <w:tab w:leader="none" w:pos="84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Arial" w:cs="Arial" w:eastAsia="Arial" w:hAnsi="Arial"/>
          <w:sz w:val="16"/>
          <w:szCs w:val="16"/>
          <w:u w:val="single" w:color="auto"/>
          <w:color w:val="auto"/>
        </w:rPr>
        <w:t>Exercise Price</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right="20" w:firstLine="644"/>
        <w:spacing w:after="0" w:line="308" w:lineRule="auto"/>
        <w:tabs>
          <w:tab w:leader="none" w:pos="83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This Warrant may also be exercised, in whole or in part, at any time by means of a “cashless exercise” in which the Holder shall be entitled to receive a number of Warrant Shares equal to the quotient obtained by dividing [(A-B) (X)] by (A), where:</w:t>
      </w:r>
    </w:p>
    <w:p>
      <w:pPr>
        <w:spacing w:after="0" w:line="146" w:lineRule="exact"/>
        <w:rPr>
          <w:sz w:val="20"/>
          <w:szCs w:val="20"/>
          <w:color w:val="auto"/>
        </w:rPr>
      </w:pPr>
    </w:p>
    <w:p>
      <w:pPr>
        <w:ind w:left="1140" w:hanging="496"/>
        <w:spacing w:after="0" w:line="287" w:lineRule="auto"/>
        <w:tabs>
          <w:tab w:leader="none" w:pos="9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as applicable: (i) the volume weighted average price (“</w:t>
      </w:r>
      <w:r>
        <w:rPr>
          <w:rFonts w:ascii="Arial" w:cs="Arial" w:eastAsia="Arial" w:hAnsi="Arial"/>
          <w:sz w:val="16"/>
          <w:szCs w:val="16"/>
          <w:u w:val="single" w:color="auto"/>
          <w:color w:val="auto"/>
        </w:rPr>
        <w:t>VWAP</w:t>
      </w:r>
      <w:r>
        <w:rPr>
          <w:rFonts w:ascii="Arial" w:cs="Arial" w:eastAsia="Arial" w:hAnsi="Arial"/>
          <w:sz w:val="16"/>
          <w:szCs w:val="16"/>
          <w:color w:val="auto"/>
        </w:rPr>
        <w:t>”)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8" w:lineRule="exact"/>
        <w:rPr>
          <w:rFonts w:ascii="Arial" w:cs="Arial" w:eastAsia="Arial" w:hAnsi="Arial"/>
          <w:sz w:val="16"/>
          <w:szCs w:val="16"/>
          <w:color w:val="auto"/>
        </w:rPr>
      </w:pPr>
    </w:p>
    <w:p>
      <w:pPr>
        <w:ind w:left="920" w:hanging="27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52" w:lineRule="exact"/>
        <w:rPr>
          <w:sz w:val="20"/>
          <w:szCs w:val="20"/>
          <w:color w:val="auto"/>
        </w:rPr>
      </w:pPr>
    </w:p>
    <w:p>
      <w:pPr>
        <w:ind w:left="1220" w:right="140" w:hanging="576"/>
        <w:spacing w:after="0" w:line="277"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76" w:lineRule="exact"/>
        <w:rPr>
          <w:sz w:val="20"/>
          <w:szCs w:val="20"/>
          <w:color w:val="auto"/>
        </w:rPr>
      </w:pPr>
    </w:p>
    <w:p>
      <w:pPr>
        <w:ind w:left="840" w:hanging="19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ectPr>
          <w:pgSz w:w="11900" w:h="16838" w:orient="portrait"/>
          <w:cols w:equalWidth="0" w:num="1">
            <w:col w:w="10580"/>
          </w:cols>
          <w:pgMar w:left="980" w:top="1421" w:right="339" w:bottom="1440" w:gutter="0" w:footer="0" w:header="0"/>
        </w:sectPr>
      </w:pPr>
    </w:p>
    <w:bookmarkStart w:id="43" w:name="page44"/>
    <w:bookmarkEnd w:id="43"/>
    <w:p>
      <w:pPr>
        <w:jc w:val="both"/>
        <w:ind w:left="1000" w:firstLine="648"/>
        <w:spacing w:after="0" w:line="285"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Warrant Shares purchased through cashless exercise hereunder shall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three (3) Trading Days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two (2) Trading Days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In addition,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200" w:lineRule="exact"/>
        <w:rPr>
          <w:sz w:val="20"/>
          <w:szCs w:val="20"/>
          <w:color w:val="auto"/>
        </w:rPr>
      </w:pPr>
    </w:p>
    <w:p>
      <w:pPr>
        <w:spacing w:after="0" w:line="212" w:lineRule="exact"/>
        <w:rPr>
          <w:sz w:val="20"/>
          <w:szCs w:val="20"/>
          <w:color w:val="auto"/>
        </w:rPr>
      </w:pPr>
    </w:p>
    <w:p>
      <w:pPr>
        <w:jc w:val="both"/>
        <w:ind w:left="1000" w:firstLine="642"/>
        <w:spacing w:after="0" w:line="279" w:lineRule="auto"/>
        <w:tabs>
          <w:tab w:leader="none" w:pos="183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98" w:lineRule="exact"/>
        <w:rPr>
          <w:rFonts w:ascii="Arial" w:cs="Arial" w:eastAsia="Arial" w:hAnsi="Arial"/>
          <w:sz w:val="17"/>
          <w:szCs w:val="17"/>
          <w:color w:val="auto"/>
        </w:rPr>
      </w:pPr>
    </w:p>
    <w:p>
      <w:pPr>
        <w:ind w:left="1000" w:firstLine="642"/>
        <w:spacing w:after="0" w:line="342" w:lineRule="auto"/>
        <w:tabs>
          <w:tab w:leader="none" w:pos="188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50" w:lineRule="exact"/>
        <w:rPr>
          <w:rFonts w:ascii="Arial" w:cs="Arial" w:eastAsia="Arial" w:hAnsi="Arial"/>
          <w:sz w:val="16"/>
          <w:szCs w:val="16"/>
          <w:color w:val="auto"/>
        </w:rPr>
      </w:pPr>
    </w:p>
    <w:p>
      <w:pPr>
        <w:jc w:val="both"/>
        <w:ind w:left="1000" w:firstLine="642"/>
        <w:spacing w:after="0" w:line="289" w:lineRule="auto"/>
        <w:tabs>
          <w:tab w:leader="none" w:pos="18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w:t>
      </w:r>
    </w:p>
    <w:p>
      <w:pPr>
        <w:sectPr>
          <w:pgSz w:w="11900" w:h="16838" w:orient="portrait"/>
          <w:cols w:equalWidth="0" w:num="1">
            <w:col w:w="10120"/>
          </w:cols>
          <w:pgMar w:left="1440" w:top="1421" w:right="339" w:bottom="1440" w:gutter="0" w:footer="0" w:header="0"/>
        </w:sectPr>
      </w:pPr>
    </w:p>
    <w:bookmarkStart w:id="44" w:name="page45"/>
    <w:bookmarkEnd w:id="44"/>
    <w:p>
      <w:pPr>
        <w:jc w:val="both"/>
        <w:ind w:left="1000"/>
        <w:spacing w:after="0" w:line="269" w:lineRule="auto"/>
        <w:rPr>
          <w:sz w:val="20"/>
          <w:szCs w:val="20"/>
          <w:color w:val="auto"/>
        </w:rPr>
      </w:pPr>
      <w:r>
        <w:rPr>
          <w:rFonts w:ascii="Arial" w:cs="Arial" w:eastAsia="Arial" w:hAnsi="Arial"/>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6" w:lineRule="exact"/>
        <w:rPr>
          <w:sz w:val="20"/>
          <w:szCs w:val="20"/>
          <w:color w:val="auto"/>
        </w:rPr>
      </w:pPr>
    </w:p>
    <w:p>
      <w:pPr>
        <w:jc w:val="both"/>
        <w:ind w:left="100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98" w:lineRule="exact"/>
        <w:rPr>
          <w:sz w:val="20"/>
          <w:szCs w:val="20"/>
          <w:color w:val="auto"/>
        </w:rPr>
      </w:pPr>
    </w:p>
    <w:p>
      <w:pPr>
        <w:jc w:val="both"/>
        <w:ind w:left="1000" w:firstLine="642"/>
        <w:spacing w:after="0" w:line="289" w:lineRule="auto"/>
        <w:tabs>
          <w:tab w:leader="none" w:pos="1891"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01" w:lineRule="exact"/>
        <w:rPr>
          <w:rFonts w:ascii="Arial" w:cs="Arial" w:eastAsia="Arial" w:hAnsi="Arial"/>
          <w:sz w:val="16"/>
          <w:szCs w:val="16"/>
          <w:color w:val="auto"/>
        </w:rPr>
      </w:pPr>
    </w:p>
    <w:p>
      <w:pPr>
        <w:ind w:left="1000" w:firstLine="642"/>
        <w:spacing w:after="0" w:line="277" w:lineRule="auto"/>
        <w:tabs>
          <w:tab w:leader="none" w:pos="194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05" w:lineRule="exact"/>
        <w:rPr>
          <w:rFonts w:ascii="Arial" w:cs="Arial" w:eastAsia="Arial" w:hAnsi="Arial"/>
          <w:sz w:val="18"/>
          <w:szCs w:val="18"/>
          <w:color w:val="auto"/>
        </w:rPr>
      </w:pPr>
    </w:p>
    <w:p>
      <w:pPr>
        <w:jc w:val="both"/>
        <w:ind w:left="-460" w:firstLine="644"/>
        <w:spacing w:after="0" w:line="271" w:lineRule="auto"/>
        <w:tabs>
          <w:tab w:leader="none" w:pos="38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Holder’s Exercise Limitations</w:t>
      </w:r>
      <w:r>
        <w:rPr>
          <w:rFonts w:ascii="Arial" w:cs="Arial" w:eastAsia="Arial" w:hAnsi="Arial"/>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7"/>
          <w:szCs w:val="17"/>
          <w:u w:val="single" w:color="auto"/>
          <w:color w:val="auto"/>
        </w:rPr>
        <w:t>Attribution Parties</w:t>
      </w:r>
      <w:r>
        <w:rPr>
          <w:rFonts w:ascii="Arial" w:cs="Arial" w:eastAsia="Arial" w:hAnsi="Arial"/>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w:t>
      </w:r>
    </w:p>
    <w:p>
      <w:pPr>
        <w:sectPr>
          <w:pgSz w:w="11900" w:h="16838" w:orient="portrait"/>
          <w:cols w:equalWidth="0" w:num="1">
            <w:col w:w="10120"/>
          </w:cols>
          <w:pgMar w:left="1440" w:top="1421" w:right="339" w:bottom="1440" w:gutter="0" w:footer="0" w:header="0"/>
        </w:sectPr>
      </w:pPr>
    </w:p>
    <w:bookmarkStart w:id="45" w:name="page46"/>
    <w:bookmarkEnd w:id="45"/>
    <w:p>
      <w:pPr>
        <w:jc w:val="both"/>
        <w:spacing w:after="0" w:line="284" w:lineRule="auto"/>
        <w:rPr>
          <w:sz w:val="20"/>
          <w:szCs w:val="20"/>
          <w:color w:val="auto"/>
        </w:rPr>
      </w:pPr>
      <w:r>
        <w:rPr>
          <w:rFonts w:ascii="Arial" w:cs="Arial" w:eastAsia="Arial" w:hAnsi="Arial"/>
          <w:sz w:val="16"/>
          <w:szCs w:val="16"/>
          <w:color w:val="auto"/>
        </w:rPr>
        <w:t>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before and after giving effect to the issuance of shares of Common Stock issuable upon exercise of this Warrant, provided that the Holder shall be permitted to decrease the Beneficial Ownership Limitation upon providing written notice to the Company or increase the Beneficial Ownership Limitation upon providing the Company with at least 61 days’ prior written notice.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360" w:lineRule="exact"/>
        <w:rPr>
          <w:sz w:val="20"/>
          <w:szCs w:val="20"/>
          <w:color w:val="auto"/>
        </w:rPr>
      </w:pPr>
    </w:p>
    <w:p>
      <w:pPr>
        <w:jc w:val="both"/>
        <w:ind w:firstLine="644"/>
        <w:spacing w:after="0" w:line="269" w:lineRule="auto"/>
        <w:tabs>
          <w:tab w:leader="none" w:pos="84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number of Warrant Shares issuable upon exercise of this Warrant shall be multiplied by a fraction of which the denominator shall be the number of shares of Common Stock (excluding treasury shares, if any) outstanding immediately before such event and of which the numerator shall be the number of shares of Common Stock outstanding immediately after such event; the Exercise Price of this Warrant shall remain unchanged. Any adjustment made pursuant to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80"/>
          </w:cols>
          <w:pgMar w:left="980" w:top="1421" w:right="339" w:bottom="1440" w:gutter="0" w:footer="0" w:header="0"/>
        </w:sectPr>
      </w:pPr>
    </w:p>
    <w:bookmarkStart w:id="46" w:name="page47"/>
    <w:bookmarkEnd w:id="46"/>
    <w:p>
      <w:pPr>
        <w:jc w:val="both"/>
        <w:ind w:left="-460" w:firstLine="644"/>
        <w:spacing w:after="0" w:line="269" w:lineRule="auto"/>
        <w:tabs>
          <w:tab w:leader="none" w:pos="38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5" w:lineRule="exact"/>
        <w:rPr>
          <w:rFonts w:ascii="Arial" w:cs="Arial" w:eastAsia="Arial" w:hAnsi="Arial"/>
          <w:sz w:val="17"/>
          <w:szCs w:val="17"/>
          <w:color w:val="auto"/>
        </w:rPr>
      </w:pPr>
    </w:p>
    <w:p>
      <w:pPr>
        <w:jc w:val="both"/>
        <w:ind w:left="-460" w:firstLine="644"/>
        <w:spacing w:after="0" w:line="286" w:lineRule="auto"/>
        <w:tabs>
          <w:tab w:leader="none" w:pos="37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rFonts w:ascii="Arial" w:cs="Arial" w:eastAsia="Arial" w:hAnsi="Arial"/>
          <w:sz w:val="16"/>
          <w:szCs w:val="16"/>
          <w:color w:val="auto"/>
        </w:rPr>
      </w:pPr>
    </w:p>
    <w:p>
      <w:pPr>
        <w:jc w:val="both"/>
        <w:ind w:left="-460" w:firstLine="644"/>
        <w:spacing w:after="0" w:line="287" w:lineRule="auto"/>
        <w:tabs>
          <w:tab w:leader="none" w:pos="39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w:t>
      </w:r>
    </w:p>
    <w:p>
      <w:pPr>
        <w:sectPr>
          <w:pgSz w:w="11900" w:h="16838" w:orient="portrait"/>
          <w:cols w:equalWidth="0" w:num="1">
            <w:col w:w="10120"/>
          </w:cols>
          <w:pgMar w:left="1440" w:top="1421" w:right="339" w:bottom="1440" w:gutter="0" w:footer="0" w:header="0"/>
        </w:sectPr>
      </w:pPr>
    </w:p>
    <w:bookmarkStart w:id="47" w:name="page48"/>
    <w:bookmarkEnd w:id="47"/>
    <w:p>
      <w:pPr>
        <w:jc w:val="both"/>
        <w:spacing w:after="0" w:line="284" w:lineRule="auto"/>
        <w:rPr>
          <w:sz w:val="20"/>
          <w:szCs w:val="20"/>
          <w:color w:val="auto"/>
        </w:rPr>
      </w:pPr>
      <w:r>
        <w:rPr>
          <w:rFonts w:ascii="Arial" w:cs="Arial" w:eastAsia="Arial" w:hAnsi="Arial"/>
          <w:sz w:val="16"/>
          <w:szCs w:val="16"/>
          <w:color w:val="auto"/>
        </w:rPr>
        <w:t>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79" w:lineRule="exact"/>
        <w:rPr>
          <w:sz w:val="20"/>
          <w:szCs w:val="20"/>
          <w:color w:val="auto"/>
        </w:rPr>
      </w:pPr>
    </w:p>
    <w:p>
      <w:pPr>
        <w:jc w:val="both"/>
        <w:ind w:firstLine="644"/>
        <w:spacing w:after="0" w:line="286" w:lineRule="auto"/>
        <w:tabs>
          <w:tab w:leader="none" w:pos="83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300" w:lineRule="exact"/>
        <w:rPr>
          <w:rFonts w:ascii="Arial" w:cs="Arial" w:eastAsia="Arial" w:hAnsi="Arial"/>
          <w:sz w:val="17"/>
          <w:szCs w:val="17"/>
          <w:color w:val="auto"/>
        </w:rPr>
      </w:pPr>
    </w:p>
    <w:p>
      <w:pPr>
        <w:ind w:left="800" w:hanging="15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00" w:firstLine="646"/>
        <w:spacing w:after="0" w:line="259" w:lineRule="auto"/>
        <w:tabs>
          <w:tab w:leader="none" w:pos="188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13" w:lineRule="exact"/>
        <w:rPr>
          <w:rFonts w:ascii="Arial" w:cs="Arial" w:eastAsia="Arial" w:hAnsi="Arial"/>
          <w:sz w:val="18"/>
          <w:szCs w:val="18"/>
          <w:color w:val="auto"/>
        </w:rPr>
      </w:pPr>
    </w:p>
    <w:p>
      <w:pPr>
        <w:jc w:val="both"/>
        <w:ind w:left="1100" w:firstLine="646"/>
        <w:spacing w:after="0" w:line="263" w:lineRule="auto"/>
        <w:tabs>
          <w:tab w:leader="none" w:pos="193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Notice to Allow Exercise by Holder</w:t>
      </w:r>
      <w:r>
        <w:rPr>
          <w:rFonts w:ascii="Arial" w:cs="Arial" w:eastAsia="Arial" w:hAnsi="Arial"/>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w:t>
      </w:r>
    </w:p>
    <w:p>
      <w:pPr>
        <w:sectPr>
          <w:pgSz w:w="11900" w:h="16838" w:orient="portrait"/>
          <w:cols w:equalWidth="0" w:num="1">
            <w:col w:w="10580"/>
          </w:cols>
          <w:pgMar w:left="980" w:top="1421" w:right="339" w:bottom="1440" w:gutter="0" w:footer="0" w:header="0"/>
        </w:sectPr>
      </w:pPr>
    </w:p>
    <w:bookmarkStart w:id="48" w:name="page49"/>
    <w:bookmarkEnd w:id="48"/>
    <w:p>
      <w:pPr>
        <w:jc w:val="both"/>
        <w:ind w:left="1100"/>
        <w:spacing w:after="0" w:line="267" w:lineRule="auto"/>
        <w:rPr>
          <w:sz w:val="20"/>
          <w:szCs w:val="20"/>
          <w:color w:val="auto"/>
        </w:rPr>
      </w:pPr>
      <w:r>
        <w:rPr>
          <w:rFonts w:ascii="Arial" w:cs="Arial" w:eastAsia="Arial" w:hAnsi="Arial"/>
          <w:sz w:val="17"/>
          <w:szCs w:val="17"/>
          <w:color w:val="auto"/>
        </w:rPr>
        <w:t>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(except in the case of a merger for purposes of changing the Company’s domicile),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360" w:lineRule="exact"/>
        <w:rPr>
          <w:sz w:val="20"/>
          <w:szCs w:val="20"/>
          <w:color w:val="auto"/>
        </w:rPr>
      </w:pPr>
    </w:p>
    <w:p>
      <w:pPr>
        <w:jc w:val="both"/>
        <w:ind w:firstLine="644"/>
        <w:spacing w:after="0" w:line="269" w:lineRule="auto"/>
        <w:tabs>
          <w:tab w:leader="none" w:pos="84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8" w:lineRule="exact"/>
        <w:rPr>
          <w:rFonts w:ascii="Arial" w:cs="Arial" w:eastAsia="Arial" w:hAnsi="Arial"/>
          <w:sz w:val="17"/>
          <w:szCs w:val="17"/>
          <w:color w:val="auto"/>
        </w:rPr>
      </w:pPr>
    </w:p>
    <w:p>
      <w:pPr>
        <w:jc w:val="both"/>
        <w:ind w:firstLine="644"/>
        <w:spacing w:after="0" w:line="257" w:lineRule="auto"/>
        <w:tabs>
          <w:tab w:leader="none" w:pos="84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w:t>
      </w:r>
    </w:p>
    <w:p>
      <w:pPr>
        <w:sectPr>
          <w:pgSz w:w="11900" w:h="16838" w:orient="portrait"/>
          <w:cols w:equalWidth="0" w:num="1">
            <w:col w:w="10580"/>
          </w:cols>
          <w:pgMar w:left="980" w:top="1421" w:right="339" w:bottom="1440" w:gutter="0" w:footer="0" w:header="0"/>
        </w:sectPr>
      </w:pPr>
    </w:p>
    <w:bookmarkStart w:id="49" w:name="page50"/>
    <w:bookmarkEnd w:id="49"/>
    <w:p>
      <w:pPr>
        <w:ind w:right="20"/>
        <w:spacing w:after="0" w:line="277" w:lineRule="auto"/>
        <w:rPr>
          <w:sz w:val="20"/>
          <w:szCs w:val="20"/>
          <w:color w:val="auto"/>
        </w:rPr>
      </w:pPr>
      <w:r>
        <w:rPr>
          <w:rFonts w:ascii="Arial" w:cs="Arial" w:eastAsia="Arial" w:hAnsi="Arial"/>
          <w:sz w:val="18"/>
          <w:szCs w:val="18"/>
          <w:color w:val="auto"/>
        </w:rPr>
        <w:t>transfers or exchanges shall be dated the Initial Exercise Date and shall be identical with this Warrant except as to the number of Warrant Shares issuable pursuant thereto.</w:t>
      </w:r>
    </w:p>
    <w:p>
      <w:pPr>
        <w:spacing w:after="0" w:line="197" w:lineRule="exact"/>
        <w:rPr>
          <w:sz w:val="20"/>
          <w:szCs w:val="20"/>
          <w:color w:val="auto"/>
        </w:rPr>
      </w:pPr>
    </w:p>
    <w:p>
      <w:pPr>
        <w:jc w:val="both"/>
        <w:ind w:firstLine="644"/>
        <w:spacing w:after="0" w:line="259"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ind w:firstLine="644"/>
        <w:spacing w:after="0" w:line="308" w:lineRule="auto"/>
        <w:tabs>
          <w:tab w:leader="none" w:pos="83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73" w:lineRule="exact"/>
        <w:rPr>
          <w:rFonts w:ascii="Arial" w:cs="Arial" w:eastAsia="Arial" w:hAnsi="Arial"/>
          <w:sz w:val="17"/>
          <w:szCs w:val="17"/>
          <w:color w:val="auto"/>
        </w:rPr>
      </w:pPr>
    </w:p>
    <w:p>
      <w:pPr>
        <w:jc w:val="both"/>
        <w:ind w:firstLine="644"/>
        <w:spacing w:after="0" w:line="296" w:lineRule="auto"/>
        <w:tabs>
          <w:tab w:leader="none" w:pos="84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8" w:lineRule="exact"/>
        <w:rPr>
          <w:rFonts w:ascii="Arial" w:cs="Arial" w:eastAsia="Arial" w:hAnsi="Arial"/>
          <w:sz w:val="16"/>
          <w:szCs w:val="16"/>
          <w:color w:val="auto"/>
        </w:rPr>
      </w:pPr>
    </w:p>
    <w:p>
      <w:pPr>
        <w:ind w:right="20" w:firstLine="644"/>
        <w:spacing w:after="0" w:line="342" w:lineRule="auto"/>
        <w:tabs>
          <w:tab w:leader="none" w:pos="83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258" w:lineRule="exact"/>
        <w:rPr>
          <w:rFonts w:ascii="Arial" w:cs="Arial" w:eastAsia="Arial" w:hAnsi="Arial"/>
          <w:sz w:val="16"/>
          <w:szCs w:val="16"/>
          <w:color w:val="auto"/>
        </w:rPr>
      </w:pPr>
    </w:p>
    <w:p>
      <w:pPr>
        <w:jc w:val="both"/>
        <w:ind w:firstLine="644"/>
        <w:spacing w:after="0" w:line="269" w:lineRule="auto"/>
        <w:tabs>
          <w:tab w:leader="none" w:pos="84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w:t>
      </w:r>
    </w:p>
    <w:p>
      <w:pPr>
        <w:sectPr>
          <w:pgSz w:w="11900" w:h="16838" w:orient="portrait"/>
          <w:cols w:equalWidth="0" w:num="1">
            <w:col w:w="10580"/>
          </w:cols>
          <w:pgMar w:left="980" w:top="142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public regulatory body having jurisdiction thereof, as may be, necessary to enable the Company to perform its obligations under this Warrant.</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11" w:lineRule="exact"/>
        <w:rPr>
          <w:sz w:val="20"/>
          <w:szCs w:val="20"/>
          <w:color w:val="auto"/>
        </w:rPr>
      </w:pPr>
    </w:p>
    <w:p>
      <w:pPr>
        <w:ind w:firstLine="644"/>
        <w:spacing w:after="0" w:line="277" w:lineRule="auto"/>
        <w:tabs>
          <w:tab w:leader="none" w:pos="8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Exchange Agreement.</w:t>
      </w:r>
    </w:p>
    <w:p>
      <w:pPr>
        <w:spacing w:after="0" w:line="197" w:lineRule="exact"/>
        <w:rPr>
          <w:rFonts w:ascii="Arial" w:cs="Arial" w:eastAsia="Arial" w:hAnsi="Arial"/>
          <w:sz w:val="18"/>
          <w:szCs w:val="18"/>
          <w:color w:val="auto"/>
        </w:rPr>
      </w:pPr>
    </w:p>
    <w:p>
      <w:pPr>
        <w:jc w:val="both"/>
        <w:ind w:firstLine="644"/>
        <w:spacing w:after="0" w:line="273" w:lineRule="auto"/>
        <w:tabs>
          <w:tab w:leader="none" w:pos="82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4" w:lineRule="exact"/>
        <w:rPr>
          <w:rFonts w:ascii="Arial" w:cs="Arial" w:eastAsia="Arial" w:hAnsi="Arial"/>
          <w:sz w:val="17"/>
          <w:szCs w:val="17"/>
          <w:color w:val="auto"/>
        </w:rPr>
      </w:pPr>
    </w:p>
    <w:p>
      <w:pPr>
        <w:ind w:firstLine="644"/>
        <w:spacing w:after="0" w:line="277" w:lineRule="auto"/>
        <w:tabs>
          <w:tab w:leader="none" w:pos="84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Exchange Agreement.</w:t>
      </w:r>
    </w:p>
    <w:p>
      <w:pPr>
        <w:spacing w:after="0" w:line="197" w:lineRule="exact"/>
        <w:rPr>
          <w:rFonts w:ascii="Arial" w:cs="Arial" w:eastAsia="Arial" w:hAnsi="Arial"/>
          <w:sz w:val="18"/>
          <w:szCs w:val="18"/>
          <w:color w:val="auto"/>
        </w:rPr>
      </w:pPr>
    </w:p>
    <w:p>
      <w:pPr>
        <w:jc w:val="both"/>
        <w:ind w:firstLine="644"/>
        <w:spacing w:after="0" w:line="259" w:lineRule="auto"/>
        <w:tabs>
          <w:tab w:leader="none" w:pos="84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321"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13" w:lineRule="exact"/>
        <w:rPr>
          <w:rFonts w:ascii="Arial" w:cs="Arial" w:eastAsia="Arial" w:hAnsi="Arial"/>
          <w:sz w:val="18"/>
          <w:szCs w:val="18"/>
          <w:color w:val="auto"/>
        </w:rPr>
      </w:pPr>
    </w:p>
    <w:p>
      <w:pPr>
        <w:ind w:left="840" w:hanging="196"/>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37" w:lineRule="exact"/>
        <w:rPr>
          <w:rFonts w:ascii="Arial" w:cs="Arial" w:eastAsia="Arial" w:hAnsi="Arial"/>
          <w:sz w:val="16"/>
          <w:szCs w:val="16"/>
          <w:color w:val="auto"/>
        </w:rPr>
      </w:pPr>
    </w:p>
    <w:p>
      <w:pPr>
        <w:jc w:val="both"/>
        <w:ind w:firstLine="644"/>
        <w:spacing w:after="0" w:line="311" w:lineRule="auto"/>
        <w:tabs>
          <w:tab w:leader="none" w:pos="80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Arial" w:cs="Arial" w:eastAsia="Arial" w:hAnsi="Arial"/>
          <w:sz w:val="16"/>
          <w:szCs w:val="16"/>
          <w:color w:val="auto"/>
        </w:rPr>
      </w:pPr>
    </w:p>
    <w:p>
      <w:pPr>
        <w:ind w:firstLine="644"/>
        <w:spacing w:after="0" w:line="277" w:lineRule="auto"/>
        <w:tabs>
          <w:tab w:leader="none" w:pos="89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ectPr>
          <w:pgSz w:w="11900" w:h="16838" w:orient="portrait"/>
          <w:cols w:equalWidth="0" w:num="1">
            <w:col w:w="10580"/>
          </w:cols>
          <w:pgMar w:left="980" w:top="14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9019"/>
          </w:cols>
          <w:pgMar w:left="1440" w:top="1421" w:right="1440"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31750</wp:posOffset>
            </wp:positionV>
            <wp:extent cx="3180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20"/>
          </w:cols>
          <w:pgMar w:left="320" w:top="1421"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EXAGEN INC.</w:t>
      </w:r>
    </w:p>
    <w:p>
      <w:pPr>
        <w:spacing w:after="0" w:line="252" w:lineRule="exact"/>
        <w:rPr>
          <w:sz w:val="20"/>
          <w:szCs w:val="20"/>
          <w:color w:val="auto"/>
        </w:rPr>
      </w:pPr>
    </w:p>
    <w:p>
      <w:pPr>
        <w:ind w:firstLine="1304"/>
        <w:spacing w:after="0" w:line="308" w:lineRule="auto"/>
        <w:tabs>
          <w:tab w:leader="none" w:pos="156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Arial" w:cs="Arial" w:eastAsia="Arial" w:hAnsi="Arial"/>
          <w:sz w:val="17"/>
          <w:szCs w:val="17"/>
          <w:color w:val="auto"/>
        </w:rPr>
      </w:pPr>
    </w:p>
    <w:p>
      <w:pPr>
        <w:ind w:left="1560" w:hanging="256"/>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9" w:lineRule="exact"/>
        <w:rPr>
          <w:sz w:val="20"/>
          <w:szCs w:val="20"/>
          <w:color w:val="auto"/>
        </w:rPr>
      </w:pPr>
    </w:p>
    <w:p>
      <w:pPr>
        <w:jc w:val="both"/>
        <w:ind w:left="1960" w:hanging="8"/>
        <w:spacing w:after="0" w:line="255" w:lineRule="auto"/>
        <w:tabs>
          <w:tab w:leader="none" w:pos="2067" w:val="left"/>
        </w:tabs>
        <w:numPr>
          <w:ilvl w:val="1"/>
          <w:numId w:val="31"/>
        </w:numPr>
        <w:rPr>
          <w:rFonts w:ascii="Arial" w:cs="Arial" w:eastAsia="Arial" w:hAnsi="Arial"/>
          <w:sz w:val="18"/>
          <w:szCs w:val="18"/>
          <w:color w:val="auto"/>
        </w:rPr>
      </w:pPr>
      <w:r>
        <w:rPr>
          <w:rFonts w:ascii="Arial" w:cs="Arial" w:eastAsia="Arial" w:hAnsi="Arial"/>
          <w:sz w:val="18"/>
          <w:szCs w:val="18"/>
          <w:color w:val="auto"/>
        </w:rPr>
        <w:t>] the cancellation of such number of Warrant Shares as is necessary, in accordance with the formula set forth in subsection 2(c) of the Warrant, to exercise this Warrant with respect to the maximum number of Warrant Shares purchasable pursuant to the cashless exercise procedure set forth in subsection 2(c) of the Warrant.</w:t>
      </w:r>
    </w:p>
    <w:p>
      <w:pPr>
        <w:spacing w:after="0" w:line="216" w:lineRule="exact"/>
        <w:rPr>
          <w:rFonts w:ascii="Arial" w:cs="Arial" w:eastAsia="Arial" w:hAnsi="Arial"/>
          <w:sz w:val="18"/>
          <w:szCs w:val="18"/>
          <w:color w:val="auto"/>
        </w:rPr>
      </w:pPr>
    </w:p>
    <w:p>
      <w:pPr>
        <w:ind w:left="1560" w:hanging="256"/>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Investing Entity: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w:t>
      </w:r>
    </w:p>
    <w:p>
      <w:pPr>
        <w:sectPr>
          <w:pgSz w:w="11900" w:h="16838" w:orient="portrait"/>
          <w:cols w:equalWidth="0" w:num="1">
            <w:col w:w="11240"/>
          </w:cols>
          <w:pgMar w:left="320" w:top="1417" w:right="339" w:bottom="1440" w:gutter="0" w:footer="0" w:header="0"/>
        </w:sectPr>
      </w:pPr>
    </w:p>
    <w:bookmarkStart w:id="54" w:name="page55"/>
    <w:bookmarkEnd w:id="54"/>
    <w:p>
      <w:pPr>
        <w:spacing w:after="0" w:line="8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B</w:t>
      </w:r>
    </w:p>
    <w:p>
      <w:pPr>
        <w:spacing w:after="0" w:line="36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ASSIGNMENT FORM</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(To assign the foregoing Warrant, execute this form and supply required information. Do not use this form to purchase shares.)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480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480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480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480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340360</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162" w:lineRule="exact"/>
        <w:rPr>
          <w:sz w:val="20"/>
          <w:szCs w:val="20"/>
          <w:color w:val="auto"/>
        </w:rPr>
      </w:pPr>
    </w:p>
    <w:p>
      <w:pPr>
        <w:jc w:val="center"/>
        <w:ind w:left="340" w:right="60"/>
        <w:spacing w:after="0" w:line="263" w:lineRule="auto"/>
        <w:rPr>
          <w:sz w:val="20"/>
          <w:szCs w:val="20"/>
          <w:color w:val="auto"/>
        </w:rPr>
      </w:pPr>
      <w:r>
        <w:rPr>
          <w:rFonts w:ascii="Arial" w:cs="Arial" w:eastAsia="Arial" w:hAnsi="Arial"/>
          <w:sz w:val="18"/>
          <w:szCs w:val="18"/>
          <w:color w:val="auto"/>
        </w:rPr>
        <w:t>CERTAIN CONFIDENTIAL INFORMATION CONTAINED IN THIS DOCUMENT, MARKED BY [***], HAS BEEN OMITTED BECAUSE EXAGEN INC. HAS DETERMINED THE INFORMATION (I) IS NOT MATERIAL AND (II) WOULD LIKELY CAUSE COMPETITIVE HARM TO EXAGEN INC. IF PUBLICLY DISCLOSED.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#4 TO CO-PROMOTION AGREEMENT</w:t>
      </w:r>
    </w:p>
    <w:p>
      <w:pPr>
        <w:spacing w:after="0" w:line="200" w:lineRule="exact"/>
        <w:rPr>
          <w:sz w:val="20"/>
          <w:szCs w:val="20"/>
          <w:color w:val="auto"/>
        </w:rPr>
      </w:pPr>
    </w:p>
    <w:p>
      <w:pPr>
        <w:spacing w:after="0" w:line="272"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As contemplated in the Co-Promotion Agreement between Exagen and Janssen signed December 10, 2018, please find attached the final Baseline TRxU for April through June (3th Quarter) of 2021, which has been agreed upon by the Janssen and Exagen Teams. This Baseline TRxU include CVS/Anthem data for the zip codes covered by Exagen sale representatives as of April 1, 2021, inclusive of the additional zip codes added.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agreed that the following sections of the Agreement are hereby amended as follows effective as the date of this notice: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2.3.4.</w:t>
            </w:r>
          </w:p>
        </w:tc>
        <w:tc>
          <w:tcPr>
            <w:tcW w:w="10260" w:type="dxa"/>
            <w:vAlign w:val="bottom"/>
            <w:gridSpan w:val="5"/>
          </w:tcPr>
          <w:p>
            <w:pPr>
              <w:ind w:left="300"/>
              <w:spacing w:after="0"/>
              <w:rPr>
                <w:sz w:val="20"/>
                <w:szCs w:val="20"/>
                <w:color w:val="auto"/>
              </w:rPr>
            </w:pPr>
            <w:r>
              <w:rPr>
                <w:rFonts w:ascii="Arial" w:cs="Arial" w:eastAsia="Arial" w:hAnsi="Arial"/>
                <w:sz w:val="18"/>
                <w:szCs w:val="18"/>
                <w:color w:val="auto"/>
              </w:rPr>
              <w:t>The terms of the Promotion Fee shall be adjusted for the quarter ending June 30, 2021 as follows:</w:t>
            </w:r>
          </w:p>
        </w:tc>
      </w:tr>
      <w:tr>
        <w:trPr>
          <w:trHeight w:val="432"/>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2.3.4.1</w:t>
            </w: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rPr>
              <w:t>The Promotion Fee shall be based on a unit value for each quarter over Baseline TRxU, allocated as follows:</w:t>
            </w:r>
          </w:p>
        </w:tc>
      </w:tr>
      <w:tr>
        <w:trPr>
          <w:trHeight w:val="432"/>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For the Quantities</w:t>
            </w:r>
          </w:p>
        </w:tc>
        <w:tc>
          <w:tcPr>
            <w:tcW w:w="5880" w:type="dxa"/>
            <w:vAlign w:val="bottom"/>
          </w:tcPr>
          <w:p>
            <w:pPr>
              <w:ind w:left="520"/>
              <w:spacing w:after="0"/>
              <w:rPr>
                <w:sz w:val="20"/>
                <w:szCs w:val="20"/>
                <w:color w:val="auto"/>
              </w:rPr>
            </w:pPr>
            <w:r>
              <w:rPr>
                <w:rFonts w:ascii="Arial" w:cs="Arial" w:eastAsia="Arial" w:hAnsi="Arial"/>
                <w:sz w:val="18"/>
                <w:szCs w:val="18"/>
                <w:color w:val="auto"/>
              </w:rPr>
              <w:t>Promotion Fee per unit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58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58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58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500"/>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Tiered Baseline</w:t>
            </w:r>
          </w:p>
        </w:tc>
        <w:tc>
          <w:tcPr>
            <w:tcW w:w="58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90"/>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rPr>
              <w:t>A minimum payout of $300,000 for Q1 and Q2 of 2021 will be in effect.</w:t>
            </w: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2.3.4.2</w:t>
            </w: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w w:val="97"/>
              </w:rPr>
              <w:t>Unit quantities below Baseline TRxU in a quarter will be counted as zero for purposes of calculating Quantities for</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Promotion Fee per unit.</w:t>
            </w:r>
          </w:p>
        </w:tc>
        <w:tc>
          <w:tcPr>
            <w:tcW w:w="588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2.3.4.3</w:t>
            </w: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w w:val="90"/>
              </w:rPr>
              <w:t>Janssen will pay Exagen a Minimum Promotion Fee of $300,000 for each of the quarters ending March 31, 2021 and June</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30, 2021</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2.3.4.4</w:t>
            </w: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w w:val="92"/>
              </w:rPr>
              <w:t>In addition, the Promotion Fee will be capped at an amount reflecting the payment due in the event that Exagen's TRxU</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140" w:type="dxa"/>
            <w:vAlign w:val="bottom"/>
            <w:gridSpan w:val="4"/>
          </w:tcPr>
          <w:p>
            <w:pPr>
              <w:ind w:left="340"/>
              <w:spacing w:after="0"/>
              <w:rPr>
                <w:sz w:val="20"/>
                <w:szCs w:val="20"/>
                <w:color w:val="auto"/>
              </w:rPr>
            </w:pPr>
            <w:r>
              <w:rPr>
                <w:rFonts w:ascii="Arial" w:cs="Arial" w:eastAsia="Arial" w:hAnsi="Arial"/>
                <w:sz w:val="18"/>
                <w:szCs w:val="18"/>
                <w:color w:val="auto"/>
              </w:rPr>
              <w:t>exceeds 10% above the Baseline TRxU for the quarter ending June 30, 2021.</w:t>
            </w:r>
          </w:p>
        </w:tc>
      </w:tr>
      <w:tr>
        <w:trPr>
          <w:trHeight w:val="432"/>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For example:</w:t>
            </w:r>
          </w:p>
        </w:tc>
        <w:tc>
          <w:tcPr>
            <w:tcW w:w="588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80" w:type="dxa"/>
            <w:vAlign w:val="bottom"/>
          </w:tcPr>
          <w:p>
            <w:pPr>
              <w:spacing w:after="0"/>
              <w:rPr>
                <w:sz w:val="23"/>
                <w:szCs w:val="23"/>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2.3.5</w:t>
            </w:r>
          </w:p>
        </w:tc>
        <w:tc>
          <w:tcPr>
            <w:tcW w:w="10260" w:type="dxa"/>
            <w:vAlign w:val="bottom"/>
            <w:gridSpan w:val="5"/>
          </w:tcPr>
          <w:p>
            <w:pPr>
              <w:ind w:left="300"/>
              <w:spacing w:after="0"/>
              <w:rPr>
                <w:sz w:val="20"/>
                <w:szCs w:val="20"/>
                <w:color w:val="auto"/>
              </w:rPr>
            </w:pPr>
            <w:r>
              <w:rPr>
                <w:rFonts w:ascii="Arial" w:cs="Arial" w:eastAsia="Arial" w:hAnsi="Arial"/>
                <w:sz w:val="18"/>
                <w:szCs w:val="18"/>
                <w:color w:val="auto"/>
                <w:w w:val="95"/>
              </w:rPr>
              <w:t>For the remaining quarters of the Contract Term Extension (July 1, 2021 – December 31, 2021) and any additional Third Term, the</w:t>
            </w:r>
          </w:p>
        </w:tc>
      </w:tr>
      <w:tr>
        <w:trPr>
          <w:trHeight w:val="216"/>
        </w:trPr>
        <w:tc>
          <w:tcPr>
            <w:tcW w:w="700" w:type="dxa"/>
            <w:vAlign w:val="bottom"/>
          </w:tcPr>
          <w:p>
            <w:pPr>
              <w:spacing w:after="0"/>
              <w:rPr>
                <w:sz w:val="18"/>
                <w:szCs w:val="18"/>
                <w:color w:val="auto"/>
              </w:rPr>
            </w:pPr>
          </w:p>
        </w:tc>
        <w:tc>
          <w:tcPr>
            <w:tcW w:w="10260" w:type="dxa"/>
            <w:vAlign w:val="bottom"/>
            <w:gridSpan w:val="5"/>
          </w:tcPr>
          <w:p>
            <w:pPr>
              <w:ind w:left="300"/>
              <w:spacing w:after="0"/>
              <w:rPr>
                <w:sz w:val="20"/>
                <w:szCs w:val="20"/>
                <w:color w:val="auto"/>
              </w:rPr>
            </w:pPr>
            <w:r>
              <w:rPr>
                <w:rFonts w:ascii="Arial" w:cs="Arial" w:eastAsia="Arial" w:hAnsi="Arial"/>
                <w:sz w:val="18"/>
                <w:szCs w:val="18"/>
                <w:color w:val="auto"/>
                <w:w w:val="91"/>
              </w:rPr>
              <w:t>Promotion Fee payment terms shall revert to the terms set forth in the Co-Promotion Agreement, with no Minimum Promotion Fee and no</w:t>
            </w:r>
          </w:p>
        </w:tc>
      </w:tr>
      <w:tr>
        <w:trPr>
          <w:trHeight w:val="230"/>
        </w:trPr>
        <w:tc>
          <w:tcPr>
            <w:tcW w:w="700" w:type="dxa"/>
            <w:vAlign w:val="bottom"/>
          </w:tcPr>
          <w:p>
            <w:pPr>
              <w:spacing w:after="0"/>
              <w:rPr>
                <w:sz w:val="20"/>
                <w:szCs w:val="20"/>
                <w:color w:val="auto"/>
              </w:rPr>
            </w:pPr>
          </w:p>
        </w:tc>
        <w:tc>
          <w:tcPr>
            <w:tcW w:w="4380" w:type="dxa"/>
            <w:vAlign w:val="bottom"/>
            <w:gridSpan w:val="4"/>
          </w:tcPr>
          <w:p>
            <w:pPr>
              <w:ind w:left="300"/>
              <w:spacing w:after="0"/>
              <w:rPr>
                <w:sz w:val="20"/>
                <w:szCs w:val="20"/>
                <w:color w:val="auto"/>
              </w:rPr>
            </w:pPr>
            <w:r>
              <w:rPr>
                <w:rFonts w:ascii="Arial" w:cs="Arial" w:eastAsia="Arial" w:hAnsi="Arial"/>
                <w:sz w:val="18"/>
                <w:szCs w:val="18"/>
                <w:color w:val="auto"/>
              </w:rPr>
              <w:t>Cap (Section 2.3.3).</w:t>
            </w:r>
          </w:p>
        </w:tc>
        <w:tc>
          <w:tcPr>
            <w:tcW w:w="5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515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49" w:lineRule="exact"/>
        <w:rPr>
          <w:sz w:val="20"/>
          <w:szCs w:val="20"/>
          <w:color w:val="auto"/>
        </w:rPr>
      </w:pPr>
    </w:p>
    <w:p>
      <w:pPr>
        <w:ind w:left="580" w:hanging="554"/>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1240"/>
          </w:cols>
          <w:pgMar w:left="320" w:top="1228"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In accordance with Amendment #2 dated June 18th, 2020 to the Agreement, please find the Second Term Baseline TRxU for the First Half of 2021:</w:t>
      </w:r>
    </w:p>
    <w:p>
      <w:pPr>
        <w:spacing w:after="0" w:line="296" w:lineRule="exact"/>
        <w:rPr>
          <w:sz w:val="20"/>
          <w:szCs w:val="20"/>
          <w:color w:val="auto"/>
        </w:rPr>
      </w:pPr>
    </w:p>
    <w:tbl>
      <w:tblPr>
        <w:tblLayout w:type="fixed"/>
        <w:tblInd w:w="1490" w:type="dxa"/>
        <w:tblCellMar>
          <w:top w:w="0" w:type="dxa"/>
          <w:left w:w="0" w:type="dxa"/>
          <w:bottom w:w="0" w:type="dxa"/>
          <w:right w:w="0" w:type="dxa"/>
        </w:tblCellMar>
      </w:tblPr>
      <w:tr>
        <w:trPr>
          <w:trHeight w:val="257"/>
        </w:trPr>
        <w:tc>
          <w:tcPr>
            <w:tcW w:w="3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Quarter ending</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Baseline TRxU</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March 31, 2021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June 30, 2021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by signing the space provided below and returning to Janssen.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JANSSEN BIOTECH, INC.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Howard Reid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Howard Reid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Director of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 27, 2021</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the date set forth above: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Mark Hazeltine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Mark Hazeltine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COO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651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0" w:hanging="554"/>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0660"/>
          </w:cols>
          <w:pgMar w:left="320" w:top="1259" w:right="9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58" w:name="page59"/>
    <w:bookmarkEnd w:id="58"/>
    <w:p>
      <w:pPr>
        <w:ind w:left="-20" w:firstLine="332"/>
        <w:spacing w:after="0" w:line="355" w:lineRule="auto"/>
        <w:tabs>
          <w:tab w:leader="none" w:pos="7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August 9,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60" w:name="page61"/>
    <w:bookmarkEnd w:id="60"/>
    <w:p>
      <w:pPr>
        <w:ind w:left="-20" w:firstLine="332"/>
        <w:spacing w:after="0" w:line="355" w:lineRule="auto"/>
        <w:tabs>
          <w:tab w:leader="none" w:pos="7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August 9,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111" w:right="4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50" w:lineRule="auto"/>
        <w:tabs>
          <w:tab w:leader="none" w:pos="11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50" w:lineRule="auto"/>
        <w:tabs>
          <w:tab w:leader="none" w:pos="11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ectPr>
          <w:pgSz w:w="11900" w:h="16838" w:orient="portrait"/>
          <w:cols w:equalWidth="0" w:num="1">
            <w:col w:w="11240"/>
          </w:cols>
          <w:pgMar w:left="320" w:top="954" w:right="339" w:bottom="1440" w:gutter="0" w:footer="0" w:header="0"/>
        </w:sectPr>
      </w:pPr>
    </w:p>
    <w:bookmarkStart w:id="62" w:name="page63"/>
    <w:bookmarkEnd w:id="62"/>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6"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Roman"/>
      <w:start w:val="2"/>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lvl w:ilvl="1">
      <w:lvlJc w:val="left"/>
      <w:lvlText w:val="%2)"/>
      <w:numFmt w:val="lowerLetter"/>
      <w:start w:val="1"/>
    </w:lvl>
  </w:abstractNum>
  <w:abstractNum w:abstractNumId="14">
    <w:nsid w:val="2CA88611"/>
    <w:multiLevelType w:val="hybridMultilevel"/>
    <w:lvl w:ilvl="0">
      <w:lvlJc w:val="left"/>
      <w:lvlText w:val="(%1)"/>
      <w:numFmt w:val="decimal"/>
      <w:start w:val="2"/>
    </w:lvl>
    <w:lvl w:ilvl="1">
      <w:lvlJc w:val="left"/>
      <w:lvlText w:val="%2"/>
      <w:numFmt w:val="lowerLetter"/>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1)"/>
      <w:numFmt w:val="upperLetter"/>
      <w:start w:val="1"/>
    </w:lvl>
  </w:abstractNum>
  <w:abstractNum w:abstractNumId="17">
    <w:nsid w:val="3A95F874"/>
    <w:multiLevelType w:val="hybridMultilevel"/>
    <w:lvl w:ilvl="0">
      <w:lvlJc w:val="left"/>
      <w:lvlText w:val="(%1)"/>
      <w:numFmt w:val="upperLetter"/>
      <w:start w:val="24"/>
    </w:lvl>
  </w:abstractNum>
  <w:abstractNum w:abstractNumId="18">
    <w:nsid w:val="8138641"/>
    <w:multiLevelType w:val="hybridMultilevel"/>
    <w:lvl w:ilvl="0">
      <w:lvlJc w:val="left"/>
      <w:lvlText w:val="%1)"/>
      <w:numFmt w:val="lowerLetter"/>
      <w:start w:val="4"/>
    </w:lvl>
  </w:abstractNum>
  <w:abstractNum w:abstractNumId="19">
    <w:nsid w:val="1E7FF521"/>
    <w:multiLevelType w:val="hybridMultilevel"/>
    <w:lvl w:ilvl="0">
      <w:lvlJc w:val="left"/>
      <w:lvlText w:val="%1."/>
      <w:numFmt w:val="lowerRoman"/>
      <w:start w:val="2"/>
    </w:lvl>
  </w:abstractNum>
  <w:abstractNum w:abstractNumId="20">
    <w:nsid w:val="7C3DBD3D"/>
    <w:multiLevelType w:val="hybridMultilevel"/>
    <w:lvl w:ilvl="0">
      <w:lvlJc w:val="left"/>
      <w:lvlText w:val="%1"/>
      <w:numFmt w:val="lowerLetter"/>
      <w:start w:val="1"/>
    </w:lvl>
    <w:lvl w:ilvl="1">
      <w:lvlJc w:val="left"/>
      <w:lvlText w:val="%2."/>
      <w:numFmt w:val="lowerRoman"/>
      <w:start w:val="6"/>
    </w:lvl>
  </w:abstractNum>
  <w:abstractNum w:abstractNumId="21">
    <w:nsid w:val="737B8DDC"/>
    <w:multiLevelType w:val="hybridMultilevel"/>
    <w:lvl w:ilvl="0">
      <w:lvlJc w:val="left"/>
      <w:lvlText w:val="%1)"/>
      <w:numFmt w:val="lowerLetter"/>
      <w:start w:val="5"/>
    </w:lvl>
    <w:lvl w:ilvl="1">
      <w:lvlJc w:val="left"/>
      <w:lvlText w:val="%2"/>
      <w:numFmt w:val="lowerRoman"/>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lowerLetter"/>
      <w:start w:val="5"/>
    </w:lvl>
    <w:lvl w:ilvl="1">
      <w:lvlJc w:val="left"/>
      <w:lvlText w:val="%2."/>
      <w:numFmt w:val="lowerRoman"/>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3"/>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5"/>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lvl w:ilvl="1">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lvl w:ilvl="1">
      <w:lvlJc w:val="left"/>
      <w:lvlText w:val="(%2)"/>
      <w:numFmt w:val="lowerLetter"/>
      <w:start w:val="1"/>
    </w:lvl>
  </w:abstractNum>
  <w:abstractNum w:abstractNumId="34">
    <w:nsid w:val="5C482A97"/>
    <w:multiLevelType w:val="hybridMultilevel"/>
    <w:lvl w:ilvl="0">
      <w:lvlJc w:val="left"/>
      <w:lvlText w:val="%1."/>
      <w:numFmt w:val="decimal"/>
      <w:start w:val="5"/>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49" Type="http://schemas.openxmlformats.org/officeDocument/2006/relationships/hyperlink" Target="http://www.sec.gov/Archives/edgar/data/1274737/000119312519252366/d769261dex31.htm" TargetMode="External"/><Relationship Id="rId50" Type="http://schemas.openxmlformats.org/officeDocument/2006/relationships/hyperlink" Target="http://www.sec.gov/Archives/edgar/data/1274737/000127473721000017/ex31-amendedandrestatedbyl.htm" TargetMode="External"/><Relationship Id="rId51" Type="http://schemas.openxmlformats.org/officeDocument/2006/relationships/hyperlink" Target="http://www.sec.gov/Archives/edgar/data/1274737/000119312519240403/d692844dex41.htm" TargetMode="External"/><Relationship Id="rId52" Type="http://schemas.openxmlformats.org/officeDocument/2006/relationships/hyperlink" Target="http://www.sec.gov/Archives/edgar/data/1274737/000119312519228011/d692844dex42.htm" TargetMode="External"/><Relationship Id="rId53" Type="http://schemas.openxmlformats.org/officeDocument/2006/relationships/hyperlink" Target="http://www.sec.gov/Archives/edgar/data/1274737/000119312519228011/d692844dex43.htm" TargetMode="External"/><Relationship Id="rId54" Type="http://schemas.openxmlformats.org/officeDocument/2006/relationships/hyperlink" Target="http://www.sec.gov/Archives/edgar/data/1274737/000119312519228011/d6928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2021-08-09T16:46:11Z</dcterms:created>
  <dcterms:modified xsi:type="dcterms:W3CDTF">2021-08-09T16:46:11Z</dcterms:modified>
</cp:coreProperties>
</file>