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17, 2025</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ind w:right="640"/>
        <w:spacing w:after="0" w:line="271" w:lineRule="auto"/>
        <w:rPr>
          <w:sz w:val="20"/>
          <w:szCs w:val="20"/>
          <w:color w:val="auto"/>
        </w:rPr>
      </w:pPr>
      <w:r>
        <w:rPr>
          <w:rFonts w:ascii="Times New Roman" w:cs="Times New Roman" w:eastAsia="Times New Roman" w:hAnsi="Times New Roman"/>
          <w:sz w:val="18"/>
          <w:szCs w:val="18"/>
          <w:b w:val="1"/>
          <w:bCs w:val="1"/>
          <w:color w:val="auto"/>
        </w:rPr>
        <w:t>Item 5.02. Election of Director; Amendment of Non-Employee Director Compensation Program; Compensatory Arrangements of Certain Directors.</w:t>
      </w:r>
    </w:p>
    <w:p>
      <w:pPr>
        <w:spacing w:after="0" w:line="18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On July 17, 2025, upon the recommendation of the Nominating and Corporate Governance Committee (“Nominating Committee”) of the Board of Directors (the “Board”) of Exagen Inc. (the “Company”), and pursuant to the bylaws of the Company, the Board appointed, effective as of July 17, 2025 (the “Effective Date”), Charles S. McKhann to serve as a Class III director, with an initial term expiring at the Company’s 2028 annual meeting of stockholders. In connection with and effective as of his appointment to the Board, Mr. McKhann was also appointed to the Compensation Committee of the Board (the “Compensation Committee”) and the Nominating Committee. Also in connection with his appointment, the size of the Board was increased from seven (7) members to eight (8) members, effective as of the Effective Date.</w:t>
      </w:r>
    </w:p>
    <w:p>
      <w:pPr>
        <w:spacing w:after="0" w:line="21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Mr. McKhann served as the President, Chief Executive Officer, and a member of the board of directors of Silk Road Medical, Inc. (“Silk Road”), a medical device company, from November 2023 to September 2024, when Silk Road was purchased by Boston Scientific Corporation (“Boston Scientific”), and served as Chief Executive Officer, President and a member of the Board of Directors of Apollo Endosurgery, Inc. (“Apollo”), a medical device company, from March 2021 to April 4, 2023, when Apollo was purchased by Boston Scientific. From October 2017 to December 2018, Mr. McKhann served as Chief Commercial Officer at ROX Medical, Inc., a medical device company. From July 2016 to April 2017, he served as Chief Commercial Officer of Torax Medical, Inc., a medical device company acquired by Johnson &amp; Johnson in April 2017. From January 2015 to July 2016, he served as Chief Commercial Officer of Intersect ENT, Inc., a medical device company. In addition, from September 2012 to March 2021, he served as Managing Director of Vernon Consulting, Inc. Mr. McKhann holds a B.A. in Political Sciences and Economics and an M.B.A. from Stanford University.</w:t>
      </w:r>
    </w:p>
    <w:p>
      <w:pPr>
        <w:spacing w:after="0" w:line="21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 xml:space="preserve">Pursuant to the A&amp;R Compensation Program (as defined below), which is incorporated by reference herein, on the Effective Date of Mr. McKhann’s appointment to the Board, he was granted restricted stock units (“RSUs”) representing the contingent right to receive up to 7,500 shares of the Company’s common stock with a par value of $0.001 per share (“Common Stock”), which RSUs will vest over four years in equal installments on each anniversary of the grant date, subject to his continuing service as of each vesting date. Additionally, at each annual meeting of the Company’s stockholders (an “Annual Meeting”) that is held while Mr. McKhann is serving on the Board, Mr. McKhann will be granted an option to purchase 9,000 shares of Common Stock with an exercise price equal to the fair market value of the Common Stock on the date of grant, which will becomes fully vested and exercisable on the first to occur of (a) the first anniversary of the grant date or (b) the next occurring Annual Meeting. Mr. McKhann will also receive cash compensation for his service on the Board, the Compensation Committee and the Nominating Committee in accordance with the A&amp;R Compensation Program. Mr. McKhann will enter into the Company’s standard indemnification agreement for directors, the form of which was filed as </w:t>
      </w:r>
      <w:r>
        <w:rPr>
          <w:rFonts w:ascii="Times New Roman" w:cs="Times New Roman" w:eastAsia="Times New Roman" w:hAnsi="Times New Roman"/>
          <w:sz w:val="18"/>
          <w:szCs w:val="18"/>
          <w:color w:val="467886"/>
        </w:rPr>
        <w:t>Exhibit 10.35</w:t>
      </w:r>
      <w:r>
        <w:rPr>
          <w:rFonts w:ascii="Times New Roman" w:cs="Times New Roman" w:eastAsia="Times New Roman" w:hAnsi="Times New Roman"/>
          <w:sz w:val="18"/>
          <w:szCs w:val="18"/>
          <w:color w:val="auto"/>
        </w:rPr>
        <w:t xml:space="preserve"> to the Company’s Registration Statement on Form S-1/A, filed with the SEC on September 9, 2019 and is incorporated herein by reference.</w:t>
      </w:r>
    </w:p>
    <w:p>
      <w:pPr>
        <w:spacing w:after="0" w:line="219"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There is no arrangement or understanding between Mr. McKhann and any other person pursuant to which Mr. McKhann was appointed as a director. Mr. McKhann is not a party to any transaction that would require disclosure under Item 404(a) of Regulation S-K promulgated under the Securities Act of 1933, as amended, and the Securities Exchange Act of 1934, as amended. The Board has determined that Mr. McKhann is an independent director in accordance with the listing requirements of the Nasdaq Global Market and the standards promulgated by the Securities and Exchange Commission, including enhanced independence criteria applicable to members of the Compensation Committee and Nominating Committee.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18"/>
          <w:szCs w:val="18"/>
          <w:color w:val="auto"/>
        </w:rPr>
        <w:t>On July 17, 2025, upon the recommendation of the Compensation Committee, the Board approved the amendment and restatement of the Company’s non-employee director compensation program (as so amended and restated, the (“A&amp;R Compensation Program”), a copy of which is attached hereto as Exhibit 10.1 and is incorporated herein by reference herein. The foregoing description of the A&amp;R Compensation Program does not purport to be complete and is qualified in its entirety by reference to such exhibit.</w:t>
      </w:r>
    </w:p>
    <w:p>
      <w:pPr>
        <w:spacing w:after="0" w:line="21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July 17, 2025, the Company issued a press release announcing the appointment of Mr. McKhann as a director, a copy of which is attached hereto as Exhibit 99.1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813435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42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Amended &amp; Restated Non-Employee Director Compensation Program</w:t>
            </w:r>
          </w:p>
        </w:tc>
      </w:tr>
      <w:tr>
        <w:trPr>
          <w:trHeight w:val="47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4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July 17, 2025</w:t>
            </w:r>
          </w:p>
        </w:tc>
        <w:tc>
          <w:tcPr>
            <w:tcW w:w="2640" w:type="dxa"/>
            <w:vAlign w:val="bottom"/>
            <w:tcBorders>
              <w:top w:val="single" w:sz="8" w:color="0000FF"/>
            </w:tcBorders>
          </w:tcPr>
          <w:p>
            <w:pPr>
              <w:spacing w:after="0"/>
              <w:rPr>
                <w:sz w:val="24"/>
                <w:szCs w:val="24"/>
                <w:color w:val="auto"/>
              </w:rPr>
            </w:pPr>
          </w:p>
        </w:tc>
        <w:tc>
          <w:tcPr>
            <w:tcW w:w="4700" w:type="dxa"/>
            <w:vAlign w:val="bottom"/>
          </w:tcPr>
          <w:p>
            <w:pPr>
              <w:spacing w:after="0"/>
              <w:rPr>
                <w:sz w:val="24"/>
                <w:szCs w:val="24"/>
                <w:color w:val="auto"/>
              </w:rPr>
            </w:pPr>
          </w:p>
        </w:tc>
      </w:tr>
      <w:tr>
        <w:trPr>
          <w:trHeight w:val="385"/>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3"/>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July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PROGRAM</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Eligible Directors (as defined below) on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Exagen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 and equity compensation as set forth in this Amended and Restated Non-Employee Director Compensation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(each,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who may be eligible to receive such cash or equity compensation, unless such Eligible Director declines the receipt of such cash or equity compensation by written notice to the Company. Eligible Directors will include members of the Board who are designated by or affiliated with H.I.G. Capital, LLC (the “</w:t>
      </w:r>
      <w:r>
        <w:rPr>
          <w:rFonts w:ascii="Times New Roman" w:cs="Times New Roman" w:eastAsia="Times New Roman" w:hAnsi="Times New Roman"/>
          <w:sz w:val="20"/>
          <w:szCs w:val="20"/>
          <w:b w:val="1"/>
          <w:bCs w:val="1"/>
          <w:i w:val="1"/>
          <w:iCs w:val="1"/>
          <w:color w:val="auto"/>
        </w:rPr>
        <w:t>Affiliated Directors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19"/>
          <w:szCs w:val="19"/>
          <w:color w:val="auto"/>
        </w:rPr>
        <w:t>This Program shall become effective on July 15, 2025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63"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Eligible Director shall be eligible to receive an annual cash retainer of $50,000 for service</w:t>
      </w:r>
    </w:p>
    <w:p>
      <w:pPr>
        <w:spacing w:after="0" w:line="21"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Board.</w:t>
      </w:r>
    </w:p>
    <w:p>
      <w:pPr>
        <w:spacing w:after="0" w:line="207" w:lineRule="exact"/>
        <w:rPr>
          <w:rFonts w:ascii="Times New Roman" w:cs="Times New Roman" w:eastAsia="Times New Roman" w:hAnsi="Times New Roman"/>
          <w:sz w:val="20"/>
          <w:szCs w:val="20"/>
          <w:color w:val="auto"/>
        </w:rPr>
      </w:pPr>
    </w:p>
    <w:p>
      <w:pPr>
        <w:ind w:left="340" w:firstLine="964"/>
        <w:spacing w:after="0" w:line="269" w:lineRule="auto"/>
        <w:tabs>
          <w:tab w:leader="none" w:pos="19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An Eligible Director shall be eligible to receive the following additional annual retainers, as applicable:</w:t>
      </w:r>
    </w:p>
    <w:p>
      <w:pPr>
        <w:spacing w:after="0" w:line="172" w:lineRule="exact"/>
        <w:rPr>
          <w:rFonts w:ascii="Times New Roman" w:cs="Times New Roman" w:eastAsia="Times New Roman" w:hAnsi="Times New Roman"/>
          <w:sz w:val="20"/>
          <w:szCs w:val="20"/>
          <w:color w:val="auto"/>
        </w:rPr>
      </w:pPr>
    </w:p>
    <w:p>
      <w:pPr>
        <w:ind w:left="340" w:right="20" w:firstLine="1612"/>
        <w:spacing w:after="0" w:line="269" w:lineRule="auto"/>
        <w:tabs>
          <w:tab w:leader="none" w:pos="2385"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An Eligible Director serving as Chairman of the Board shall be eligible to receive an additional annual retainer of $20,000 for such service.</w:t>
      </w:r>
    </w:p>
    <w:p>
      <w:pPr>
        <w:spacing w:after="0" w:line="172" w:lineRule="exact"/>
        <w:rPr>
          <w:rFonts w:ascii="Times New Roman" w:cs="Times New Roman" w:eastAsia="Times New Roman" w:hAnsi="Times New Roman"/>
          <w:sz w:val="20"/>
          <w:szCs w:val="20"/>
          <w:color w:val="auto"/>
        </w:rPr>
      </w:pPr>
    </w:p>
    <w:p>
      <w:pPr>
        <w:jc w:val="both"/>
        <w:ind w:left="340" w:firstLine="1612"/>
        <w:spacing w:after="0" w:line="261" w:lineRule="auto"/>
        <w:tabs>
          <w:tab w:leader="none" w:pos="248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An Eligible Director serving as Chairperson of the Audit Committee shall be eligible to receive an additional annual retainer of $12,000 for such service. An Eligible Director serving as a member of the Audit Committee (other than the Chairperson) shall be eligible to receive an additional annual retainer of $7,500 for such service.</w:t>
      </w:r>
    </w:p>
    <w:p>
      <w:pPr>
        <w:spacing w:after="0" w:line="181" w:lineRule="exact"/>
        <w:rPr>
          <w:rFonts w:ascii="Times New Roman" w:cs="Times New Roman" w:eastAsia="Times New Roman" w:hAnsi="Times New Roman"/>
          <w:sz w:val="20"/>
          <w:szCs w:val="20"/>
          <w:color w:val="auto"/>
        </w:rPr>
      </w:pPr>
    </w:p>
    <w:p>
      <w:pPr>
        <w:jc w:val="both"/>
        <w:ind w:left="340" w:firstLine="1612"/>
        <w:spacing w:after="0" w:line="258" w:lineRule="auto"/>
        <w:tabs>
          <w:tab w:leader="none" w:pos="2468"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An Eligible Director serving as Chairperson of the Compensation Committee shall be eligible to receive an additional annual retainer of $10,000 for such service. An Eligible Director serving as a member of the Compensation Committee (other than the Chairperson) shall be eligible to receive an additional annual retainer of $7,500 for such service.</w:t>
      </w:r>
    </w:p>
    <w:p>
      <w:pPr>
        <w:spacing w:after="0" w:line="172" w:lineRule="exact"/>
        <w:rPr>
          <w:rFonts w:ascii="Times New Roman" w:cs="Times New Roman" w:eastAsia="Times New Roman" w:hAnsi="Times New Roman"/>
          <w:sz w:val="20"/>
          <w:szCs w:val="20"/>
          <w:color w:val="auto"/>
        </w:rPr>
      </w:pPr>
    </w:p>
    <w:p>
      <w:pPr>
        <w:jc w:val="both"/>
        <w:ind w:left="340" w:firstLine="1612"/>
        <w:spacing w:after="0" w:line="261" w:lineRule="auto"/>
        <w:tabs>
          <w:tab w:leader="none" w:pos="2668"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An Eligible Director serving as Chairperson of the Nominating and Corporate Governance Committee shall be eligible to receive an additional annual retainer of $9,000 for such service. An Eligible Director serving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5" w:name="page6"/>
    <w:bookmarkEnd w:id="5"/>
    <w:p>
      <w:pPr>
        <w:ind w:right="20"/>
        <w:spacing w:after="0" w:line="283" w:lineRule="auto"/>
        <w:rPr>
          <w:sz w:val="20"/>
          <w:szCs w:val="20"/>
          <w:color w:val="auto"/>
        </w:rPr>
      </w:pPr>
      <w:r>
        <w:rPr>
          <w:rFonts w:ascii="Times New Roman" w:cs="Times New Roman" w:eastAsia="Times New Roman" w:hAnsi="Times New Roman"/>
          <w:sz w:val="20"/>
          <w:szCs w:val="20"/>
          <w:color w:val="auto"/>
        </w:rPr>
        <w:t>member of the Nominating and Corporate Governance Committee (other than the Chairperson) shall be eligible to receive an additional annual retainer of $7,500 for such service.</w:t>
      </w:r>
    </w:p>
    <w:p>
      <w:pPr>
        <w:spacing w:after="0" w:line="146" w:lineRule="exact"/>
        <w:rPr>
          <w:sz w:val="20"/>
          <w:szCs w:val="20"/>
          <w:color w:val="auto"/>
        </w:rPr>
      </w:pPr>
    </w:p>
    <w:p>
      <w:pPr>
        <w:jc w:val="both"/>
        <w:ind w:firstLine="964"/>
        <w:spacing w:after="0" w:line="253" w:lineRule="auto"/>
        <w:tabs>
          <w:tab w:leader="none" w:pos="160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 With respect to each Affiliated Director, any such annual cash retainers shall, when payable, be paid to H.I.G. Capital, LLC.</w:t>
      </w:r>
    </w:p>
    <w:p>
      <w:pPr>
        <w:spacing w:after="0" w:line="192" w:lineRule="exact"/>
        <w:rPr>
          <w:rFonts w:ascii="Times New Roman" w:cs="Times New Roman" w:eastAsia="Times New Roman" w:hAnsi="Times New Roman"/>
          <w:sz w:val="20"/>
          <w:szCs w:val="20"/>
          <w:color w:val="auto"/>
        </w:rPr>
      </w:pPr>
    </w:p>
    <w:p>
      <w:pPr>
        <w:ind w:left="960" w:hanging="644"/>
        <w:spacing w:after="0"/>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964"/>
        <w:spacing w:after="0" w:line="253" w:lineRule="auto"/>
        <w:tabs>
          <w:tab w:leader="none" w:pos="160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Eligible Directors shall be granted the equity awards described below. The awards described below shall be granted under and shall be subject to the terms and provisions of the Company’s 2019 Incentive Award Plan or any other applicable Company equity incentive plan then-maintained by the Company (such plan, as may be amended from time to time,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192" w:lineRule="exact"/>
        <w:rPr>
          <w:rFonts w:ascii="Times New Roman" w:cs="Times New Roman" w:eastAsia="Times New Roman" w:hAnsi="Times New Roman"/>
          <w:sz w:val="20"/>
          <w:szCs w:val="20"/>
          <w:color w:val="auto"/>
        </w:rPr>
      </w:pPr>
    </w:p>
    <w:p>
      <w:pPr>
        <w:jc w:val="both"/>
        <w:ind w:firstLine="964"/>
        <w:spacing w:after="0" w:line="239" w:lineRule="auto"/>
        <w:tabs>
          <w:tab w:leader="none" w:pos="162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Eligible Director who is initially elected or appointed to serve on the Board after the Effective Date automatically shall be granted 7,500 Restricted Stock Units (“RSU”) of the Company’s common stock (the “</w:t>
      </w:r>
      <w:r>
        <w:rPr>
          <w:rFonts w:ascii="Times New Roman" w:cs="Times New Roman" w:eastAsia="Times New Roman" w:hAnsi="Times New Roman"/>
          <w:sz w:val="20"/>
          <w:szCs w:val="20"/>
          <w:b w:val="1"/>
          <w:bCs w:val="1"/>
          <w:i w:val="1"/>
          <w:iCs w:val="1"/>
          <w:color w:val="auto"/>
        </w:rPr>
        <w:t>Initial Equity Award</w:t>
      </w:r>
      <w:r>
        <w:rPr>
          <w:rFonts w:ascii="Times New Roman" w:cs="Times New Roman" w:eastAsia="Times New Roman" w:hAnsi="Times New Roman"/>
          <w:sz w:val="20"/>
          <w:szCs w:val="20"/>
          <w:color w:val="auto"/>
        </w:rPr>
        <w:t>”). The Initial Equity Award shall be granted on the date on which such Eligible Director is appointed or elected to serve on the Board, and shall vest as to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total number of shares on the one-year anniversary of the grant date and as to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total number of shares on each of the second, third and fourth anniversaries of the grant date thereafter, so that the RSU grant is fully vested on the fourth anniversary of the grant date, subject to such Eligible Director’s continued service through the applicable vesting date.</w:t>
      </w:r>
    </w:p>
    <w:p>
      <w:pPr>
        <w:spacing w:after="0" w:line="202" w:lineRule="exact"/>
        <w:rPr>
          <w:rFonts w:ascii="Times New Roman" w:cs="Times New Roman" w:eastAsia="Times New Roman" w:hAnsi="Times New Roman"/>
          <w:sz w:val="20"/>
          <w:szCs w:val="20"/>
          <w:color w:val="auto"/>
        </w:rPr>
      </w:pPr>
    </w:p>
    <w:p>
      <w:pPr>
        <w:jc w:val="both"/>
        <w:ind w:firstLine="964"/>
        <w:spacing w:after="0" w:line="266" w:lineRule="auto"/>
        <w:tabs>
          <w:tab w:leader="none" w:pos="1609"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Awards</w:t>
      </w:r>
      <w:r>
        <w:rPr>
          <w:rFonts w:ascii="Times New Roman" w:cs="Times New Roman" w:eastAsia="Times New Roman" w:hAnsi="Times New Roman"/>
          <w:sz w:val="19"/>
          <w:szCs w:val="19"/>
          <w:color w:val="auto"/>
        </w:rPr>
        <w:t>. An Eligible Director who is serving on the Board as of the date of the annual meeting of the Company’s stockholders (the “</w:t>
      </w:r>
      <w:r>
        <w:rPr>
          <w:rFonts w:ascii="Times New Roman" w:cs="Times New Roman" w:eastAsia="Times New Roman" w:hAnsi="Times New Roman"/>
          <w:sz w:val="19"/>
          <w:szCs w:val="19"/>
          <w:b w:val="1"/>
          <w:bCs w:val="1"/>
          <w:i w:val="1"/>
          <w:iCs w:val="1"/>
          <w:color w:val="auto"/>
        </w:rPr>
        <w:t>Annual Meeting</w:t>
      </w:r>
      <w:r>
        <w:rPr>
          <w:rFonts w:ascii="Times New Roman" w:cs="Times New Roman" w:eastAsia="Times New Roman" w:hAnsi="Times New Roman"/>
          <w:sz w:val="19"/>
          <w:szCs w:val="19"/>
          <w:color w:val="auto"/>
        </w:rPr>
        <w:t>”) each calendar year beginning with calendar year 2026 shall be granted, on such Annual Meeting date, an option to purchase 9,000 shares of the Company’s common stock except for an Eligible Director serving as Chairman of the Board, who shall be granted an option to purchase 13,500 shares of the Company’s common stock (an “</w:t>
      </w:r>
      <w:r>
        <w:rPr>
          <w:rFonts w:ascii="Times New Roman" w:cs="Times New Roman" w:eastAsia="Times New Roman" w:hAnsi="Times New Roman"/>
          <w:sz w:val="19"/>
          <w:szCs w:val="19"/>
          <w:b w:val="1"/>
          <w:bCs w:val="1"/>
          <w:i w:val="1"/>
          <w:iCs w:val="1"/>
          <w:color w:val="auto"/>
        </w:rPr>
        <w:t>Annual Award</w:t>
      </w:r>
      <w:r>
        <w:rPr>
          <w:rFonts w:ascii="Times New Roman" w:cs="Times New Roman" w:eastAsia="Times New Roman" w:hAnsi="Times New Roman"/>
          <w:sz w:val="19"/>
          <w:szCs w:val="19"/>
          <w:color w:val="auto"/>
        </w:rPr>
        <w:t>” and together with the Initial Equity Award, the “</w:t>
      </w:r>
      <w:r>
        <w:rPr>
          <w:rFonts w:ascii="Times New Roman" w:cs="Times New Roman" w:eastAsia="Times New Roman" w:hAnsi="Times New Roman"/>
          <w:sz w:val="19"/>
          <w:szCs w:val="19"/>
          <w:b w:val="1"/>
          <w:bCs w:val="1"/>
          <w:i w:val="1"/>
          <w:iCs w:val="1"/>
          <w:color w:val="auto"/>
        </w:rPr>
        <w:t>Director Equity Awards</w:t>
      </w:r>
      <w:r>
        <w:rPr>
          <w:rFonts w:ascii="Times New Roman" w:cs="Times New Roman" w:eastAsia="Times New Roman" w:hAnsi="Times New Roman"/>
          <w:sz w:val="19"/>
          <w:szCs w:val="19"/>
          <w:color w:val="auto"/>
        </w:rPr>
        <w:t>”). Each Annual Award shall vest in full on the earlier to occur of (i) the one-year anniversary of the applicable grant date and (ii) the date of the next Annual Meeting following the grant date, subject to continued service through the applicable vesting date. No Eligible Director shall be entitled to receive the Initial Equity Award and the Annual Award in the same calendar year. In such instance, an Eligible Director shall receive the Initial Equity Award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0"/>
          </w:cols>
          <w:pgMar w:left="660" w:top="1413" w:right="339" w:bottom="1440" w:gutter="0" w:footer="0" w:header="0"/>
        </w:sectPr>
      </w:pPr>
    </w:p>
    <w:bookmarkStart w:id="6" w:name="page7"/>
    <w:bookmarkEnd w:id="6"/>
    <w:p>
      <w:pPr>
        <w:ind w:left="340" w:firstLine="964"/>
        <w:spacing w:after="0" w:line="283" w:lineRule="auto"/>
        <w:tabs>
          <w:tab w:leader="none" w:pos="1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 Events</w:t>
      </w:r>
      <w:r>
        <w:rPr>
          <w:rFonts w:ascii="Times New Roman" w:cs="Times New Roman" w:eastAsia="Times New Roman" w:hAnsi="Times New Roman"/>
          <w:sz w:val="20"/>
          <w:szCs w:val="20"/>
          <w:color w:val="auto"/>
        </w:rPr>
        <w:t>. Notwithstanding the foregoing, an Eligible Director’s Director Equity Award(s) shall vest in full immediately prior to the occurrence of a Change in Control to the extent outstanding at such time.</w:t>
      </w:r>
    </w:p>
    <w:p>
      <w:pPr>
        <w:spacing w:after="0" w:line="146" w:lineRule="exact"/>
        <w:rPr>
          <w:rFonts w:ascii="Times New Roman" w:cs="Times New Roman" w:eastAsia="Times New Roman" w:hAnsi="Times New Roman"/>
          <w:sz w:val="20"/>
          <w:szCs w:val="20"/>
          <w:color w:val="auto"/>
        </w:rPr>
      </w:pPr>
    </w:p>
    <w:p>
      <w:pPr>
        <w:jc w:val="both"/>
        <w:ind w:left="340" w:firstLine="964"/>
        <w:spacing w:after="0" w:line="258" w:lineRule="auto"/>
        <w:tabs>
          <w:tab w:leader="none" w:pos="194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Post-Termination Exercise Period</w:t>
      </w:r>
      <w:r>
        <w:rPr>
          <w:rFonts w:ascii="Times New Roman" w:cs="Times New Roman" w:eastAsia="Times New Roman" w:hAnsi="Times New Roman"/>
          <w:sz w:val="20"/>
          <w:szCs w:val="20"/>
          <w:color w:val="auto"/>
        </w:rPr>
        <w:t>. Except as may otherwise be provided in the applicable award agreement, any portion of a Director Equity Award other than the Initial Equity Award, which vests and becomes exercisable will remain vested and exercisable until the earlier of the maximum term of the option and the one-year anniversary of the Eligible Director’s Termination of Service, unless such Termination of Service is for Cause.</w:t>
      </w:r>
    </w:p>
    <w:p>
      <w:pPr>
        <w:spacing w:after="0" w:line="186" w:lineRule="exact"/>
        <w:rPr>
          <w:sz w:val="20"/>
          <w:szCs w:val="20"/>
          <w:color w:val="auto"/>
        </w:rPr>
      </w:pPr>
    </w:p>
    <w:p>
      <w:pPr>
        <w:jc w:val="both"/>
        <w:ind w:firstLine="656"/>
        <w:spacing w:after="0" w:line="261" w:lineRule="auto"/>
        <w:tabs>
          <w:tab w:leader="none" w:pos="129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Limits</w:t>
      </w:r>
      <w:r>
        <w:rPr>
          <w:rFonts w:ascii="Times New Roman" w:cs="Times New Roman" w:eastAsia="Times New Roman" w:hAnsi="Times New Roman"/>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0467F"/>
        </w:rPr>
        <w:t>Exagen Inc. Appoints Chas McKhann to Board of Directors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spacing w:after="0" w:line="373" w:lineRule="auto"/>
        <w:rPr>
          <w:sz w:val="20"/>
          <w:szCs w:val="20"/>
          <w:color w:val="auto"/>
        </w:rPr>
      </w:pPr>
      <w:r>
        <w:rPr>
          <w:rFonts w:ascii="Times New Roman" w:cs="Times New Roman" w:eastAsia="Times New Roman" w:hAnsi="Times New Roman"/>
          <w:sz w:val="22"/>
          <w:szCs w:val="22"/>
          <w:color w:val="auto"/>
        </w:rPr>
        <w:t>Exagen Inc. (Nasdaq: XGN), a leading provider of innovative autoimmune testing solutions, announced today the appointment of Chas McKhann to its Board of Directors, effective July X, 2025.</w:t>
      </w:r>
    </w:p>
    <w:p>
      <w:pPr>
        <w:spacing w:after="0" w:line="64" w:lineRule="exact"/>
        <w:rPr>
          <w:sz w:val="20"/>
          <w:szCs w:val="20"/>
          <w:color w:val="auto"/>
        </w:rPr>
      </w:pPr>
    </w:p>
    <w:p>
      <w:pPr>
        <w:ind w:right="140"/>
        <w:spacing w:after="0" w:line="361" w:lineRule="auto"/>
        <w:rPr>
          <w:sz w:val="20"/>
          <w:szCs w:val="20"/>
          <w:color w:val="auto"/>
        </w:rPr>
      </w:pPr>
      <w:r>
        <w:rPr>
          <w:rFonts w:ascii="Times New Roman" w:cs="Times New Roman" w:eastAsia="Times New Roman" w:hAnsi="Times New Roman"/>
          <w:sz w:val="22"/>
          <w:szCs w:val="22"/>
          <w:color w:val="auto"/>
        </w:rPr>
        <w:t>Mr. McKhann is an accomplished leader with over 25 years of experience in the life sciences industry, including Board and C-suite positions leading turnaround and transformational growth at multiple medical technology companies. Most recently, Mr. McKhann served as Board member, President and CEO of Silk Road Medical, and prior to that, Apollo Endosurgery, both Nasdaq-listed companies acquired by Boston Scientific, resulting in significant shareholder returns. Previously, Mr. McKhann served as Chief Commercial Officer at Torax Medical and Intersect ENT. Mr. McKhann holds a B.A. in Political Science and an M.B.A. from Stanford University.</w:t>
      </w:r>
    </w:p>
    <w:p>
      <w:pPr>
        <w:spacing w:after="0" w:line="79" w:lineRule="exact"/>
        <w:rPr>
          <w:sz w:val="20"/>
          <w:szCs w:val="20"/>
          <w:color w:val="auto"/>
        </w:rPr>
      </w:pPr>
    </w:p>
    <w:p>
      <w:pPr>
        <w:ind w:right="120"/>
        <w:spacing w:after="0" w:line="372" w:lineRule="auto"/>
        <w:rPr>
          <w:sz w:val="20"/>
          <w:szCs w:val="20"/>
          <w:color w:val="auto"/>
        </w:rPr>
      </w:pPr>
      <w:r>
        <w:rPr>
          <w:rFonts w:ascii="Times New Roman" w:cs="Times New Roman" w:eastAsia="Times New Roman" w:hAnsi="Times New Roman"/>
          <w:sz w:val="22"/>
          <w:szCs w:val="22"/>
          <w:color w:val="auto"/>
        </w:rPr>
        <w:t>“I couldn’t be more excited to welcome Chas to the Board of Directors at Exagen. His exceptional leadership across multiple innovative life science companies and deep commercial expertise will be invaluable as we continue to drive growth and advance patient care,” said John Aballi, President and CEO of Exagen.</w:t>
      </w:r>
    </w:p>
    <w:p>
      <w:pPr>
        <w:spacing w:after="0" w:line="66" w:lineRule="exact"/>
        <w:rPr>
          <w:sz w:val="20"/>
          <w:szCs w:val="20"/>
          <w:color w:val="auto"/>
        </w:rPr>
      </w:pPr>
    </w:p>
    <w:p>
      <w:pPr>
        <w:ind w:right="100"/>
        <w:spacing w:after="0" w:line="366" w:lineRule="auto"/>
        <w:rPr>
          <w:sz w:val="20"/>
          <w:szCs w:val="20"/>
          <w:color w:val="auto"/>
        </w:rPr>
      </w:pPr>
      <w:r>
        <w:rPr>
          <w:rFonts w:ascii="Times New Roman" w:cs="Times New Roman" w:eastAsia="Times New Roman" w:hAnsi="Times New Roman"/>
          <w:sz w:val="22"/>
          <w:szCs w:val="22"/>
          <w:color w:val="auto"/>
        </w:rPr>
        <w:t>“I’m honored to join the Board of Directors at Exagen, a company transforming autoimmune diagnostics through innovation and dedication to patient care. I look forward to working alongside the leadership team and fellow board members to help drive strategic growth and create long-term value for patients, providers, and shareholders,” said Mr. McKhann.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Exagen Inc.</w:t>
      </w:r>
    </w:p>
    <w:p>
      <w:pPr>
        <w:spacing w:after="0" w:line="237" w:lineRule="exact"/>
        <w:rPr>
          <w:sz w:val="20"/>
          <w:szCs w:val="20"/>
          <w:color w:val="auto"/>
        </w:rPr>
      </w:pPr>
    </w:p>
    <w:p>
      <w:pPr>
        <w:ind w:right="20"/>
        <w:spacing w:after="0" w:line="439" w:lineRule="auto"/>
        <w:rPr>
          <w:sz w:val="20"/>
          <w:szCs w:val="20"/>
          <w:color w:val="auto"/>
        </w:rPr>
      </w:pPr>
      <w:r>
        <w:rPr>
          <w:rFonts w:ascii="Times New Roman" w:cs="Times New Roman" w:eastAsia="Times New Roman" w:hAnsi="Times New Roman"/>
          <w:sz w:val="22"/>
          <w:szCs w:val="22"/>
          <w:color w:val="auto"/>
        </w:rPr>
        <w:t>Exagen Inc. (Nasdaq: XGN) is a leading provider of autoimmune diagnostics, committed to transforming care for patients with chronic and debilitating autoimmune conditions. Based in San Diego County, California, Exagen’s mission is to provide clarity in autoimmune disease decision-making and improve clinical outcomes through its innovative testing portfolio. The company’s flagship product, AVISE® CTD, enables clinicians to more effectively diagnose complex autoimmune conditions such as lupus, rheumatoid arthritis, and Sjögren’s syndrome</w:t>
      </w:r>
    </w:p>
    <w:p>
      <w:pPr>
        <w:sectPr>
          <w:pgSz w:w="11900" w:h="16838" w:orient="portrait"/>
          <w:cols w:equalWidth="0" w:num="1">
            <w:col w:w="11240"/>
          </w:cols>
          <w:pgMar w:left="320" w:top="1409" w:right="339" w:bottom="1440" w:gutter="0" w:footer="0" w:header="0"/>
        </w:sectPr>
      </w:pPr>
    </w:p>
    <w:bookmarkStart w:id="8" w:name="page9"/>
    <w:bookmarkEnd w:id="8"/>
    <w:p>
      <w:pPr>
        <w:spacing w:after="0" w:line="77" w:lineRule="exact"/>
        <w:rPr>
          <w:sz w:val="20"/>
          <w:szCs w:val="20"/>
          <w:color w:val="auto"/>
        </w:rPr>
      </w:pPr>
    </w:p>
    <w:p>
      <w:pPr>
        <w:ind w:right="60"/>
        <w:spacing w:after="0" w:line="440" w:lineRule="auto"/>
        <w:rPr>
          <w:sz w:val="20"/>
          <w:szCs w:val="20"/>
          <w:color w:val="auto"/>
        </w:rPr>
      </w:pPr>
      <w:r>
        <w:rPr>
          <w:rFonts w:ascii="Times New Roman" w:cs="Times New Roman" w:eastAsia="Times New Roman" w:hAnsi="Times New Roman"/>
          <w:sz w:val="22"/>
          <w:szCs w:val="22"/>
          <w:color w:val="auto"/>
        </w:rPr>
        <w:t>earlier and with greater accuracy. Exagen’s laboratory specializes in the testing of rheumatic diseases, delivering precise and timely results, supported by a full suite of AVISE-branded tests for disease diagnosis, prognosis, and monitoring. With a focus on research, innovation, education, and patient-centered care, Exagen is dedicated to addressing the ongoing challenges of autoimmune disease management.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visit Exagen.com or follow @ExagenInc on X.</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129" w:lineRule="exact"/>
        <w:rPr>
          <w:sz w:val="20"/>
          <w:szCs w:val="20"/>
          <w:color w:val="auto"/>
        </w:rPr>
      </w:pPr>
    </w:p>
    <w:p>
      <w:pPr>
        <w:spacing w:after="0" w:line="357" w:lineRule="auto"/>
        <w:rPr>
          <w:sz w:val="20"/>
          <w:szCs w:val="20"/>
          <w:color w:val="auto"/>
        </w:rPr>
      </w:pPr>
      <w:r>
        <w:rPr>
          <w:rFonts w:ascii="Times New Roman" w:cs="Times New Roman" w:eastAsia="Times New Roman" w:hAnsi="Times New Roman"/>
          <w:sz w:val="22"/>
          <w:szCs w:val="22"/>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strategies and ambitions; potential future financial and business performance; the potential utility and effectiveness of Exagen’s services and testing solutions; the expected benefits of Mr. McKhann’s position with Exagen; potential shareholder value and growth and 2025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 interactions with regulatory authorities, and delays in ongoing and planned clinical trials involving its tests; Exagen’s commercial success depends upon attaining and maintaining significant market acceptance of its testing products among rheumatologists, patients, third-party payors and others in the medical community; Exagen’s ability to successfully execute on its business strategies;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2024, and any</w:t>
      </w:r>
    </w:p>
    <w:p>
      <w:pPr>
        <w:sectPr>
          <w:pgSz w:w="11900" w:h="16838" w:orient="portrait"/>
          <w:cols w:equalWidth="0" w:num="1">
            <w:col w:w="11240"/>
          </w:cols>
          <w:pgMar w:left="320" w:top="1440" w:right="339" w:bottom="1440" w:gutter="0" w:footer="0" w:header="0"/>
        </w:sectPr>
      </w:pPr>
    </w:p>
    <w:bookmarkStart w:id="9" w:name="page10"/>
    <w:bookmarkEnd w:id="9"/>
    <w:p>
      <w:pPr>
        <w:spacing w:after="0" w:line="36" w:lineRule="exact"/>
        <w:rPr>
          <w:sz w:val="20"/>
          <w:szCs w:val="20"/>
          <w:color w:val="auto"/>
        </w:rPr>
      </w:pPr>
    </w:p>
    <w:p>
      <w:pPr>
        <w:spacing w:after="0" w:line="367" w:lineRule="auto"/>
        <w:rPr>
          <w:sz w:val="20"/>
          <w:szCs w:val="20"/>
          <w:color w:val="auto"/>
        </w:rPr>
      </w:pPr>
      <w:r>
        <w:rPr>
          <w:rFonts w:ascii="Times New Roman" w:cs="Times New Roman" w:eastAsia="Times New Roman" w:hAnsi="Times New Roman"/>
          <w:sz w:val="22"/>
          <w:szCs w:val="22"/>
          <w:color w:val="auto"/>
        </w:rPr>
        <w:t>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Ryan Douglas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Exagen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ir@exagen.com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760.560.1525</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238E1F29"/>
    <w:multiLevelType w:val="hybridMultilevel"/>
    <w:lvl w:ilvl="0">
      <w:lvlJc w:val="left"/>
      <w:lvlText w:val="%1"/>
      <w:numFmt w:val="decimal"/>
      <w:start w:val="1"/>
    </w:lvl>
    <w:lvl w:ilvl="1">
      <w:lvlJc w:val="left"/>
      <w:lvlText w:val="%2."/>
      <w:numFmt w:val="lowerLetter"/>
      <w:start w:val="3"/>
    </w:lvl>
  </w:abstractNum>
  <w:abstractNum w:abstractNumId="3">
    <w:nsid w:val="46E87CCD"/>
    <w:multiLevelType w:val="hybridMultilevel"/>
    <w:lvl w:ilvl="0">
      <w:lvlJc w:val="left"/>
      <w:lvlText w:val="%1."/>
      <w:numFmt w:val="decimal"/>
      <w:start w:val="2"/>
    </w:lvl>
    <w:lvl w:ilvl="1">
      <w:lvlJc w:val="left"/>
      <w:lvlText w:val="%2."/>
      <w:numFmt w:val="lowerLetter"/>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2025-07-17T15:36:30Z</dcterms:created>
  <dcterms:modified xsi:type="dcterms:W3CDTF">2025-07-17T15:36:30Z</dcterms:modified>
</cp:coreProperties>
</file>