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September 21, 2020</w:t>
      </w:r>
    </w:p>
    <w:p>
      <w:pPr>
        <w:spacing w:after="0" w:line="17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EXAGEN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40"/>
          </w:cols>
          <w:pgMar w:left="320" w:top="1253" w:right="339" w:bottom="1440" w:gutter="0" w:footer="0" w:header="0"/>
        </w:sectPr>
      </w:pPr>
    </w:p>
    <w:p>
      <w:pPr>
        <w:spacing w:after="0" w:line="309" w:lineRule="exact"/>
        <w:rPr>
          <w:sz w:val="24"/>
          <w:szCs w:val="24"/>
          <w:color w:val="auto"/>
        </w:rPr>
      </w:pPr>
    </w:p>
    <w:p>
      <w:pPr>
        <w:ind w:left="188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89"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7"/>
          <w:szCs w:val="17"/>
          <w:b w:val="1"/>
          <w:bCs w:val="1"/>
          <w:color w:val="auto"/>
        </w:rPr>
        <w:t>001-39049</w:t>
      </w:r>
    </w:p>
    <w:p>
      <w:pPr>
        <w:spacing w:after="0" w:line="20" w:lineRule="exact"/>
        <w:rPr>
          <w:sz w:val="24"/>
          <w:szCs w:val="24"/>
          <w:color w:val="auto"/>
        </w:rPr>
      </w:pPr>
      <w:r>
        <w:rPr>
          <w:sz w:val="24"/>
          <w:szCs w:val="24"/>
          <w:color w:val="auto"/>
        </w:rPr>
        <w:br w:type="column"/>
      </w:r>
    </w:p>
    <w:p>
      <w:pPr>
        <w:spacing w:after="0" w:line="28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20-0434866</w:t>
      </w:r>
    </w:p>
    <w:p>
      <w:pPr>
        <w:spacing w:after="0" w:line="61" w:lineRule="exact"/>
        <w:rPr>
          <w:sz w:val="24"/>
          <w:szCs w:val="24"/>
          <w:color w:val="auto"/>
        </w:rPr>
      </w:pPr>
    </w:p>
    <w:p>
      <w:pPr>
        <w:sectPr>
          <w:pgSz w:w="11900" w:h="16838" w:orient="portrait"/>
          <w:cols w:equalWidth="0" w:num="3">
            <w:col w:w="4620" w:space="720"/>
            <w:col w:w="2620" w:space="720"/>
            <w:col w:w="2560"/>
          </w:cols>
          <w:pgMar w:left="320" w:top="1253" w:right="339" w:bottom="1440" w:gutter="0" w:footer="0" w:header="0"/>
          <w:type w:val="continuous"/>
        </w:sectPr>
      </w:pPr>
    </w:p>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spacing w:after="0" w:line="19"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600" w:space="720"/>
            <w:col w:w="2520" w:space="720"/>
            <w:col w:w="2680"/>
          </w:cols>
          <w:pgMar w:left="320" w:top="1253" w:right="339" w:bottom="1440" w:gutter="0" w:footer="0" w:header="0"/>
          <w:type w:val="continuous"/>
        </w:sectPr>
      </w:pP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1261 Liberty Way</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Vista, CA 92081</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(760) 560-1501</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include area code)</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ectPr>
          <w:pgSz w:w="11900" w:h="16838" w:orient="portrait"/>
          <w:cols w:equalWidth="0" w:num="1">
            <w:col w:w="11240"/>
          </w:cols>
          <w:pgMar w:left="320" w:top="1253" w:right="339" w:bottom="1440" w:gutter="0" w:footer="0" w:header="0"/>
          <w:type w:val="continuous"/>
        </w:sectPr>
      </w:pPr>
    </w:p>
    <w:p>
      <w:pPr>
        <w:spacing w:after="0" w:line="16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13"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80"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80"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80"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318"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222"/>
        </w:trPr>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60" w:type="dxa"/>
            <w:vAlign w:val="bottom"/>
          </w:tcPr>
          <w:p>
            <w:pPr>
              <w:spacing w:after="0"/>
              <w:rPr>
                <w:sz w:val="19"/>
                <w:szCs w:val="19"/>
                <w:color w:val="auto"/>
              </w:rPr>
            </w:pPr>
          </w:p>
        </w:tc>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60" w:type="dxa"/>
            <w:vAlign w:val="bottom"/>
          </w:tcPr>
          <w:p>
            <w:pPr>
              <w:spacing w:after="0"/>
              <w:rPr>
                <w:sz w:val="19"/>
                <w:szCs w:val="19"/>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242"/>
        </w:trPr>
        <w:tc>
          <w:tcPr>
            <w:tcW w:w="38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Common Stock, par value $0.001 per share</w:t>
            </w:r>
          </w:p>
        </w:tc>
        <w:tc>
          <w:tcPr>
            <w:tcW w:w="38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XGN</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The Nasdaq Global Market</w:t>
            </w:r>
          </w:p>
        </w:tc>
      </w:tr>
    </w:tbl>
    <w:p>
      <w:pPr>
        <w:spacing w:after="0" w:line="202" w:lineRule="exact"/>
        <w:rPr>
          <w:sz w:val="24"/>
          <w:szCs w:val="24"/>
          <w:color w:val="auto"/>
        </w:rPr>
      </w:pPr>
    </w:p>
    <w:p>
      <w:pPr>
        <w:ind w:right="60"/>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7"/>
          <w:szCs w:val="17"/>
          <w:color w:val="auto"/>
        </w:rPr>
        <w:t>☒</w:t>
      </w:r>
    </w:p>
    <w:p>
      <w:pPr>
        <w:spacing w:after="0" w:line="229" w:lineRule="exact"/>
        <w:rPr>
          <w:sz w:val="24"/>
          <w:szCs w:val="24"/>
          <w:color w:val="auto"/>
        </w:rPr>
      </w:pPr>
    </w:p>
    <w:p>
      <w:pPr>
        <w:ind w:right="580"/>
        <w:spacing w:after="0" w:line="21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ectPr>
          <w:pgSz w:w="11900" w:h="16838" w:orient="portrait"/>
          <w:cols w:equalWidth="0" w:num="1">
            <w:col w:w="11240"/>
          </w:cols>
          <w:pgMar w:left="320" w:top="1253" w:right="339" w:bottom="1440" w:gutter="0" w:footer="0" w:header="0"/>
          <w:type w:val="continuous"/>
        </w:sectPr>
      </w:pPr>
    </w:p>
    <w:bookmarkStart w:id="1" w:name="page2"/>
    <w:bookmarkEnd w:id="1"/>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0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On September 21, 2020, upon recommendation of the Nominating and Corporate Governance Committee of the Board of Directors (the "Board") of Exagen Inc. (the "Company"), and pursuant to the bylaws of the Company, the Board approved an increase in its authorized size from eight members to nine members and appointed Wendy Johnson to fill the vacancy created by such increase and serve as a Class III director, with an initial term expiring at the Company's 2022 annual meeting of stockholders. The increase and appointment will be effective as of October 1, 2020. In connection with her appointment to the Board, Ms. Johnson was also appointed to the Audit Committee of the Board, effective as of October 1, 2020. Following Ms. Johnson's appointment, the Audit Committee will consist of Jeff Elliott, Wendy Johnson and Tina S. Nova, Ph.D.</w:t>
      </w:r>
    </w:p>
    <w:p>
      <w:pPr>
        <w:spacing w:after="0" w:line="13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Wendy Johnson is currently the Chief Operating Officer of Reneo Pharmaceuticals where she is responsible for day-to-day operations, and was instrumental in setting up the company’s UK corporate entity. Ms. Johnson was previously the Interim Chief Operating Officer of AmpliPhi Biosciences Corporation from September 2014 to January 2017, and a member of its board of directors from May 2014 until its merger with C3J Therapeutics (Armata Pharmaceuticals) in May 2019. From 2005 to January 2014, Ms. Johnson served as a venture partner at ProQuest Investments, a venture capital firm. From 2006 to January 2014, Ms. Johnson served as the President and Chief Executive Officer of Aires Pharmaceuticals, a ProQuest portfolio company, until its sale to MAST Therapeutics in 2014. Prior to joining ProQuest, she held senior business and corporate development positions at Salmedix Inc., WomenFirst Healthcare, Prizm Pharmaceuticals (Selective Genetics Inc.), Cytel Corp., Synbiotics Corp., and Murex Corp. (Cambridge U.K.). Additionally, Ms. Johnson served as Assistant Director with the Center for Devices and Radiological Health at the U.S. Food and Drug Administration. Ms. Johnson is also presently on the Board of Directors of MorphoSys AG, one of the oldest biotechnology companies in Europe. Ms. Johnson received an M.B.A. from Loyola University Maryland, her M.S. in Clinical Microbiology from the Hahnemann Medical School, and her B.S. in Microbiology from the University of Maryland.</w:t>
      </w:r>
    </w:p>
    <w:p>
      <w:pPr>
        <w:spacing w:after="0" w:line="13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Pursuant to the Company's non-employee director compensation program, on the effective date of Ms. Johnson's appointment to the Board, she will be granted an option to purchase 15,000 shares of the Company's common stock with an exercise price equal to the fair market value of the common stock on the date of grant, which will vest over three years in equal installments on each monthly anniversary of the grant date, subject to her continuing service on the Board through the applicable vesting date. Ms. Johnson will also receive cash compensation for her service on the Board in accordance with the non-employee director compensation program, which is filed as Exhibit 10.42 to the Company's Annual Report on Form 10-K, filed with the SEC on March 25, 2020. Ms. Johnson will enter into the Company's standard indemnification agreement for directors, the form of which was filed as Exhibit 10.38 to the Company's Annual Report on Form 10-K, filed with the SEC on March 25, 2020.</w:t>
      </w:r>
    </w:p>
    <w:p>
      <w:pPr>
        <w:spacing w:after="0" w:line="13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There is no arrangement or understanding between Ms. Johnson and any other person pursuant to which Ms. Johnson was appointed as a director. Ms. Johnson is not a party to any transaction that would require disclosure under Item 404(a) of Regulation S-K promulgated under the Securities Act of 1933, as amended. The Board has determined that Ms. Johnson is an independent director in accordance with the listing requirements of the Nasdaq Global Market.</w:t>
      </w:r>
    </w:p>
    <w:p>
      <w:pPr>
        <w:sectPr>
          <w:pgSz w:w="11900" w:h="16838" w:orient="portrait"/>
          <w:cols w:equalWidth="0" w:num="1">
            <w:col w:w="11220"/>
          </w:cols>
          <w:pgMar w:left="320" w:top="1332" w:right="35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7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EXAGEN INC.</w:t>
      </w:r>
    </w:p>
    <w:p>
      <w:pPr>
        <w:spacing w:after="0" w:line="333" w:lineRule="exact"/>
        <w:rPr>
          <w:sz w:val="20"/>
          <w:szCs w:val="20"/>
          <w:color w:val="auto"/>
        </w:rPr>
      </w:pPr>
    </w:p>
    <w:p>
      <w:pPr>
        <w:ind w:left="20"/>
        <w:spacing w:after="0"/>
        <w:tabs>
          <w:tab w:leader="none" w:pos="5200" w:val="left"/>
          <w:tab w:leader="none" w:pos="5780" w:val="left"/>
        </w:tabs>
        <w:rPr>
          <w:sz w:val="20"/>
          <w:szCs w:val="20"/>
          <w:color w:val="auto"/>
        </w:rPr>
      </w:pPr>
      <w:r>
        <w:rPr>
          <w:rFonts w:ascii="Times New Roman" w:cs="Times New Roman" w:eastAsia="Times New Roman" w:hAnsi="Times New Roman"/>
          <w:sz w:val="18"/>
          <w:szCs w:val="18"/>
          <w:color w:val="auto"/>
        </w:rPr>
        <w:t>Date: September 23, 2020</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Kamal Adawi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34290</wp:posOffset>
            </wp:positionV>
            <wp:extent cx="28371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5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Kamal Adawi</w:t>
      </w:r>
    </w:p>
    <w:p>
      <w:pPr>
        <w:spacing w:after="0" w:line="6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200"/>
      </w:cols>
      <w:pgMar w:left="320" w:top="1093"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2020-09-23T15:09:19Z</dcterms:created>
  <dcterms:modified xsi:type="dcterms:W3CDTF">2020-09-23T15:09:19Z</dcterms:modified>
</cp:coreProperties>
</file>