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Arial;sans-serif" w:hAnsi="Arial;sans-serif"/>
          <w:b/>
          <w:color w:val="000000"/>
          <w:sz w:val="28"/>
        </w:rPr>
      </w:pPr>
      <w:r>
        <w:rPr>
          <w:rFonts w:ascii="Arial;sans-serif" w:hAnsi="Arial;sans-serif"/>
          <w:b/>
          <w:color w:val="000000"/>
          <w:sz w:val="28"/>
        </w:rPr>
        <w:t>UNITED STATES</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spacing w:lineRule="auto" w:line="288" w:before="0" w:after="0"/>
        <w:jc w:val="center"/>
        <w:rPr>
          <w:color w:val="000000"/>
        </w:rPr>
      </w:pPr>
      <w:r>
        <w:rPr>
          <w:color w:val="000000"/>
        </w:rPr>
        <w:t> </w:t>
      </w:r>
    </w:p>
    <w:tbl>
      <w:tblPr>
        <w:tblW w:w="8115" w:type="dxa"/>
        <w:jc w:val="center"/>
        <w:tblInd w:w="0" w:type="dxa"/>
        <w:tblCellMar>
          <w:top w:w="28" w:type="dxa"/>
          <w:left w:w="28" w:type="dxa"/>
          <w:bottom w:w="28" w:type="dxa"/>
          <w:right w:w="28" w:type="dxa"/>
        </w:tblCellMar>
      </w:tblPr>
      <w:tblGrid>
        <w:gridCol w:w="960"/>
        <w:gridCol w:w="848"/>
        <w:gridCol w:w="848"/>
        <w:gridCol w:w="848"/>
        <w:gridCol w:w="848"/>
        <w:gridCol w:w="848"/>
        <w:gridCol w:w="848"/>
        <w:gridCol w:w="848"/>
        <w:gridCol w:w="1219"/>
      </w:tblGrid>
      <w:tr>
        <w:trPr/>
        <w:tc>
          <w:tcPr>
            <w:tcW w:w="960"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r>
      <w:tr>
        <w:trPr/>
        <w:tc>
          <w:tcPr>
            <w:tcW w:w="2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8"/>
              </w:rPr>
            </w:pPr>
            <w:r>
              <w:rPr>
                <w:rFonts w:ascii="Arial;sans-serif" w:hAnsi="Arial;sans-serif"/>
                <w:b/>
                <w:color w:val="000000"/>
                <w:sz w:val="28"/>
              </w:rPr>
              <w:t>SCHEDULE 14A</w:t>
            </w:r>
          </w:p>
        </w:tc>
      </w:tr>
      <w:tr>
        <w:trPr/>
        <w:tc>
          <w:tcPr>
            <w:tcW w:w="2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Proxy Statement Pursuant to Section 14(a) of the Securities Exchange Act of 1934 (Amendment No. )</w:t>
            </w:r>
          </w:p>
        </w:tc>
      </w:tr>
      <w:tr>
        <w:trPr/>
        <w:tc>
          <w:tcPr>
            <w:tcW w:w="2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8940" w:type="dxa"/>
        <w:jc w:val="center"/>
        <w:tblInd w:w="0" w:type="dxa"/>
        <w:tblCellMar>
          <w:top w:w="28" w:type="dxa"/>
          <w:left w:w="28" w:type="dxa"/>
          <w:bottom w:w="28" w:type="dxa"/>
          <w:right w:w="28" w:type="dxa"/>
        </w:tblCellMar>
      </w:tblPr>
      <w:tblGrid>
        <w:gridCol w:w="906"/>
        <w:gridCol w:w="792"/>
        <w:gridCol w:w="792"/>
        <w:gridCol w:w="1872"/>
        <w:gridCol w:w="1872"/>
        <w:gridCol w:w="2706"/>
      </w:tblGrid>
      <w:tr>
        <w:trPr/>
        <w:tc>
          <w:tcPr>
            <w:tcW w:w="906"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2706" w:type="dxa"/>
            <w:tcBorders/>
            <w:shd w:fill="auto" w:val="clear"/>
            <w:vAlign w:val="center"/>
          </w:tcPr>
          <w:p>
            <w:pPr>
              <w:pStyle w:val="TableContents"/>
              <w:spacing w:before="0" w:after="283"/>
              <w:rPr>
                <w:sz w:val="4"/>
                <w:szCs w:val="4"/>
              </w:rPr>
            </w:pPr>
            <w:r>
              <w:rPr>
                <w:sz w:val="4"/>
                <w:szCs w:val="4"/>
              </w:rPr>
            </w:r>
          </w:p>
        </w:tc>
      </w:tr>
      <w:tr>
        <w:trPr/>
        <w:tc>
          <w:tcPr>
            <w:tcW w:w="894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Filed by the Registrant ☒ Filed by a Party other than the Registrant ☐</w:t>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4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Check the appropriate box:</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Preliminary Proxy Statement</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Confidential, for Use of the Commission Only (as permitted by Rule 14a-6(e)(2))</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Definitive Proxy Statement</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Definitive Additional Materials</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Soliciting Material under §240.14a-12</w:t>
            </w:r>
          </w:p>
        </w:tc>
      </w:tr>
    </w:tbl>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Exagen Inc.</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(Name of Registrant as Specified In Its Charter)</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(Name of Person(s) Filing Proxy Statement, if other than the Registrant)</w:t>
      </w:r>
    </w:p>
    <w:p>
      <w:pPr>
        <w:pStyle w:val="TextBody"/>
        <w:spacing w:before="0" w:after="0"/>
        <w:jc w:val="center"/>
        <w:rPr/>
      </w:pPr>
      <w:r>
        <w:rPr/>
      </w:r>
    </w:p>
    <w:tbl>
      <w:tblPr>
        <w:tblW w:w="8800" w:type="dxa"/>
        <w:jc w:val="left"/>
        <w:tblInd w:w="0" w:type="dxa"/>
        <w:tblCellMar>
          <w:top w:w="28" w:type="dxa"/>
          <w:left w:w="28" w:type="dxa"/>
          <w:bottom w:w="28" w:type="dxa"/>
          <w:right w:w="28" w:type="dxa"/>
        </w:tblCellMar>
      </w:tblPr>
      <w:tblGrid>
        <w:gridCol w:w="461"/>
        <w:gridCol w:w="405"/>
        <w:gridCol w:w="405"/>
        <w:gridCol w:w="1174"/>
        <w:gridCol w:w="1174"/>
        <w:gridCol w:w="1174"/>
        <w:gridCol w:w="1174"/>
        <w:gridCol w:w="1174"/>
        <w:gridCol w:w="1659"/>
      </w:tblGrid>
      <w:tr>
        <w:trPr/>
        <w:tc>
          <w:tcPr>
            <w:tcW w:w="46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r>
      <w:tr>
        <w:trPr/>
        <w:tc>
          <w:tcPr>
            <w:tcW w:w="880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Filing Fee (Check all boxes that apply):</w:t>
            </w:r>
          </w:p>
        </w:tc>
      </w:tr>
      <w:tr>
        <w:trPr/>
        <w:tc>
          <w:tcPr>
            <w:tcW w:w="12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52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 fee required.</w:t>
            </w:r>
          </w:p>
        </w:tc>
      </w:tr>
      <w:tr>
        <w:trPr/>
        <w:tc>
          <w:tcPr>
            <w:tcW w:w="12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52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 paid previously with preliminary materials.</w:t>
            </w:r>
          </w:p>
        </w:tc>
      </w:tr>
      <w:tr>
        <w:trPr/>
        <w:tc>
          <w:tcPr>
            <w:tcW w:w="12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52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 computed on table in exhibit required by Item 25(b) per Exchange Act Rules 14a-6(i)(1) and 0-11.</w:t>
            </w:r>
          </w:p>
        </w:tc>
      </w:tr>
    </w:tbl>
    <w:p>
      <w:pPr>
        <w:pStyle w:val="TextBody"/>
        <w:spacing w:before="0" w:after="0"/>
        <w:rPr/>
      </w:pPr>
      <w:r>
        <w:rPr/>
      </w:r>
    </w:p>
    <w:p>
      <w:pPr>
        <w:pStyle w:val="TextBody"/>
        <w:spacing w:before="0" w:after="0"/>
        <w:jc w:val="center"/>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before="0" w:after="0"/>
        <w:jc w:val="center"/>
        <w:rPr/>
      </w:pPr>
      <w:r>
        <w:rPr/>
        <w:drawing>
          <wp:inline distT="0" distB="63500" distL="0" distR="0">
            <wp:extent cx="1790700" cy="7143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790700" cy="714375"/>
                    </a:xfrm>
                    <a:prstGeom prst="rect">
                      <a:avLst/>
                    </a:prstGeom>
                  </pic:spPr>
                </pic:pic>
              </a:graphicData>
            </a:graphic>
          </wp:inline>
        </w:drawing>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2023 ANNUAL MEETING OF STOCKHOLDERS</w: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June 9, 2023</w:t>
      </w:r>
    </w:p>
    <w:p>
      <w:pPr>
        <w:pStyle w:val="TextBody"/>
        <w:spacing w:before="0" w:after="0"/>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EXAGEN INC.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1261 LIBERTY WAY, VISTA, CALIFORNIA 92081</w: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April 28, 2023</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Dear Stockholder:</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You are cordially invited to attend the Annual Meeting of Stockholders (the "Annual Meeting") of Exagen Inc., a Delaware corporation (the "Company"). The Annual Meeting is to be held on June 9, 2023 at 8:00 a.m. Pacific Time in the Exagen Administrative Offices, Training Room, 2175 Salk Avenue, 3rd Floor, Carlsbad, California 92008. </w:t>
      </w:r>
    </w:p>
    <w:p>
      <w:pPr>
        <w:pStyle w:val="TextBody"/>
        <w:spacing w:before="0" w:after="0"/>
        <w:rPr/>
      </w:pPr>
      <w:r>
        <w:rPr/>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that is being sent to you.</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Notice of Annual Meeting of Stockholders and proxy statement on the following pages describe the matters to be presented at the Annual Meeting. Please see the section entitled "Who Can Attend the Annual Meeting of Stockholders?" of the proxy statement for more information about how to attend the meeting in person. We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Whether or not you attend the Annual Meeting, it is important that your shares be represented and voted at the Annual Meeting. Therefore, we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our Notice of Internet Availability of Proxy Materials, the instructions regarding how you can access your proxy materials and vote are contained in that notice. If you have received written proxy materials, the instructions regarding how you can access our proxy materials and vote are contained on the proxy card. If you decide to attend the Annual Meeting, you will be able to vote in person, even if you have previously submitted your proxy. If you hold your shares through a bank or broker, you will need a proxy from your bank or broker to vote your shares in person at the Annual Meeting.</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Thank you for your support.</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Sincerely,</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/s/ John Aballi</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John Aballi</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President, Chief Executive Officer and Director</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Vista, California</w:t>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drawing>
          <wp:inline distT="0" distB="63500" distL="0" distR="0">
            <wp:extent cx="1714500" cy="6667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714500" cy="666750"/>
                    </a:xfrm>
                    <a:prstGeom prst="rect">
                      <a:avLst/>
                    </a:prstGeom>
                  </pic:spPr>
                </pic:pic>
              </a:graphicData>
            </a:graphic>
          </wp:inline>
        </w:drawing>
      </w:r>
    </w:p>
    <w:p>
      <w:pPr>
        <w:pStyle w:val="TextBody"/>
        <w:spacing w:lineRule="auto" w:line="288" w:before="0" w:after="0"/>
        <w:rPr>
          <w:rFonts w:ascii="Arial;sans-serif" w:hAnsi="Arial;sans-serif"/>
          <w:b/>
          <w:color w:val="000000"/>
          <w:sz w:val="18"/>
        </w:rPr>
      </w:pPr>
      <w:r>
        <w:rPr>
          <w:rFonts w:ascii="Arial;sans-serif" w:hAnsi="Arial;sans-serif"/>
          <w:b/>
          <w:color w:val="000000"/>
          <w:sz w:val="18"/>
        </w:rPr>
        <w:t>Notice of Annual Meeting of Stockholders</w:t>
      </w:r>
    </w:p>
    <w:p>
      <w:pPr>
        <w:pStyle w:val="TextBody"/>
        <w:spacing w:before="0" w:after="0"/>
        <w:rPr/>
      </w:pPr>
      <w:r>
        <w:rPr/>
      </w:r>
    </w:p>
    <w:p>
      <w:pPr>
        <w:pStyle w:val="TextBody"/>
        <w:spacing w:lineRule="auto" w:line="288" w:before="0" w:after="60"/>
        <w:rPr>
          <w:rFonts w:ascii="Arial;sans-serif" w:hAnsi="Arial;sans-serif"/>
          <w:b/>
          <w:color w:val="000000"/>
          <w:sz w:val="18"/>
        </w:rPr>
      </w:pPr>
      <w:r>
        <w:rPr>
          <w:rFonts w:ascii="Arial;sans-serif" w:hAnsi="Arial;sans-serif"/>
          <w:b/>
          <w:color w:val="000000"/>
          <w:sz w:val="18"/>
        </w:rPr>
        <w:t>To be Held Friday, June 9, 2023</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Arial;sans-serif" w:hAnsi="Arial;sans-serif"/>
          <w:b/>
          <w:color w:val="000000"/>
          <w:sz w:val="18"/>
        </w:rPr>
      </w:pPr>
      <w:r>
        <w:rPr>
          <w:rFonts w:ascii="Arial;sans-serif" w:hAnsi="Arial;sans-serif"/>
          <w:b/>
          <w:color w:val="000000"/>
          <w:sz w:val="18"/>
        </w:rPr>
        <w:t>EXAGEN INC.</w:t>
      </w:r>
    </w:p>
    <w:p>
      <w:pPr>
        <w:pStyle w:val="TextBody"/>
        <w:spacing w:lineRule="auto" w:line="288" w:before="0" w:after="60"/>
        <w:rPr>
          <w:rFonts w:ascii="Arial;sans-serif" w:hAnsi="Arial;sans-serif"/>
          <w:b/>
          <w:color w:val="000000"/>
          <w:sz w:val="18"/>
        </w:rPr>
      </w:pPr>
      <w:r>
        <w:rPr>
          <w:rFonts w:ascii="Arial;sans-serif" w:hAnsi="Arial;sans-serif"/>
          <w:b/>
          <w:color w:val="000000"/>
          <w:sz w:val="18"/>
        </w:rPr>
        <w:t>1261 LIBERTY WAY, VISTA, CALIFORNIA 92081</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Annual Meeting of Stockholders (the "Annual Meeting") of Exagen Inc. will be held in the Exagen Administrative Offices, Training Room, 2175 Salk Avenue, 3rd Floor, Carlsbad, California 92008 on Friday, June 9, 2023, at 8:00 a.m. Pacific Time, for the following purposes:</w:t>
      </w:r>
    </w:p>
    <w:p>
      <w:pPr>
        <w:pStyle w:val="TextBody"/>
        <w:spacing w:lineRule="auto" w:line="288" w:before="180" w:after="283"/>
        <w:ind w:left="0" w:right="0" w:hanging="360"/>
        <w:rPr>
          <w:rFonts w:ascii="Arial;sans-serif" w:hAnsi="Arial;sans-serif"/>
          <w:b w:val="false"/>
          <w:color w:val="000000"/>
          <w:sz w:val="18"/>
        </w:rPr>
      </w:pPr>
      <w:r>
        <w:rPr>
          <w:rFonts w:ascii="Arial;sans-serif" w:hAnsi="Arial;sans-serif"/>
          <w:b w:val="false"/>
          <w:color w:val="000000"/>
          <w:sz w:val="18"/>
        </w:rPr>
        <w:t>1.To elect three directors to serve as Class I directors for a three-year term expiring at the 2026 Annual Meeting of Stockholders and until their respective successors shall have been duly elected and qualified;</w:t>
      </w:r>
    </w:p>
    <w:p>
      <w:pPr>
        <w:pStyle w:val="TextBody"/>
        <w:spacing w:lineRule="auto" w:line="288" w:before="180" w:after="283"/>
        <w:ind w:left="0" w:right="0" w:hanging="360"/>
        <w:rPr>
          <w:rFonts w:ascii="Arial;sans-serif" w:hAnsi="Arial;sans-serif"/>
          <w:b w:val="false"/>
          <w:color w:val="000000"/>
          <w:sz w:val="18"/>
        </w:rPr>
      </w:pPr>
      <w:r>
        <w:rPr>
          <w:rFonts w:ascii="Arial;sans-serif" w:hAnsi="Arial;sans-serif"/>
          <w:b w:val="false"/>
          <w:color w:val="000000"/>
          <w:sz w:val="18"/>
        </w:rPr>
        <w:t>2.To ratify the appointment of BDO USA, LLP as our independent registered public accounting firm for the fiscal year ending December 31, 2023; and</w:t>
      </w:r>
    </w:p>
    <w:p>
      <w:pPr>
        <w:pStyle w:val="TextBody"/>
        <w:spacing w:lineRule="auto" w:line="288" w:before="180" w:after="283"/>
        <w:ind w:left="0" w:right="0" w:hanging="360"/>
        <w:rPr>
          <w:rFonts w:ascii="Arial;sans-serif" w:hAnsi="Arial;sans-serif"/>
          <w:b w:val="false"/>
          <w:color w:val="000000"/>
          <w:sz w:val="18"/>
        </w:rPr>
      </w:pPr>
      <w:r>
        <w:rPr>
          <w:rFonts w:ascii="Arial;sans-serif" w:hAnsi="Arial;sans-serif"/>
          <w:b w:val="false"/>
          <w:color w:val="000000"/>
          <w:sz w:val="18"/>
        </w:rPr>
        <w:t>3.To transact such other business as may properly come before the Annual Meeting or any continuation, postponement or adjournment of the Annual Meeting.</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 xml:space="preserve">We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of Proxy Materials that is being sent to you.</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The foregoing items of business are more fully described in the attached proxy statement, which forms a part of this notice and is incorporated herein by reference. Holders of record of our common stock as of the close of business on April 18, 2023 are entitled to notice of and to vote at the Annual Meeting, or any continuation, postponement or adjournment of the Annual Meeting. </w:t>
      </w:r>
    </w:p>
    <w:p>
      <w:pPr>
        <w:pStyle w:val="TextBody"/>
        <w:spacing w:lineRule="auto" w:line="288" w:before="180" w:after="283"/>
        <w:rPr>
          <w:rFonts w:ascii="Arial;sans-serif" w:hAnsi="Arial;sans-serif"/>
          <w:b/>
          <w:color w:val="000000"/>
          <w:sz w:val="18"/>
        </w:rPr>
      </w:pPr>
      <w:r>
        <w:rPr>
          <w:rFonts w:ascii="Arial;sans-serif" w:hAnsi="Arial;sans-serif"/>
          <w:b/>
          <w:color w:val="000000"/>
          <w:sz w:val="18"/>
        </w:rPr>
        <w:t>It is important that your shares be represented regardless of the number of shares you may hold. Whether or not you plan to attend the Annual Meeting in person, we urge you to vote your shares as soon as possible via the toll-free telephone number or over the Internet, as described in the enclosed proxy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For specific voting instructions, please refer to the information provided in the accompanying proxy statement and in the Notice of Internet Availability of Proxy Materials.</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We appreciate your continued support of the Company.</w:t>
      </w:r>
    </w:p>
    <w:p>
      <w:pPr>
        <w:pStyle w:val="TextBody"/>
        <w:spacing w:before="120" w:after="283"/>
        <w:rPr/>
      </w:pPr>
      <w:r>
        <w:rPr/>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By Order of the Board of Directors,</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/s/ John Aballi</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John Aballi</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President, Chief Executive Officer and Director</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Vista, California</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April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spacing w:lineRule="auto" w:line="288" w:before="0" w:after="0"/>
        <w:rPr>
          <w:color w:val="000000"/>
        </w:rPr>
      </w:pPr>
      <w:r>
        <w:rPr>
          <w:color w:val="000000"/>
        </w:rPr>
        <w:t> </w:t>
      </w:r>
    </w:p>
    <w:tbl>
      <w:tblPr>
        <w:tblW w:w="8338" w:type="dxa"/>
        <w:jc w:val="left"/>
        <w:tblInd w:w="0" w:type="dxa"/>
        <w:tblCellMar>
          <w:top w:w="28" w:type="dxa"/>
          <w:left w:w="28" w:type="dxa"/>
          <w:bottom w:w="28" w:type="dxa"/>
          <w:right w:w="28" w:type="dxa"/>
        </w:tblCellMar>
      </w:tblPr>
      <w:tblGrid>
        <w:gridCol w:w="124"/>
        <w:gridCol w:w="109"/>
        <w:gridCol w:w="109"/>
        <w:gridCol w:w="2454"/>
        <w:gridCol w:w="2454"/>
        <w:gridCol w:w="2502"/>
        <w:gridCol w:w="171"/>
        <w:gridCol w:w="171"/>
        <w:gridCol w:w="24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3">
              <w:r>
                <w:rPr>
                  <w:rStyle w:val="InternetLink"/>
                  <w:rFonts w:ascii="Arial;sans-serif" w:hAnsi="Arial;sans-serif"/>
                  <w:b/>
                  <w:color w:val="0000FF"/>
                  <w:sz w:val="18"/>
                  <w:u w:val="single"/>
                </w:rPr>
                <w:t>General</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3">
              <w:r>
                <w:rPr>
                  <w:rStyle w:val="InternetLink"/>
                  <w:rFonts w:ascii="Arial;sans-serif" w:hAnsi="Arial;sans-serif"/>
                  <w:b w:val="false"/>
                  <w:color w:val="0000FF"/>
                  <w:sz w:val="18"/>
                  <w:u w:val="single"/>
                </w:rPr>
                <w:t>1</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6">
              <w:r>
                <w:rPr>
                  <w:rStyle w:val="InternetLink"/>
                  <w:rFonts w:ascii="Arial;sans-serif" w:hAnsi="Arial;sans-serif"/>
                  <w:b w:val="false"/>
                  <w:color w:val="0000FF"/>
                  <w:sz w:val="18"/>
                  <w:u w:val="single"/>
                </w:rPr>
                <w:t>Proposals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6">
              <w:r>
                <w:rPr>
                  <w:rStyle w:val="InternetLink"/>
                  <w:rFonts w:ascii="Arial;sans-serif" w:hAnsi="Arial;sans-serif"/>
                  <w:b w:val="false"/>
                  <w:color w:val="0000FF"/>
                  <w:sz w:val="18"/>
                  <w:u w:val="single"/>
                </w:rPr>
                <w:t>1</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9">
              <w:r>
                <w:rPr>
                  <w:rStyle w:val="InternetLink"/>
                  <w:rFonts w:ascii="Arial;sans-serif" w:hAnsi="Arial;sans-serif"/>
                  <w:b w:val="false"/>
                  <w:color w:val="0000FF"/>
                  <w:sz w:val="18"/>
                  <w:u w:val="single"/>
                </w:rPr>
                <w:t>Recommendations of the Board</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9">
              <w:r>
                <w:rPr>
                  <w:rStyle w:val="InternetLink"/>
                  <w:rFonts w:ascii="Arial;sans-serif" w:hAnsi="Arial;sans-serif"/>
                  <w:b w:val="false"/>
                  <w:color w:val="0000FF"/>
                  <w:sz w:val="18"/>
                  <w:u w:val="single"/>
                </w:rPr>
                <w:t>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22">
              <w:r>
                <w:rPr>
                  <w:rStyle w:val="InternetLink"/>
                  <w:rFonts w:ascii="Arial;sans-serif" w:hAnsi="Arial;sans-serif"/>
                  <w:b w:val="false"/>
                  <w:color w:val="0000FF"/>
                  <w:sz w:val="18"/>
                  <w:u w:val="single"/>
                </w:rPr>
                <w:t>Information About This Proxy Statement</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22">
              <w:r>
                <w:rPr>
                  <w:rStyle w:val="InternetLink"/>
                  <w:rFonts w:ascii="Arial;sans-serif" w:hAnsi="Arial;sans-serif"/>
                  <w:b w:val="false"/>
                  <w:color w:val="0000FF"/>
                  <w:sz w:val="18"/>
                  <w:u w:val="single"/>
                </w:rPr>
                <w:t>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25">
              <w:r>
                <w:rPr>
                  <w:rStyle w:val="InternetLink"/>
                  <w:rFonts w:ascii="Arial;sans-serif" w:hAnsi="Arial;sans-serif"/>
                  <w:b/>
                  <w:color w:val="0000FF"/>
                  <w:sz w:val="18"/>
                  <w:u w:val="single"/>
                </w:rPr>
                <w:t>Questions and Answers About Annual Meeting of Stockholders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25">
              <w:r>
                <w:rPr>
                  <w:rStyle w:val="InternetLink"/>
                  <w:rFonts w:ascii="Arial;sans-serif" w:hAnsi="Arial;sans-serif"/>
                  <w:b w:val="false"/>
                  <w:color w:val="0000FF"/>
                  <w:sz w:val="18"/>
                  <w:u w:val="single"/>
                </w:rPr>
                <w:t>3</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28">
              <w:r>
                <w:rPr>
                  <w:rStyle w:val="InternetLink"/>
                  <w:rFonts w:ascii="Arial;sans-serif" w:hAnsi="Arial;sans-serif"/>
                  <w:b/>
                  <w:color w:val="0000FF"/>
                  <w:sz w:val="18"/>
                  <w:u w:val="single"/>
                </w:rPr>
                <w:t>Proposals to be Voted On</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28">
              <w:r>
                <w:rPr>
                  <w:rStyle w:val="InternetLink"/>
                  <w:rFonts w:ascii="Arial;sans-serif" w:hAnsi="Arial;sans-serif"/>
                  <w:b w:val="false"/>
                  <w:color w:val="0000FF"/>
                  <w:sz w:val="18"/>
                  <w:u w:val="single"/>
                </w:rPr>
                <w:t>7</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31">
              <w:r>
                <w:rPr>
                  <w:rStyle w:val="InternetLink"/>
                  <w:rFonts w:ascii="Arial;sans-serif" w:hAnsi="Arial;sans-serif"/>
                  <w:b w:val="false"/>
                  <w:color w:val="0000FF"/>
                  <w:sz w:val="18"/>
                  <w:u w:val="single"/>
                </w:rPr>
                <w:t>Proposal 1: Election of Directors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31">
              <w:r>
                <w:rPr>
                  <w:rStyle w:val="InternetLink"/>
                  <w:rFonts w:ascii="Arial;sans-serif" w:hAnsi="Arial;sans-serif"/>
                  <w:b w:val="false"/>
                  <w:color w:val="0000FF"/>
                  <w:sz w:val="18"/>
                  <w:u w:val="single"/>
                </w:rPr>
                <w:t>7</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34">
              <w:r>
                <w:rPr>
                  <w:rStyle w:val="InternetLink"/>
                  <w:rFonts w:ascii="Arial;sans-serif" w:hAnsi="Arial;sans-serif"/>
                  <w:b w:val="false"/>
                  <w:color w:val="0000FF"/>
                  <w:sz w:val="18"/>
                  <w:u w:val="single"/>
                </w:rPr>
                <w:t>Proposal 2: Ratification of Appointment of Independent Registered Public Accounting Firm</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34">
              <w:r>
                <w:rPr>
                  <w:rStyle w:val="InternetLink"/>
                  <w:rFonts w:ascii="Arial;sans-serif" w:hAnsi="Arial;sans-serif"/>
                  <w:b w:val="false"/>
                  <w:color w:val="0000FF"/>
                  <w:sz w:val="18"/>
                  <w:u w:val="single"/>
                </w:rPr>
                <w:t>11</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37">
              <w:r>
                <w:rPr>
                  <w:rStyle w:val="InternetLink"/>
                  <w:rFonts w:ascii="Arial;sans-serif" w:hAnsi="Arial;sans-serif"/>
                  <w:b/>
                  <w:color w:val="0000FF"/>
                  <w:sz w:val="18"/>
                  <w:u w:val="single"/>
                </w:rPr>
                <w:t>Independent Registered Public Accounting Firm Fees and Other Matters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37">
              <w:r>
                <w:rPr>
                  <w:rStyle w:val="InternetLink"/>
                  <w:rFonts w:ascii="Arial;sans-serif" w:hAnsi="Arial;sans-serif"/>
                  <w:b w:val="false"/>
                  <w:color w:val="0000FF"/>
                  <w:sz w:val="18"/>
                  <w:u w:val="single"/>
                </w:rPr>
                <w:t>11</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40">
              <w:r>
                <w:rPr>
                  <w:rStyle w:val="InternetLink"/>
                  <w:rFonts w:ascii="Arial;sans-serif" w:hAnsi="Arial;sans-serif"/>
                  <w:b w:val="false"/>
                  <w:color w:val="0000FF"/>
                  <w:sz w:val="18"/>
                  <w:u w:val="single"/>
                </w:rPr>
                <w:t>Audit Fees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40">
              <w:r>
                <w:rPr>
                  <w:rStyle w:val="InternetLink"/>
                  <w:rFonts w:ascii="Arial;sans-serif" w:hAnsi="Arial;sans-serif"/>
                  <w:b w:val="false"/>
                  <w:color w:val="0000FF"/>
                  <w:sz w:val="18"/>
                  <w:u w:val="single"/>
                </w:rPr>
                <w:t>11</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43">
              <w:r>
                <w:rPr>
                  <w:rStyle w:val="InternetLink"/>
                  <w:rFonts w:ascii="Arial;sans-serif" w:hAnsi="Arial;sans-serif"/>
                  <w:b w:val="false"/>
                  <w:color w:val="0000FF"/>
                  <w:sz w:val="18"/>
                  <w:u w:val="single"/>
                </w:rPr>
                <w:t>Audit Committee Pre-Approval of Audit and Non-Audit Services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43">
              <w:r>
                <w:rPr>
                  <w:rStyle w:val="InternetLink"/>
                  <w:rFonts w:ascii="Arial;sans-serif" w:hAnsi="Arial;sans-serif"/>
                  <w:b w:val="false"/>
                  <w:color w:val="0000FF"/>
                  <w:sz w:val="18"/>
                  <w:u w:val="single"/>
                </w:rPr>
                <w:t>12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46">
              <w:r>
                <w:rPr>
                  <w:rStyle w:val="InternetLink"/>
                  <w:rFonts w:ascii="Arial;sans-serif" w:hAnsi="Arial;sans-serif"/>
                  <w:b/>
                  <w:color w:val="0000FF"/>
                  <w:sz w:val="18"/>
                  <w:u w:val="single"/>
                </w:rPr>
                <w:t>Report of the Audit Committee of the Board</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46">
              <w:r>
                <w:rPr>
                  <w:rStyle w:val="InternetLink"/>
                  <w:rFonts w:ascii="Arial;sans-serif" w:hAnsi="Arial;sans-serif"/>
                  <w:b w:val="false"/>
                  <w:color w:val="0000FF"/>
                  <w:sz w:val="18"/>
                  <w:u w:val="single"/>
                </w:rPr>
                <w:t>13</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49">
              <w:r>
                <w:rPr>
                  <w:rStyle w:val="InternetLink"/>
                  <w:rFonts w:ascii="Arial;sans-serif" w:hAnsi="Arial;sans-serif"/>
                  <w:b/>
                  <w:color w:val="0000FF"/>
                  <w:sz w:val="18"/>
                  <w:u w:val="single"/>
                </w:rPr>
                <w:t>Executive Officers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49">
              <w:r>
                <w:rPr>
                  <w:rStyle w:val="InternetLink"/>
                  <w:rFonts w:ascii="Arial;sans-serif" w:hAnsi="Arial;sans-serif"/>
                  <w:b w:val="false"/>
                  <w:color w:val="0000FF"/>
                  <w:sz w:val="18"/>
                  <w:u w:val="single"/>
                </w:rPr>
                <w:t>14</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52">
              <w:r>
                <w:rPr>
                  <w:rStyle w:val="InternetLink"/>
                  <w:rFonts w:ascii="Arial;sans-serif" w:hAnsi="Arial;sans-serif"/>
                  <w:b/>
                  <w:color w:val="0000FF"/>
                  <w:sz w:val="18"/>
                  <w:u w:val="single"/>
                </w:rPr>
                <w:t>Corporate Governance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52">
              <w:r>
                <w:rPr>
                  <w:rStyle w:val="InternetLink"/>
                  <w:rFonts w:ascii="Arial;sans-serif" w:hAnsi="Arial;sans-serif"/>
                  <w:b w:val="false"/>
                  <w:color w:val="0000FF"/>
                  <w:sz w:val="18"/>
                  <w:u w:val="single"/>
                </w:rPr>
                <w:t>14</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55">
              <w:r>
                <w:rPr>
                  <w:rStyle w:val="InternetLink"/>
                  <w:rFonts w:ascii="Arial;sans-serif" w:hAnsi="Arial;sans-serif"/>
                  <w:b w:val="false"/>
                  <w:color w:val="0000FF"/>
                  <w:sz w:val="18"/>
                  <w:u w:val="single"/>
                </w:rPr>
                <w:t>General</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55">
              <w:r>
                <w:rPr>
                  <w:rStyle w:val="InternetLink"/>
                  <w:rFonts w:ascii="Arial;sans-serif" w:hAnsi="Arial;sans-serif"/>
                  <w:b w:val="false"/>
                  <w:color w:val="0000FF"/>
                  <w:sz w:val="18"/>
                  <w:u w:val="single"/>
                </w:rPr>
                <w:t>14</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58">
              <w:r>
                <w:rPr>
                  <w:rStyle w:val="InternetLink"/>
                  <w:rFonts w:ascii="Arial;sans-serif" w:hAnsi="Arial;sans-serif"/>
                  <w:b w:val="false"/>
                  <w:color w:val="0000FF"/>
                  <w:sz w:val="18"/>
                  <w:u w:val="single"/>
                </w:rPr>
                <w:t>Director Independence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58">
              <w:r>
                <w:rPr>
                  <w:rStyle w:val="InternetLink"/>
                  <w:rFonts w:ascii="Arial;sans-serif" w:hAnsi="Arial;sans-serif"/>
                  <w:b w:val="false"/>
                  <w:color w:val="0000FF"/>
                  <w:sz w:val="18"/>
                  <w:u w:val="single"/>
                </w:rPr>
                <w:t>14</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61">
              <w:r>
                <w:rPr>
                  <w:rStyle w:val="InternetLink"/>
                  <w:rFonts w:ascii="Arial;sans-serif" w:hAnsi="Arial;sans-serif"/>
                  <w:b w:val="false"/>
                  <w:color w:val="0000FF"/>
                  <w:sz w:val="18"/>
                  <w:u w:val="single"/>
                </w:rPr>
                <w:t>Board Diversity and Director Nomination Process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61">
              <w:r>
                <w:rPr>
                  <w:rStyle w:val="InternetLink"/>
                  <w:rFonts w:ascii="Arial;sans-serif" w:hAnsi="Arial;sans-serif"/>
                  <w:b w:val="false"/>
                  <w:color w:val="0000FF"/>
                  <w:sz w:val="18"/>
                  <w:u w:val="single"/>
                </w:rPr>
                <w:t>15</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64">
              <w:r>
                <w:rPr>
                  <w:rStyle w:val="InternetLink"/>
                  <w:rFonts w:ascii="Arial;sans-serif" w:hAnsi="Arial;sans-serif"/>
                  <w:b w:val="false"/>
                  <w:color w:val="0000FF"/>
                  <w:sz w:val="18"/>
                  <w:u w:val="single"/>
                </w:rPr>
                <w:t>Identification and Evaluation of Nominees for Directors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64">
              <w:r>
                <w:rPr>
                  <w:rStyle w:val="InternetLink"/>
                  <w:rFonts w:ascii="Arial;sans-serif" w:hAnsi="Arial;sans-serif"/>
                  <w:b w:val="false"/>
                  <w:color w:val="0000FF"/>
                  <w:sz w:val="18"/>
                  <w:u w:val="single"/>
                </w:rPr>
                <w:t>16</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67">
              <w:r>
                <w:rPr>
                  <w:rStyle w:val="InternetLink"/>
                  <w:rFonts w:ascii="Arial;sans-serif" w:hAnsi="Arial;sans-serif"/>
                  <w:b w:val="false"/>
                  <w:color w:val="0000FF"/>
                  <w:sz w:val="18"/>
                  <w:u w:val="single"/>
                </w:rPr>
                <w:t>Communications from Stockholders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67">
              <w:r>
                <w:rPr>
                  <w:rStyle w:val="InternetLink"/>
                  <w:rFonts w:ascii="Arial;sans-serif" w:hAnsi="Arial;sans-serif"/>
                  <w:b w:val="false"/>
                  <w:color w:val="0000FF"/>
                  <w:sz w:val="18"/>
                  <w:u w:val="single"/>
                </w:rPr>
                <w:t>17</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70">
              <w:r>
                <w:rPr>
                  <w:rStyle w:val="InternetLink"/>
                  <w:rFonts w:ascii="Arial;sans-serif" w:hAnsi="Arial;sans-serif"/>
                  <w:b w:val="false"/>
                  <w:color w:val="0000FF"/>
                  <w:sz w:val="18"/>
                  <w:u w:val="single"/>
                </w:rPr>
                <w:t>Director Attendance at Annual Meetings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70">
              <w:r>
                <w:rPr>
                  <w:rStyle w:val="InternetLink"/>
                  <w:rFonts w:ascii="Arial;sans-serif" w:hAnsi="Arial;sans-serif"/>
                  <w:b w:val="false"/>
                  <w:color w:val="0000FF"/>
                  <w:sz w:val="18"/>
                  <w:u w:val="single"/>
                </w:rPr>
                <w:t>17</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76">
              <w:r>
                <w:rPr>
                  <w:rStyle w:val="InternetLink"/>
                  <w:rFonts w:ascii="Arial;sans-serif" w:hAnsi="Arial;sans-serif"/>
                  <w:b w:val="false"/>
                  <w:color w:val="0000FF"/>
                  <w:sz w:val="18"/>
                  <w:u w:val="single"/>
                </w:rPr>
                <w:t>Board Leadership Structure and Role in Risk Oversight</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76">
              <w:r>
                <w:rPr>
                  <w:rStyle w:val="InternetLink"/>
                  <w:rFonts w:ascii="Arial;sans-serif" w:hAnsi="Arial;sans-serif"/>
                  <w:b w:val="false"/>
                  <w:color w:val="0000FF"/>
                  <w:sz w:val="18"/>
                  <w:u w:val="single"/>
                </w:rPr>
                <w:t>17</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79">
              <w:r>
                <w:rPr>
                  <w:rStyle w:val="InternetLink"/>
                  <w:rFonts w:ascii="Arial;sans-serif" w:hAnsi="Arial;sans-serif"/>
                  <w:b w:val="false"/>
                  <w:color w:val="0000FF"/>
                  <w:sz w:val="18"/>
                  <w:u w:val="single"/>
                </w:rPr>
                <w:t>Annual Board Evaluation</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79">
              <w:r>
                <w:rPr>
                  <w:rStyle w:val="InternetLink"/>
                  <w:rFonts w:ascii="Arial;sans-serif" w:hAnsi="Arial;sans-serif"/>
                  <w:b w:val="false"/>
                  <w:color w:val="0000FF"/>
                  <w:sz w:val="18"/>
                  <w:u w:val="single"/>
                </w:rPr>
                <w:t>18</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82">
              <w:r>
                <w:rPr>
                  <w:rStyle w:val="InternetLink"/>
                  <w:rFonts w:ascii="Arial;sans-serif" w:hAnsi="Arial;sans-serif"/>
                  <w:b w:val="false"/>
                  <w:color w:val="0000FF"/>
                  <w:sz w:val="18"/>
                  <w:u w:val="single"/>
                </w:rPr>
                <w:t>Code of Ethics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82">
              <w:r>
                <w:rPr>
                  <w:rStyle w:val="InternetLink"/>
                  <w:rFonts w:ascii="Arial;sans-serif" w:hAnsi="Arial;sans-serif"/>
                  <w:b w:val="false"/>
                  <w:color w:val="0000FF"/>
                  <w:sz w:val="18"/>
                  <w:u w:val="single"/>
                </w:rPr>
                <w:t>18</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85">
              <w:r>
                <w:rPr>
                  <w:rStyle w:val="InternetLink"/>
                  <w:rFonts w:ascii="Arial;sans-serif" w:hAnsi="Arial;sans-serif"/>
                  <w:b w:val="false"/>
                  <w:color w:val="0000FF"/>
                  <w:sz w:val="18"/>
                  <w:u w:val="single"/>
                </w:rPr>
                <w:t>Policy Prohibiting Hedging</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85">
              <w:r>
                <w:rPr>
                  <w:rStyle w:val="InternetLink"/>
                  <w:rFonts w:ascii="Arial;sans-serif" w:hAnsi="Arial;sans-serif"/>
                  <w:b w:val="false"/>
                  <w:color w:val="0000FF"/>
                  <w:sz w:val="18"/>
                  <w:u w:val="single"/>
                </w:rPr>
                <w:t>18</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88">
              <w:r>
                <w:rPr>
                  <w:rStyle w:val="InternetLink"/>
                  <w:rFonts w:ascii="Arial;sans-serif" w:hAnsi="Arial;sans-serif"/>
                  <w:b w:val="false"/>
                  <w:color w:val="0000FF"/>
                  <w:sz w:val="18"/>
                  <w:u w:val="single"/>
                </w:rPr>
                <w:t>Attendance by Members of the Board of Directors at Meetings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88">
              <w:r>
                <w:rPr>
                  <w:rStyle w:val="InternetLink"/>
                  <w:rFonts w:ascii="Arial;sans-serif" w:hAnsi="Arial;sans-serif"/>
                  <w:b w:val="false"/>
                  <w:color w:val="0000FF"/>
                  <w:sz w:val="18"/>
                  <w:u w:val="single"/>
                </w:rPr>
                <w:t>18</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91">
              <w:r>
                <w:rPr>
                  <w:rStyle w:val="InternetLink"/>
                  <w:rFonts w:ascii="Arial;sans-serif" w:hAnsi="Arial;sans-serif"/>
                  <w:b/>
                  <w:color w:val="0000FF"/>
                  <w:sz w:val="18"/>
                  <w:u w:val="single"/>
                </w:rPr>
                <w:t>Committees of the Board and Independence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91">
              <w:r>
                <w:rPr>
                  <w:rStyle w:val="InternetLink"/>
                  <w:rFonts w:ascii="Arial;sans-serif" w:hAnsi="Arial;sans-serif"/>
                  <w:b w:val="false"/>
                  <w:color w:val="0000FF"/>
                  <w:sz w:val="18"/>
                  <w:u w:val="single"/>
                </w:rPr>
                <w:t>18</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94">
              <w:r>
                <w:rPr>
                  <w:rStyle w:val="InternetLink"/>
                  <w:rFonts w:ascii="Arial;sans-serif" w:hAnsi="Arial;sans-serif"/>
                  <w:b w:val="false"/>
                  <w:color w:val="0000FF"/>
                  <w:sz w:val="18"/>
                  <w:u w:val="single"/>
                </w:rPr>
                <w:t>Audit Committee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94">
              <w:r>
                <w:rPr>
                  <w:rStyle w:val="InternetLink"/>
                  <w:rFonts w:ascii="Arial;sans-serif" w:hAnsi="Arial;sans-serif"/>
                  <w:b w:val="false"/>
                  <w:color w:val="0000FF"/>
                  <w:sz w:val="18"/>
                  <w:u w:val="single"/>
                </w:rPr>
                <w:t>19</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97">
              <w:r>
                <w:rPr>
                  <w:rStyle w:val="InternetLink"/>
                  <w:rFonts w:ascii="Arial;sans-serif" w:hAnsi="Arial;sans-serif"/>
                  <w:b w:val="false"/>
                  <w:color w:val="0000FF"/>
                  <w:sz w:val="18"/>
                  <w:u w:val="single"/>
                </w:rPr>
                <w:t>Compensation Committee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97">
              <w:r>
                <w:rPr>
                  <w:rStyle w:val="InternetLink"/>
                  <w:rFonts w:ascii="Arial;sans-serif" w:hAnsi="Arial;sans-serif"/>
                  <w:b w:val="false"/>
                  <w:color w:val="0000FF"/>
                  <w:sz w:val="18"/>
                  <w:u w:val="single"/>
                </w:rPr>
                <w:t>19</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00">
              <w:r>
                <w:rPr>
                  <w:rStyle w:val="InternetLink"/>
                  <w:rFonts w:ascii="Arial;sans-serif" w:hAnsi="Arial;sans-serif"/>
                  <w:b w:val="false"/>
                  <w:color w:val="0000FF"/>
                  <w:sz w:val="18"/>
                  <w:u w:val="single"/>
                </w:rPr>
                <w:t>Nominating and Corporate Governance Committee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00">
              <w:r>
                <w:rPr>
                  <w:rStyle w:val="InternetLink"/>
                  <w:rFonts w:ascii="Arial;sans-serif" w:hAnsi="Arial;sans-serif"/>
                  <w:b w:val="false"/>
                  <w:color w:val="0000FF"/>
                  <w:sz w:val="18"/>
                  <w:u w:val="single"/>
                </w:rPr>
                <w:t>20</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03">
              <w:r>
                <w:rPr>
                  <w:rStyle w:val="InternetLink"/>
                  <w:rFonts w:ascii="Arial;sans-serif" w:hAnsi="Arial;sans-serif"/>
                  <w:b/>
                  <w:color w:val="0000FF"/>
                  <w:sz w:val="18"/>
                  <w:u w:val="single"/>
                </w:rPr>
                <w:t>Environmental, Social and Governance Matters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03">
              <w:r>
                <w:rPr>
                  <w:rStyle w:val="InternetLink"/>
                  <w:rFonts w:ascii="Arial;sans-serif" w:hAnsi="Arial;sans-serif"/>
                  <w:b w:val="false"/>
                  <w:color w:val="0000FF"/>
                  <w:sz w:val="18"/>
                  <w:u w:val="single"/>
                </w:rPr>
                <w:t>20</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06">
              <w:r>
                <w:rPr>
                  <w:rStyle w:val="InternetLink"/>
                  <w:rFonts w:ascii="Arial;sans-serif" w:hAnsi="Arial;sans-serif"/>
                  <w:b/>
                  <w:color w:val="0000FF"/>
                  <w:sz w:val="18"/>
                  <w:u w:val="single"/>
                </w:rPr>
                <w:t>Executive and Director Compensation</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06">
              <w:r>
                <w:rPr>
                  <w:rStyle w:val="InternetLink"/>
                  <w:rFonts w:ascii="Arial;sans-serif" w:hAnsi="Arial;sans-serif"/>
                  <w:b w:val="false"/>
                  <w:color w:val="0000FF"/>
                  <w:sz w:val="18"/>
                  <w:u w:val="single"/>
                </w:rPr>
                <w:t>22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09">
              <w:r>
                <w:rPr>
                  <w:rStyle w:val="InternetLink"/>
                  <w:rFonts w:ascii="Arial;sans-serif" w:hAnsi="Arial;sans-serif"/>
                  <w:b w:val="false"/>
                  <w:color w:val="0000FF"/>
                  <w:sz w:val="18"/>
                  <w:u w:val="single"/>
                </w:rPr>
                <w:t>Summary Compensation Table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09">
              <w:r>
                <w:rPr>
                  <w:rStyle w:val="InternetLink"/>
                  <w:rFonts w:ascii="Arial;sans-serif" w:hAnsi="Arial;sans-serif"/>
                  <w:b w:val="false"/>
                  <w:color w:val="0000FF"/>
                  <w:sz w:val="18"/>
                  <w:u w:val="single"/>
                </w:rPr>
                <w:t>22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12">
              <w:r>
                <w:rPr>
                  <w:rStyle w:val="InternetLink"/>
                  <w:rFonts w:ascii="Arial;sans-serif" w:hAnsi="Arial;sans-serif"/>
                  <w:b w:val="false"/>
                  <w:color w:val="0000FF"/>
                  <w:sz w:val="18"/>
                  <w:u w:val="single"/>
                </w:rPr>
                <w:t>Narrative Disclosure to Summary Compensation Table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12">
              <w:r>
                <w:rPr>
                  <w:rStyle w:val="InternetLink"/>
                  <w:rFonts w:ascii="Arial;sans-serif" w:hAnsi="Arial;sans-serif"/>
                  <w:b w:val="false"/>
                  <w:color w:val="0000FF"/>
                  <w:sz w:val="18"/>
                  <w:u w:val="single"/>
                </w:rPr>
                <w:t>23</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15">
              <w:r>
                <w:rPr>
                  <w:rStyle w:val="InternetLink"/>
                  <w:rFonts w:ascii="Arial;sans-serif" w:hAnsi="Arial;sans-serif"/>
                  <w:b w:val="false"/>
                  <w:color w:val="0000FF"/>
                  <w:sz w:val="18"/>
                  <w:u w:val="single"/>
                </w:rPr>
                <w:t>Outstanding Equity Awards at Fiscal Year-End Table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15">
              <w:r>
                <w:rPr>
                  <w:rStyle w:val="InternetLink"/>
                  <w:rFonts w:ascii="Arial;sans-serif" w:hAnsi="Arial;sans-serif"/>
                  <w:b w:val="false"/>
                  <w:color w:val="0000FF"/>
                  <w:sz w:val="18"/>
                  <w:u w:val="single"/>
                </w:rPr>
                <w:t>28</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18">
              <w:r>
                <w:rPr>
                  <w:rStyle w:val="InternetLink"/>
                  <w:rFonts w:ascii="Arial;sans-serif" w:hAnsi="Arial;sans-serif"/>
                  <w:b w:val="false"/>
                  <w:color w:val="0000FF"/>
                  <w:sz w:val="18"/>
                  <w:u w:val="single"/>
                </w:rPr>
                <w:t>Director Compensation</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18">
              <w:r>
                <w:rPr>
                  <w:rStyle w:val="InternetLink"/>
                  <w:rFonts w:ascii="Arial;sans-serif" w:hAnsi="Arial;sans-serif"/>
                  <w:b w:val="false"/>
                  <w:color w:val="0000FF"/>
                  <w:sz w:val="18"/>
                  <w:u w:val="single"/>
                </w:rPr>
                <w:t>30</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21">
              <w:r>
                <w:rPr>
                  <w:rStyle w:val="InternetLink"/>
                  <w:rFonts w:ascii="Arial;sans-serif" w:hAnsi="Arial;sans-serif"/>
                  <w:b/>
                  <w:color w:val="0000FF"/>
                  <w:sz w:val="18"/>
                  <w:u w:val="single"/>
                </w:rPr>
                <w:t>Equity Compensation Plan Information</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21">
              <w:r>
                <w:rPr>
                  <w:rStyle w:val="InternetLink"/>
                  <w:rFonts w:ascii="Arial;sans-serif" w:hAnsi="Arial;sans-serif"/>
                  <w:b w:val="false"/>
                  <w:color w:val="0000FF"/>
                  <w:sz w:val="18"/>
                  <w:u w:val="single"/>
                </w:rPr>
                <w:t>31</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24">
              <w:r>
                <w:rPr>
                  <w:rStyle w:val="InternetLink"/>
                  <w:rFonts w:ascii="Arial;sans-serif" w:hAnsi="Arial;sans-serif"/>
                  <w:b/>
                  <w:color w:val="0000FF"/>
                  <w:sz w:val="18"/>
                  <w:u w:val="single"/>
                </w:rPr>
                <w:t>Security Ownership of Certain Beneficial Owners and Management</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24">
              <w:r>
                <w:rPr>
                  <w:rStyle w:val="InternetLink"/>
                  <w:rFonts w:ascii="Arial;sans-serif" w:hAnsi="Arial;sans-serif"/>
                  <w:b w:val="false"/>
                  <w:color w:val="0000FF"/>
                  <w:sz w:val="18"/>
                  <w:u w:val="single"/>
                </w:rPr>
                <w:t>32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27">
              <w:r>
                <w:rPr>
                  <w:rStyle w:val="InternetLink"/>
                  <w:rFonts w:ascii="Arial;sans-serif" w:hAnsi="Arial;sans-serif"/>
                  <w:b/>
                  <w:color w:val="0000FF"/>
                  <w:sz w:val="18"/>
                  <w:u w:val="single"/>
                </w:rPr>
                <w:t>Certain Relationships and Related Party Transactions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27">
              <w:r>
                <w:rPr>
                  <w:rStyle w:val="InternetLink"/>
                  <w:rFonts w:ascii="Arial;sans-serif" w:hAnsi="Arial;sans-serif"/>
                  <w:b w:val="false"/>
                  <w:color w:val="0000FF"/>
                  <w:sz w:val="18"/>
                  <w:u w:val="single"/>
                </w:rPr>
                <w:t>36</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30">
              <w:r>
                <w:rPr>
                  <w:rStyle w:val="InternetLink"/>
                  <w:rFonts w:ascii="Arial;sans-serif" w:hAnsi="Arial;sans-serif"/>
                  <w:b/>
                  <w:color w:val="0000FF"/>
                  <w:sz w:val="18"/>
                  <w:u w:val="single"/>
                </w:rPr>
                <w:t>Stockholder Proposals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30">
              <w:r>
                <w:rPr>
                  <w:rStyle w:val="InternetLink"/>
                  <w:rFonts w:ascii="Arial;sans-serif" w:hAnsi="Arial;sans-serif"/>
                  <w:b w:val="false"/>
                  <w:color w:val="0000FF"/>
                  <w:sz w:val="18"/>
                  <w:u w:val="single"/>
                </w:rPr>
                <w:t>36</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33">
              <w:r>
                <w:rPr>
                  <w:rStyle w:val="InternetLink"/>
                  <w:rFonts w:ascii="Arial;sans-serif" w:hAnsi="Arial;sans-serif"/>
                  <w:b/>
                  <w:color w:val="0000FF"/>
                  <w:sz w:val="18"/>
                  <w:u w:val="single"/>
                </w:rPr>
                <w:t>Other Matters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33">
              <w:r>
                <w:rPr>
                  <w:rStyle w:val="InternetLink"/>
                  <w:rFonts w:ascii="Arial;sans-serif" w:hAnsi="Arial;sans-serif"/>
                  <w:b w:val="false"/>
                  <w:color w:val="0000FF"/>
                  <w:sz w:val="18"/>
                  <w:u w:val="single"/>
                </w:rPr>
                <w:t>37</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36">
              <w:r>
                <w:rPr>
                  <w:rStyle w:val="InternetLink"/>
                  <w:rFonts w:ascii="Arial;sans-serif" w:hAnsi="Arial;sans-serif"/>
                  <w:b/>
                  <w:color w:val="0000FF"/>
                  <w:sz w:val="18"/>
                  <w:u w:val="single"/>
                </w:rPr>
                <w:t>No Incorporation by Reference</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36">
              <w:r>
                <w:rPr>
                  <w:rStyle w:val="InternetLink"/>
                  <w:rFonts w:ascii="Arial;sans-serif" w:hAnsi="Arial;sans-serif"/>
                  <w:b w:val="false"/>
                  <w:color w:val="0000FF"/>
                  <w:sz w:val="18"/>
                  <w:u w:val="single"/>
                </w:rPr>
                <w:t>37</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39">
              <w:r>
                <w:rPr>
                  <w:rStyle w:val="InternetLink"/>
                  <w:rFonts w:ascii="Arial;sans-serif" w:hAnsi="Arial;sans-serif"/>
                  <w:b/>
                  <w:color w:val="0000FF"/>
                  <w:sz w:val="18"/>
                  <w:u w:val="single"/>
                </w:rPr>
                <w:t>Solicitation of Proxies</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39">
              <w:r>
                <w:rPr>
                  <w:rStyle w:val="InternetLink"/>
                  <w:rFonts w:ascii="Arial;sans-serif" w:hAnsi="Arial;sans-serif"/>
                  <w:b w:val="false"/>
                  <w:color w:val="0000FF"/>
                  <w:sz w:val="18"/>
                  <w:u w:val="single"/>
                </w:rPr>
                <w:t>38</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0a810aedcd240db92a50342de1a9a97_142">
              <w:r>
                <w:rPr>
                  <w:rStyle w:val="InternetLink"/>
                  <w:rFonts w:ascii="Arial;sans-serif" w:hAnsi="Arial;sans-serif"/>
                  <w:b/>
                  <w:color w:val="0000FF"/>
                  <w:sz w:val="18"/>
                  <w:u w:val="single"/>
                </w:rPr>
                <w:t>Exagen's Annual Report on Form 10-K</w:t>
              </w:r>
            </w:hyperlink>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0a810aedcd240db92a50342de1a9a97_142">
              <w:r>
                <w:rPr>
                  <w:rStyle w:val="InternetLink"/>
                  <w:rFonts w:ascii="Arial;sans-serif" w:hAnsi="Arial;sans-serif"/>
                  <w:b w:val="false"/>
                  <w:color w:val="0000FF"/>
                  <w:sz w:val="18"/>
                  <w:u w:val="single"/>
                </w:rPr>
                <w:t>38</w:t>
              </w:r>
            </w:hyperlink>
          </w:p>
        </w:tc>
      </w:tr>
    </w:tbl>
    <w:p>
      <w:pPr>
        <w:pStyle w:val="TextBody"/>
        <w:spacing w:before="0" w:after="0"/>
        <w:jc w:val="center"/>
        <w:rPr/>
      </w:pPr>
      <w:r>
        <w:rPr/>
      </w:r>
    </w:p>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88" w:before="0" w:after="60"/>
        <w:jc w:val="center"/>
        <w:rPr>
          <w:rFonts w:ascii="Arial;sans-serif" w:hAnsi="Arial;sans-serif"/>
          <w:b/>
          <w:color w:val="000000"/>
          <w:sz w:val="32"/>
        </w:rPr>
      </w:pPr>
      <w:r>
        <w:rPr>
          <w:rFonts w:ascii="Arial;sans-serif" w:hAnsi="Arial;sans-serif"/>
          <w:b/>
          <w:color w:val="000000"/>
          <w:sz w:val="32"/>
        </w:rPr>
        <w:t>PROXY STATEMENT</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color w:val="000000"/>
          <w:sz w:val="20"/>
        </w:rPr>
      </w:pPr>
      <w:r>
        <w:rPr>
          <w:rFonts w:ascii="Arial;sans-serif" w:hAnsi="Arial;sans-serif"/>
          <w:b/>
          <w:color w:val="000000"/>
          <w:sz w:val="20"/>
        </w:rPr>
        <w:t>EXAGEN INC.</w:t>
      </w:r>
    </w:p>
    <w:p>
      <w:pPr>
        <w:pStyle w:val="TextBody"/>
        <w:spacing w:lineRule="auto" w:line="288" w:before="0" w:after="60"/>
        <w:rPr>
          <w:rFonts w:ascii="Arial;sans-serif" w:hAnsi="Arial;sans-serif"/>
          <w:b w:val="false"/>
          <w:color w:val="000000"/>
          <w:sz w:val="20"/>
        </w:rPr>
      </w:pPr>
      <w:r>
        <w:rPr>
          <w:rFonts w:ascii="Arial;sans-serif" w:hAnsi="Arial;sans-serif"/>
          <w:b w:val="false"/>
          <w:color w:val="000000"/>
          <w:sz w:val="20"/>
        </w:rPr>
        <w:t>1261 LIBERTY WAY, VISTA, CALIFORNIA 92081</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General</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This proxy statement is furnished in connection with the solicitation by the Board of Directors of Exagen Inc. (the "Board") of proxies to be voted at our Annual Meeting of Stockholders to be held on Friday, June 9, 2023 (the "Annual Meeting"), in the Exagen Administrative Offices, Training Room, 2175 Salk Avenue, 3rd Floor, Carlsbad, California 92008 at 8:00 a.m., Pacific Time, and at any continuation, postponement or adjournment thereof. We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 Holders of record of shares of common stock, $0.001 par value per share ("Common Stock"), as of the close of business on April 18, 2023 (the "Record Date"), will be entitled to notice of and to vote at the Annual Meeting and any continuation, postponement or adjournment thereof. As of the Record Date, there were 16,850,550 shares of our Common Stock outstanding and entitled to vote at the Annual Meeting. Each share of Common Stock is entitled to one vote on any matter presented to stockholders at the Annual Meeting.</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This proxy statement and the Company's Annual Report to Stockholders for the fiscal year ended December 31, 2022 (the "2022 Annual Report"), or Notice of Internet Availability of Proxy Materials, as applicable, will be sent on or about April 28, 2023 to our stockholders on the Record Date.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this proxy statement, "Exagen," the "Company," "we," "us" and "our" refer to Exagen Inc.</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IMPORTANT NOTICE REGARDING THE AVAILABILITY OF PROXY MATERIALS</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 THE STOCKHOLDER MEETING TO BE HELD ON FRIDAY, JUNE 9, 2023</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This proxy statement and our 2022 Annual Report to Stockholders are available at:</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http://www.proxydocs.com/XGN/.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At this website, you will find a complete set of the following proxy materials: notice of 2023 Annual Meeting of Stockholders; proxy statement (with sample proxy card); and 2022 Annual Report. You are encouraged to access and review all of the important information contained in the proxy materials before submitting a proxy or voting at the meeting.</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Stockholders may review directions to attend the meeting in person on our proxy website (www.proxydocs.com/XGN).</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6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PROPOSALS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At the Annual Meeting, there are two proposals scheduled for a vote:</w:t>
      </w:r>
    </w:p>
    <w:p>
      <w:pPr>
        <w:pStyle w:val="TextBody"/>
        <w:spacing w:lineRule="auto" w:line="288" w:before="120" w:after="283"/>
        <w:ind w:left="0" w:right="0" w:hanging="360"/>
        <w:rPr/>
      </w:pPr>
      <w:r>
        <w:rPr>
          <w:rFonts w:ascii="Arial;sans-serif" w:hAnsi="Arial;sans-serif"/>
          <w:b/>
          <w:color w:val="000000"/>
          <w:sz w:val="20"/>
        </w:rPr>
        <w:t>1.</w:t>
      </w:r>
      <w:r>
        <w:rPr>
          <w:rFonts w:ascii="Arial;sans-serif" w:hAnsi="Arial;sans-serif"/>
          <w:b w:val="false"/>
          <w:color w:val="000000"/>
          <w:sz w:val="20"/>
        </w:rPr>
        <w:t>To elect three directors, Brian Birk, Tina S. Nova, Ph.D. and Ebetuel Pallares, Ph.D. as Class I directors for a three-year term that expires at the 2026 Annual Meeting of Stockholders and until their respective successors shall have been duly elected and qualified; and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2.To ratify the appointment of BDO USA, LLP as our independent registered public accounting firm for the fiscal year ending December 31, 2023.</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currently know of no other business that will be presented at the Annual Meeting. If any other matter properly comes before the stockholders for a vote at the Annual Meeting, however, the proxy holders named on the proxy card will vote your shares in accordance with their best judgment.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6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RECOMMENDATIONS OF THE BOARD</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 as follows:</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1.FOR each of the nominees for election as a Class I director as set forth in this proxy statement; and</w:t>
      </w:r>
    </w:p>
    <w:p>
      <w:pPr>
        <w:pStyle w:val="TextBody"/>
        <w:spacing w:lineRule="auto" w:line="288" w:before="120" w:after="283"/>
        <w:ind w:left="0" w:right="0" w:hanging="360"/>
        <w:rPr>
          <w:rFonts w:ascii="Arial;sans-serif" w:hAnsi="Arial;sans-serif"/>
          <w:b w:val="false"/>
          <w:color w:val="000000"/>
          <w:sz w:val="20"/>
        </w:rPr>
      </w:pPr>
      <w:r>
        <w:rPr>
          <w:rFonts w:ascii="Arial;sans-serif" w:hAnsi="Arial;sans-serif"/>
          <w:b w:val="false"/>
          <w:color w:val="000000"/>
          <w:sz w:val="20"/>
        </w:rPr>
        <w:t>2.FOR the ratification of the appointment of BDO USA, LLP as our independent registered public accounting firm for the fiscal year ending December 31, 2023.</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If any other matter properly comes before the stockholders for a vote at the Annual Meeting, the proxy holders named on the proxy card will vote your shares in accordance with their best judgment.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INFORMATION ABOUT THIS PROXY STATEMENT</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Arial;sans-serif" w:hAnsi="Arial;sans-serif"/>
          <w:b/>
          <w:color w:val="000000"/>
          <w:sz w:val="20"/>
        </w:rPr>
        <w:t xml:space="preserve">Why you received this proxy statement. </w:t>
      </w:r>
      <w:r>
        <w:rPr>
          <w:rFonts w:ascii="Arial;sans-serif" w:hAnsi="Arial;sans-serif"/>
          <w:b w:val="false"/>
          <w:color w:val="000000"/>
          <w:sz w:val="20"/>
        </w:rPr>
        <w:t>You are viewing or have received these proxy materials because the Board is soliciting your proxy to vote your shares at the Annual Meeting. This proxy statement includes information that we are required to provide to you under the rules of the Securities and Exchange Commission ("SEC") and that is designed to assist you in voting your shares.</w:t>
      </w:r>
    </w:p>
    <w:p>
      <w:pPr>
        <w:pStyle w:val="TextBody"/>
        <w:spacing w:before="0" w:after="0"/>
        <w:rPr/>
      </w:pPr>
      <w:r>
        <w:rPr/>
      </w:r>
    </w:p>
    <w:p>
      <w:pPr>
        <w:pStyle w:val="TextBody"/>
        <w:spacing w:lineRule="auto" w:line="288" w:before="0" w:after="0"/>
        <w:rPr/>
      </w:pPr>
      <w:r>
        <w:rPr>
          <w:rFonts w:ascii="Arial;sans-serif" w:hAnsi="Arial;sans-serif"/>
          <w:b/>
          <w:color w:val="000000"/>
          <w:sz w:val="20"/>
        </w:rPr>
        <w:t xml:space="preserve">Notice of Internet Availability of Proxy Materials. </w:t>
      </w:r>
      <w:r>
        <w:rPr>
          <w:rFonts w:ascii="Arial;sans-serif" w:hAnsi="Arial;sans-serif"/>
          <w:b w:val="false"/>
          <w:color w:val="000000"/>
          <w:sz w:val="20"/>
        </w:rPr>
        <w:t>As permitted by SEC rules, we are making this proxy statement and 2022 Annual Report available to our stockholders electronically via the Internet. On or about April 28, 2023, we will begin mailing to our stockholders a Notice of Internet Availability of Proxy Materials (the "Internet Notice") containing instructions on how to access this proxy statement and our 2022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2022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We encourage our stockholders to take advantage of the availability of the proxy materials on the Internet to help reduce the environmental impact of its annual meetings and reduce the cost to us associated with the printing and mailing of materials.</w:t>
      </w:r>
    </w:p>
    <w:p>
      <w:pPr>
        <w:pStyle w:val="TextBody"/>
        <w:spacing w:before="0" w:after="0"/>
        <w:rPr/>
      </w:pPr>
      <w:r>
        <w:rPr/>
      </w:r>
    </w:p>
    <w:p>
      <w:pPr>
        <w:pStyle w:val="TextBody"/>
        <w:spacing w:lineRule="auto" w:line="288" w:before="0" w:after="0"/>
        <w:rPr/>
      </w:pPr>
      <w:r>
        <w:rPr>
          <w:rFonts w:ascii="Arial;sans-serif" w:hAnsi="Arial;sans-serif"/>
          <w:b/>
          <w:color w:val="000000"/>
          <w:sz w:val="20"/>
        </w:rPr>
        <w:t xml:space="preserve">Printed Copies of Our Proxy Materials. </w:t>
      </w:r>
      <w:r>
        <w:rPr>
          <w:rFonts w:ascii="Arial;sans-serif" w:hAnsi="Arial;sans-serif"/>
          <w:b w:val="false"/>
          <w:color w:val="000000"/>
          <w:sz w:val="20"/>
        </w:rPr>
        <w:t>If you received printed copies of our proxy materials, then instructions regarding how you can vote are contained on the proxy card included in the materials.</w:t>
      </w:r>
    </w:p>
    <w:p>
      <w:pPr>
        <w:pStyle w:val="TextBody"/>
        <w:spacing w:before="0" w:after="0"/>
        <w:rPr/>
      </w:pPr>
      <w:r>
        <w:rPr/>
      </w:r>
    </w:p>
    <w:p>
      <w:pPr>
        <w:pStyle w:val="TextBody"/>
        <w:spacing w:lineRule="auto" w:line="288" w:before="0" w:after="0"/>
        <w:rPr/>
      </w:pPr>
      <w:r>
        <w:rPr>
          <w:rFonts w:ascii="Arial;sans-serif" w:hAnsi="Arial;sans-serif"/>
          <w:b/>
          <w:color w:val="000000"/>
          <w:sz w:val="20"/>
        </w:rPr>
        <w:t xml:space="preserve">Householding. </w:t>
      </w:r>
      <w:r>
        <w:rPr>
          <w:rFonts w:ascii="Arial;sans-serif" w:hAnsi="Arial;sans-serif"/>
          <w:b w:val="false"/>
          <w:color w:val="000000"/>
          <w:sz w:val="20"/>
        </w:rPr>
        <w:t>The SEC's rules permit us to deliver a single Internet Notice or set of proxy materials to one address shared by two or more 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we will provide copies of these documents, free of charge, upon written request to Exagen Inc., 1261 Liberty Way, Vista, California 92081. Such requests by street name holders should be made through their bank, broker or other holder of record.</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Stockholders sharing an address that are receiving multiple copies of the Internet Notice can request delivery of a single copy of the proxy statement or annual report or Internet Notice by contacting their broker, bank or other intermediary or sending a written request to Exagen Inc. at the above address or by calling (760) 560-1501.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Questions and Answers about the Annual Meeting of Stockholders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Who is entitled to vote on matters presented at the Annual Meeting?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Record Date for the Annual Meeting is April 18, 2023. You are entitled to vote on the matters presented at the Annual Meeting if you were a record holder at the close of business on the Record Date. Each outstanding share of Common Stock is entitled to one vote. At the close of business on the Record Date, there were 16,850,550 shares of Common Stock outstanding and entitled to vote at the Annual Meeting. Common Stock is our only class of stock entitled to vote.</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What is the difference between being a "Record Holder" and holding shares in "Street Name"?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If, on the Record Date, your shares were registered directly in your name then you are a stockholder of record.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Am I entitled to vote if my shares are held in "Street Name"?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Yes. If your shares are held by a brokerage firm, bank, dealer or other similar organization, you are considered the “beneficial owner” of those shares held in “street name.” If your shares are held in street name, these proxy materials, along with instructions on how to vote your shares, are being provided to you by your brokerage firm, bank, dealer or other similar organization. As the beneficial owner, you have the right to direct your brokerage firm, bank, dealer or other similar organization how to vote your shares, and such organizations are required to vote your shares in accordance with your instructions. If your shares are held in street name, you may not vote your shares in person at the Annual Meeting, unless you obtain, and present at the Annual Meeting, a legal proxy from your brokerage firm, bank, dealer or other similar organization.</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How many shares must be present to hold the Annual Meeting?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 quorum must be present at the Annual Meeting for any business to be conducted. Under Delaware law and our Amended and Restated Bylaws (the "Bylaws"), the presence at the Annual Meeting of the holders of a majority in voting power of the Common Stock issued and outstanding and entitled to vote, present in person, or by remote communication, if applicable, or represented by proxy, on the Record Date will constitute a quorum for the transaction of business at the Annual Meeting. The inspector of election will determine whether a quorum is present and will tabulate the votes cast at the Annual Meeting.</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Who can attend the Annual Meeting of Stockholders?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You may attend the Annual Meeting only if you are a record holder or beneficial owner of our Common Stock as of the Record Date. If you are a record holder you are entitled to vote at the Annual Meeting. If you hold your shares in street name you must obtain a valid proxy from your brokerage firm, bank, dealer or other similar organization to vote at the Annual Meeting. We currently intend to hold the Annual Meeting in person. However, we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 We encourage you to check this website prior to the meeting if you plan to attend.</w:t>
      </w:r>
    </w:p>
    <w:p>
      <w:pPr>
        <w:pStyle w:val="TextBody"/>
        <w:spacing w:before="0" w:after="0"/>
        <w:rPr/>
      </w:pPr>
      <w:r>
        <w:rPr/>
      </w:r>
    </w:p>
    <w:p>
      <w:pPr>
        <w:pStyle w:val="TextBody"/>
        <w:spacing w:lineRule="auto" w:line="288"/>
        <w:rPr>
          <w:rFonts w:ascii="Arial;sans-serif" w:hAnsi="Arial;sans-serif"/>
          <w:b w:val="false"/>
          <w:color w:val="000000"/>
          <w:sz w:val="20"/>
        </w:rPr>
      </w:pPr>
      <w:r>
        <w:rPr>
          <w:rFonts w:ascii="Arial;sans-serif" w:hAnsi="Arial;sans-serif"/>
          <w:b w:val="false"/>
          <w:color w:val="000000"/>
          <w:sz w:val="20"/>
        </w:rPr>
        <w:t>In order to be admitted into the Annual Meeting, your name must appear on the attendance list and you must present government-issued photo identification (such as a driver’s license). If your bank or broker holds your shares in street name, to attend the Annual Meeting you will also be required to present proof of beneficial ownership of our Common Stock on the Record Date, such as the Internet Notice you received from your bank or broker or a bank or brokerage statement or a letter from your bank or broker showing that you owned shares of our Common Stock at the close of business on the Record Date.</w:t>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What if a quorum is not present at the Annual Meeting?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If a quorum is not present at the scheduled time of the Annual Meeting, (i) the Chairperson of the Annual Meeting or (ii) the holders of a majority of the shares entitled to vote, present in person, or by remote communication, if applicable, or represented by proxy, at the Annual Meeting may adjourn the Annual Meeting until a quorum is present or represented.</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What does it mean if I receive more than one Internet Notice or more than one set of Proxy Materials?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How do I vote?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With respect to the election of directors, you may either vote "For" any one or more of the nominees to the Board or you may "Withhold" your vote for any one or more of the nominees. With respect to the ratification of the appointment of BDO USA, LLP as our independent registered public accounting firm, you may vote "For," "Against" or "Abstain" from voting.</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We recommend that stockholders vote by proxy even if they plan to attend the Annual Meeting and vote in person.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If you are a record holder, there are several ways for you to vote your shares:</w:t>
      </w:r>
    </w:p>
    <w:p>
      <w:pPr>
        <w:pStyle w:val="TextBody"/>
        <w:spacing w:lineRule="auto" w:line="288" w:before="60" w:after="283"/>
        <w:ind w:left="0" w:right="0" w:hanging="360"/>
        <w:rPr/>
      </w:pPr>
      <w:r>
        <w:rPr>
          <w:color w:val="000000"/>
        </w:rPr>
        <w:t>•</w:t>
      </w:r>
      <w:r>
        <w:rPr>
          <w:rFonts w:ascii="Arial;sans-serif" w:hAnsi="Arial;sans-serif"/>
          <w:b w:val="false"/>
          <w:color w:val="000000"/>
          <w:sz w:val="20"/>
        </w:rPr>
        <w:t>By Telephone: You can vote by telephone by calling 1-866-475-8889 and following the instructions provided in the Internet Notice or on the proxy card. Telephone voting facilities for stockholders of record will be available 24 hours a day, seven days a week. Votes can be made up until the start of the Annual Meeting at 7:59 a.m., Pacific Time, on June 9, 2023.</w:t>
      </w:r>
    </w:p>
    <w:p>
      <w:pPr>
        <w:pStyle w:val="TextBody"/>
        <w:spacing w:lineRule="auto" w:line="288" w:before="60" w:after="283"/>
        <w:ind w:left="0" w:right="0" w:hanging="360"/>
        <w:rPr/>
      </w:pPr>
      <w:r>
        <w:rPr>
          <w:color w:val="000000"/>
        </w:rPr>
        <w:t>•</w:t>
      </w:r>
      <w:r>
        <w:rPr>
          <w:rFonts w:ascii="Arial;sans-serif" w:hAnsi="Arial;sans-serif"/>
          <w:b w:val="false"/>
          <w:color w:val="000000"/>
          <w:sz w:val="20"/>
        </w:rPr>
        <w:t>By Internet: You can vote over the Internet at www.proxypush.com/XGN by following the instructions provided in the Internet Notice or on the proxy card. Internet voting facilities for stockholders of record will be available 24 hours a day, seven days a week. Votes can be made up until the start of the Annual Meeting at 7:59 a.m., Pacific Time, on June 9, 2023.</w:t>
      </w:r>
    </w:p>
    <w:p>
      <w:pPr>
        <w:pStyle w:val="TextBody"/>
        <w:spacing w:lineRule="auto" w:line="288" w:before="60" w:after="283"/>
        <w:ind w:left="0" w:right="0" w:hanging="360"/>
        <w:rPr/>
      </w:pPr>
      <w:r>
        <w:rPr>
          <w:color w:val="000000"/>
        </w:rPr>
        <w:t>•</w:t>
      </w:r>
      <w:r>
        <w:rPr>
          <w:rFonts w:ascii="Arial;sans-serif" w:hAnsi="Arial;sans-serif"/>
          <w:b w:val="false"/>
          <w:color w:val="000000"/>
          <w:sz w:val="20"/>
        </w:rPr>
        <w:t>By Mail: If you received a printed copy of the proxy materials, you can vote by mail by signing, dating and mailing the proxy card that accompanied the printed proxy materials and returning the proxy card in the self-addressed, postage-paid envelope provided. If you properly complete your proxy card and send it to us in time to vote, your proxy (one of the individuals named on your proxy card) will vote your shares as you have directed.</w:t>
      </w:r>
    </w:p>
    <w:p>
      <w:pPr>
        <w:pStyle w:val="TextBody"/>
        <w:spacing w:lineRule="auto" w:line="288" w:before="60" w:after="283"/>
        <w:ind w:left="0" w:right="0" w:hanging="360"/>
        <w:rPr/>
      </w:pPr>
      <w:r>
        <w:rPr>
          <w:color w:val="000000"/>
        </w:rPr>
        <w:t>•</w:t>
      </w:r>
      <w:r>
        <w:rPr>
          <w:rFonts w:ascii="Arial;sans-serif" w:hAnsi="Arial;sans-serif"/>
          <w:b w:val="false"/>
          <w:color w:val="000000"/>
          <w:sz w:val="20"/>
        </w:rPr>
        <w:t>In Person: You may still attend the meeting and vote in person even if you have already voted by proxy. We will provide you with a ballot at the Annual Meeting.</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If you are a beneficial owner of shares that are held in street name through a brokerage firm, bank, dealer or other similar organization, you will receive instructions on how to vote from that organization rather than from us. You must follow their instructions in order for your shares to be voted. Generally, you will have three options for returning your proxy and voting your shares.</w:t>
      </w:r>
    </w:p>
    <w:p>
      <w:pPr>
        <w:pStyle w:val="TextBody"/>
        <w:spacing w:lineRule="auto" w:line="288" w:before="60" w:after="283"/>
        <w:ind w:left="0" w:right="0" w:hanging="360"/>
        <w:rPr/>
      </w:pPr>
      <w:r>
        <w:rPr>
          <w:color w:val="000000"/>
        </w:rPr>
        <w:t>•</w:t>
      </w:r>
      <w:r>
        <w:rPr>
          <w:rFonts w:ascii="Arial;sans-serif" w:hAnsi="Arial;sans-serif"/>
          <w:b w:val="false"/>
          <w:color w:val="000000"/>
          <w:sz w:val="20"/>
        </w:rPr>
        <w:t>By the Method Listed on your Voting Instruction Card: Please refer to your voting instruction card or other information provided by your bank, broker or other agent to determine whether you may vote by telephone or electronically on the Internet, and follow the instructions on the voting instruction card or other information provided by your broker, bank or other agent. A large number of banks and brokerage firms offer Internet and telephone voting. If your bank, broker or other agent does not offer Internet or telephone voting information, please follow the other voting instructions they provide to vote your shares.</w:t>
      </w:r>
    </w:p>
    <w:p>
      <w:pPr>
        <w:pStyle w:val="TextBody"/>
        <w:spacing w:lineRule="auto" w:line="288" w:before="60" w:after="283"/>
        <w:ind w:left="0" w:right="0" w:hanging="360"/>
        <w:rPr/>
      </w:pPr>
      <w:r>
        <w:rPr>
          <w:color w:val="000000"/>
        </w:rPr>
        <w:t>•</w:t>
      </w:r>
      <w:r>
        <w:rPr>
          <w:rFonts w:ascii="Arial;sans-serif" w:hAnsi="Arial;sans-serif"/>
          <w:b w:val="false"/>
          <w:color w:val="000000"/>
          <w:sz w:val="20"/>
        </w:rPr>
        <w:t>By Mail: You may vote by signing, dating and returning your voting instruction card in the pre-addressed envelope provided by your broker, bank or other agent.</w:t>
      </w:r>
    </w:p>
    <w:p>
      <w:pPr>
        <w:pStyle w:val="TextBody"/>
        <w:spacing w:lineRule="auto" w:line="288" w:before="60" w:after="283"/>
        <w:ind w:left="0" w:right="0" w:hanging="360"/>
        <w:rPr/>
      </w:pPr>
      <w:r>
        <w:rPr>
          <w:color w:val="000000"/>
        </w:rPr>
        <w:t>•</w:t>
      </w:r>
      <w:r>
        <w:rPr>
          <w:rFonts w:ascii="Arial;sans-serif" w:hAnsi="Arial;sans-serif"/>
          <w:b w:val="false"/>
          <w:color w:val="000000"/>
          <w:sz w:val="20"/>
        </w:rPr>
        <w:t>In Person: If you would like to vote your shares in person at the Annual Meeting, you will need to contact your brokerage firm, bank, dealer or other similar organization to obtain a legal proxy and bring it to the Annual Meeting in order to vote.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Can I change my vote after I submit my Proxy?</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Yes. If you are a record holder, you may revoke your proxy and change your vote any time before the proxy is voted at the Annual Meeting:</w:t>
      </w:r>
    </w:p>
    <w:p>
      <w:pPr>
        <w:pStyle w:val="TextBody"/>
        <w:spacing w:lineRule="auto" w:line="288" w:before="60" w:after="283"/>
        <w:ind w:left="0" w:right="0" w:hanging="360"/>
        <w:rPr/>
      </w:pPr>
      <w:r>
        <w:rPr>
          <w:color w:val="000000"/>
        </w:rPr>
        <w:t>•</w:t>
      </w:r>
      <w:r>
        <w:rPr>
          <w:rFonts w:ascii="Arial;sans-serif" w:hAnsi="Arial;sans-serif"/>
          <w:b w:val="false"/>
          <w:color w:val="000000"/>
          <w:sz w:val="20"/>
        </w:rPr>
        <w:t>by submitting a duly executed proxy bearing a later date than your prior proxy;</w:t>
      </w:r>
    </w:p>
    <w:p>
      <w:pPr>
        <w:pStyle w:val="TextBody"/>
        <w:spacing w:lineRule="auto" w:line="288" w:before="60" w:after="283"/>
        <w:ind w:left="0" w:right="0" w:hanging="360"/>
        <w:rPr/>
      </w:pPr>
      <w:r>
        <w:rPr>
          <w:color w:val="000000"/>
        </w:rPr>
        <w:t>•</w:t>
      </w:r>
      <w:r>
        <w:rPr>
          <w:rFonts w:ascii="Arial;sans-serif" w:hAnsi="Arial;sans-serif"/>
          <w:b w:val="false"/>
          <w:color w:val="000000"/>
          <w:sz w:val="20"/>
        </w:rPr>
        <w:t>by granting a subsequent proxy through the Internet or telephone;</w:t>
      </w:r>
    </w:p>
    <w:p>
      <w:pPr>
        <w:pStyle w:val="TextBody"/>
        <w:spacing w:lineRule="auto" w:line="288" w:before="60" w:after="283"/>
        <w:ind w:left="0" w:right="0" w:hanging="360"/>
        <w:rPr/>
      </w:pPr>
      <w:r>
        <w:rPr>
          <w:color w:val="000000"/>
        </w:rPr>
        <w:t>•</w:t>
      </w:r>
      <w:r>
        <w:rPr>
          <w:rFonts w:ascii="Arial;sans-serif" w:hAnsi="Arial;sans-serif"/>
          <w:b w:val="false"/>
          <w:color w:val="000000"/>
          <w:sz w:val="20"/>
        </w:rPr>
        <w:t>by giving written notice of revocation to the Corporate Secretary of the Company prior to or at the Annual Meeting; or</w:t>
      </w:r>
    </w:p>
    <w:p>
      <w:pPr>
        <w:pStyle w:val="TextBody"/>
        <w:spacing w:lineRule="auto" w:line="288" w:before="60" w:after="283"/>
        <w:ind w:left="0" w:right="0" w:hanging="360"/>
        <w:rPr/>
      </w:pPr>
      <w:r>
        <w:rPr>
          <w:color w:val="000000"/>
        </w:rPr>
        <w:t>•</w:t>
      </w:r>
      <w:r>
        <w:rPr>
          <w:rFonts w:ascii="Arial;sans-serif" w:hAnsi="Arial;sans-serif"/>
          <w:b w:val="false"/>
          <w:color w:val="000000"/>
          <w:sz w:val="20"/>
        </w:rPr>
        <w:t>by voting in person at the Annual Meeting.</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Your most recent proxy card or telephone or Internet proxy is the one that is counted. Your attendance at the Annual Meeting by itself will not revoke your proxy.</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If your shares are held in street name,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 at the Annual Meeting.</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Who will count the votes?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Mediant Communications, Inc. is expected to tabulate the votes and an employee of the Company is expected to be our inspector of election and will certify the votes.</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What if I do not specify how my shares are to be voted?</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If you are a record holder and you indicate when voting on the Internet or by telephone that you wish to vote as recommended by the Board, then your shares will be voted at the Annual Meeting in accordance with the Board’s recommendation on all matters presented for a vote at the Annual Meeting. Similarly, if you are a record holder and submit a proxy but do not indicate any voting instructions, the persons named as proxies will vote in accordance with the recommendations of the Board. The Board’s recommendations are indicated on page 2 of this proxy statement, along with the description of each proposal in this proxy statement.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If you are a beneficial owner of shares held in street name and do not provide the organization that holds your shares with specific voting instructions, then, the organization that holds your shares may generally vote your shares in their discretion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What are broker non-votes and do they count for determining a quorum?</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rPr>
          <w:rFonts w:ascii="Arial;sans-serif" w:hAnsi="Arial;sans-serif"/>
          <w:b w:val="false"/>
          <w:color w:val="000000"/>
          <w:sz w:val="20"/>
        </w:rPr>
      </w:pPr>
      <w:r>
        <w:rPr>
          <w:rFonts w:ascii="Arial;sans-serif" w:hAnsi="Arial;sans-serif"/>
          <w:b w:val="false"/>
          <w:color w:val="000000"/>
          <w:sz w:val="20"/>
        </w:rPr>
        <w:t xml:space="preserve">Shares represented by proxies that reflect a broker non-vote will be counted as present for purposes of determining the presence of a quorum. As discussed above, broker non-votes occur when shares held by a broker in “street name” for a beneficial owner are not voted with respect to a particular proposal because (1) the broker has not received voting instructions from the beneficial owner and (2) the broker lacks discretionary voting power to vote those shares on a particular matter. A broker has discretionary power to vote shares without instruction from the beneficial owner on routine matters, such as the ratification of the appointment of BDO USA, LLP as our independent registered public accounting firm. Thus, broker non-votes are not expected on that proposal. However, if a broker does not exercise this authority, such broker non-votes are not considered to be votes cast and will have no effect on that proposal. Absent instructions from the beneficial owner of such shares, a broker is not entitled to vote shares held for a beneficial owner on non-routine matters. Broker non-votes on the election of directors, a non-routine matter, will have no effect because they are not considered a vote cast, and the three directors that receive the highest number of votes will be elected. </w:t>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What is an Abstention and how will votes Withheld and Abstentions be treated?</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Shares of common stock held by persons attending the Annual Meeting but not voting, and shares represented by proxies that reflect withheld votes or abstentions as to a particular proposal, will be counted as present for purposes of determining the presence of a quorum. A “vote withheld,” in the case of the proposal regarding the election of directors, or an “abstention,” in the case of the ratification of the appointment of BDO USA, LLP, represents a stockholder's affirmative choice to decline to vote on a proposal. Votes withheld have no effect on the election of directors, as the three directors that receive the highest number of votes will be elected, and abstentions are not considered to be votes cast and will have no effect on the ratification of the appointment of BDO USA, LLP.</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How many votes are required for the approval of the proposals to be voted upon and how will Abstentions and Broker Non-Votes be treated?</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137"/>
        <w:gridCol w:w="828"/>
        <w:gridCol w:w="830"/>
        <w:gridCol w:w="1390"/>
        <w:gridCol w:w="1333"/>
        <w:gridCol w:w="1338"/>
        <w:gridCol w:w="978"/>
        <w:gridCol w:w="978"/>
        <w:gridCol w:w="1393"/>
      </w:tblGrid>
      <w:tr>
        <w:trPr/>
        <w:tc>
          <w:tcPr>
            <w:tcW w:w="113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r>
      <w:tr>
        <w:trPr/>
        <w:tc>
          <w:tcPr>
            <w:tcW w:w="2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Proposal</w:t>
            </w:r>
          </w:p>
        </w:tc>
        <w:tc>
          <w:tcPr>
            <w:tcW w:w="40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Votes Required</w:t>
            </w:r>
          </w:p>
        </w:tc>
        <w:tc>
          <w:tcPr>
            <w:tcW w:w="3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Effect of Votes Withheld / Abstentions and Broker Non-Votes</w:t>
            </w:r>
          </w:p>
        </w:tc>
      </w:tr>
      <w:tr>
        <w:trPr/>
        <w:tc>
          <w:tcPr>
            <w:tcW w:w="27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1: Election of Directors</w:t>
            </w:r>
          </w:p>
        </w:tc>
        <w:tc>
          <w:tcPr>
            <w:tcW w:w="40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plurality of the votes cast. This means that the three nominees receiving the highest number of affirmative "FOR" votes will be elected as Class I directors.</w:t>
            </w:r>
          </w:p>
        </w:tc>
        <w:tc>
          <w:tcPr>
            <w:tcW w:w="3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Votes withheld and broker non-votes will have no effect.</w:t>
            </w:r>
          </w:p>
        </w:tc>
      </w:tr>
      <w:tr>
        <w:trPr/>
        <w:tc>
          <w:tcPr>
            <w:tcW w:w="2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2: Ratification of Appointment of Independent Registered Public Accounting Firm</w:t>
            </w:r>
          </w:p>
        </w:tc>
        <w:tc>
          <w:tcPr>
            <w:tcW w:w="40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affirmative vote of a majority of the votes cast for or against the matter.</w:t>
            </w:r>
          </w:p>
        </w:tc>
        <w:tc>
          <w:tcPr>
            <w:tcW w:w="3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Abstentions and broker non-votes will have no effect. We do not expect any broker non-votes on this proposal.</w:t>
            </w:r>
          </w:p>
        </w:tc>
      </w:tr>
    </w:tbl>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Will any other business be conducted at the Annual Meeting?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currently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Where can I find the voting results of the Annual Meeting of Stockholders?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plan to announce preliminary voting results at the Annual Meeting and we will report the final results in a Current Report on Form 8-K, which we intend to file with the SEC within four business days after the Annual Meeting. If final voting results are not available to us in time to file a Form 8-K within four business days after the Annual Meeting, we intend to file a Form 8-K to publish the preliminary results and, within four business days after the final results are known to us, file an additional Form 8-K to publish the final results.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Proposals To Be Voted On</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Proposal 1 - Election of Directors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At the Annual Meeting, three (3) Class I directors are to be elected to hold office for three-year terms expiring at the Annual Meeting of Stockholders to be held in 2026 and until each such director’s successor is elected and qualified or until such director’s earlier death, resignation or removal. Based on the recommendation of the Nominating and Corporate Governance Committee of the Board (the "Nominating Committee"), the Board has nominated Brian Birk, Tina S. Nova, Ph.D. and Ebetuel Pallares, Ph.D. for re-election as Class I directors at the Annual Meeting.</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Amended and Restated Certificate of Incorporation (the “Charter”) and Bylaws provide that the authorized number of directors shall be fixed from time to time exclusively by resolution adopted by the Board. We currently have nine (9) authorized directors on our Board. James L.L. Tullis' retirement from his position as a member of the Board will be effective as of the Annual Meeting, and the Board is not nominating a candidate to fill the resulting vacancy in this election cycle. Following the Annual Meeting, the size of the Board will be reduced to eight (8) members.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until such director's successor is elected and qualified or until such director's earlier death, resignation or removal. The following table summarizes the class, independence and committee membership of our current directors and director nominees as of the date of these proxy materials and their respective ages as of April 18, 2023:</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743"/>
        <w:gridCol w:w="528"/>
        <w:gridCol w:w="531"/>
        <w:gridCol w:w="209"/>
        <w:gridCol w:w="209"/>
        <w:gridCol w:w="210"/>
        <w:gridCol w:w="980"/>
        <w:gridCol w:w="977"/>
        <w:gridCol w:w="921"/>
        <w:gridCol w:w="538"/>
        <w:gridCol w:w="538"/>
        <w:gridCol w:w="540"/>
        <w:gridCol w:w="993"/>
        <w:gridCol w:w="943"/>
        <w:gridCol w:w="1345"/>
      </w:tblGrid>
      <w:tr>
        <w:trPr/>
        <w:tc>
          <w:tcPr>
            <w:tcW w:w="74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r>
      <w:tr>
        <w:trPr/>
        <w:tc>
          <w:tcPr>
            <w:tcW w:w="18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Name</w:t>
            </w:r>
          </w:p>
        </w:tc>
        <w:tc>
          <w:tcPr>
            <w:tcW w:w="6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Age</w:t>
            </w:r>
          </w:p>
        </w:tc>
        <w:tc>
          <w:tcPr>
            <w:tcW w:w="28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Position</w:t>
            </w:r>
          </w:p>
        </w:tc>
        <w:tc>
          <w:tcPr>
            <w:tcW w:w="1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Independent</w:t>
            </w:r>
          </w:p>
        </w:tc>
        <w:tc>
          <w:tcPr>
            <w:tcW w:w="32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Committee Membership</w:t>
            </w:r>
          </w:p>
        </w:tc>
      </w:tr>
      <w:tr>
        <w:trPr/>
        <w:tc>
          <w:tcPr>
            <w:tcW w:w="10205" w:type="dxa"/>
            <w:gridSpan w:val="15"/>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CLASS I DIRECTORS - Nominated for Re-election with a Term to Expire at the 2026 Annual Meeting</w:t>
            </w:r>
          </w:p>
        </w:tc>
      </w:tr>
      <w:tr>
        <w:trPr/>
        <w:tc>
          <w:tcPr>
            <w:tcW w:w="18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Brian Birk</w:t>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2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Nominating and Governance (Chair)</w:t>
            </w:r>
          </w:p>
        </w:tc>
      </w:tr>
      <w:tr>
        <w:trPr/>
        <w:tc>
          <w:tcPr>
            <w:tcW w:w="18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Tina S. Nova, Ph.D.</w:t>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69</w:t>
            </w:r>
          </w:p>
        </w:tc>
        <w:tc>
          <w:tcPr>
            <w:tcW w:w="2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Chairperson of the Board</w:t>
            </w:r>
          </w:p>
        </w:tc>
        <w:tc>
          <w:tcPr>
            <w:tcW w:w="1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Ebetuel Pallares, Ph.D.</w:t>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2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Nominating and Governance</w:t>
            </w:r>
          </w:p>
        </w:tc>
      </w:tr>
      <w:tr>
        <w:trPr/>
        <w:tc>
          <w:tcPr>
            <w:tcW w:w="10205" w:type="dxa"/>
            <w:gridSpan w:val="15"/>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CLASS II DIRECTORS - Terms to Expire at the 2024 Annual Meeting</w:t>
            </w:r>
          </w:p>
        </w:tc>
      </w:tr>
      <w:tr>
        <w:trPr/>
        <w:tc>
          <w:tcPr>
            <w:tcW w:w="18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Ana Hooker</w:t>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2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Audit, Compensation</w:t>
            </w:r>
          </w:p>
        </w:tc>
      </w:tr>
      <w:tr>
        <w:trPr/>
        <w:tc>
          <w:tcPr>
            <w:tcW w:w="18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Frank Stokes</w:t>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2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Audit (Chair)</w:t>
            </w:r>
          </w:p>
        </w:tc>
      </w:tr>
      <w:tr>
        <w:trPr/>
        <w:tc>
          <w:tcPr>
            <w:tcW w:w="10205" w:type="dxa"/>
            <w:gridSpan w:val="15"/>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CLASS III DIRECTOR NOMINEES - Terms to Expire at the 2025 Annual Meeting</w:t>
            </w:r>
          </w:p>
        </w:tc>
      </w:tr>
      <w:tr>
        <w:trPr/>
        <w:tc>
          <w:tcPr>
            <w:tcW w:w="18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Bruce C. Robertson, Ph.D.</w:t>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2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(Chair), Nominating and Governance</w:t>
            </w:r>
          </w:p>
        </w:tc>
      </w:tr>
      <w:tr>
        <w:trPr/>
        <w:tc>
          <w:tcPr>
            <w:tcW w:w="18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Wendy Johnson</w:t>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w:t>
            </w:r>
          </w:p>
        </w:tc>
        <w:tc>
          <w:tcPr>
            <w:tcW w:w="2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Audit</w:t>
            </w:r>
          </w:p>
        </w:tc>
      </w:tr>
      <w:tr>
        <w:trPr/>
        <w:tc>
          <w:tcPr>
            <w:tcW w:w="1802"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Aballi</w:t>
            </w:r>
          </w:p>
        </w:tc>
        <w:tc>
          <w:tcPr>
            <w:tcW w:w="628"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w:t>
            </w:r>
          </w:p>
        </w:tc>
        <w:tc>
          <w:tcPr>
            <w:tcW w:w="2878"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Chief Executive Officer, and Director</w:t>
            </w:r>
          </w:p>
        </w:tc>
        <w:tc>
          <w:tcPr>
            <w:tcW w:w="1616"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81"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division of our Board into three classes with staggered three-year terms may delay or prevent a change of our management or a change in control of our Company. Our directors may be removed only for cause and only by the affirmative vote of the holders of at least two-thirds of the voting power of the then-outstanding shares of capital stock entitled to vote in the election of directors.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the event any of the nominees should become unable to serve, or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pStyle w:val="TextBody"/>
        <w:spacing w:before="0" w:after="0"/>
        <w:rPr/>
      </w:pPr>
      <w:r>
        <w:rPr/>
      </w:r>
    </w:p>
    <w:p>
      <w:pPr>
        <w:pStyle w:val="TextBody"/>
        <w:spacing w:lineRule="auto" w:line="288"/>
        <w:rPr>
          <w:rFonts w:ascii="Arial;sans-serif" w:hAnsi="Arial;sans-serif"/>
          <w:b w:val="false"/>
          <w:color w:val="000000"/>
          <w:sz w:val="20"/>
        </w:rPr>
      </w:pPr>
      <w:r>
        <w:rPr>
          <w:rFonts w:ascii="Arial;sans-serif" w:hAnsi="Arial;sans-serif"/>
          <w:b w:val="false"/>
          <w:color w:val="000000"/>
          <w:sz w:val="20"/>
        </w:rPr>
        <w:t xml:space="preserve">All of the persons whose names and biographies appear below are currently serving as our directors. Each of our directors and director nominees brings to the board of directors significant leadership experience derived from their professional experience and service as executives or board members of other companies. The process undertaken by the Nominating and Corporate Governance Committee in recommending qualified director candidates is described below under "Board Diversity and Director Nomination Process." Certain individual qualifications and </w:t>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skills of our directors that contribute to the board of directors' effectiveness as a whole are described in the following paragraphs.</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Information Regarding Directors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information set forth below as to the directors and nominees for director has been furnished to us by the directors and nominees for director:</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Nominees for Election to the Board of Directors:</w: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Class I Directors (Terms to Expire at the 2026 Annual Meeting)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Arial;sans-serif" w:hAnsi="Arial;sans-serif"/>
          <w:b w:val="false"/>
          <w:i/>
          <w:color w:val="000000"/>
          <w:sz w:val="20"/>
        </w:rPr>
        <w:t xml:space="preserve">Brian Birk </w:t>
      </w:r>
      <w:r>
        <w:rPr>
          <w:rFonts w:ascii="Arial;sans-serif" w:hAnsi="Arial;sans-serif"/>
          <w:b w:val="false"/>
          <w:color w:val="000000"/>
          <w:sz w:val="20"/>
        </w:rPr>
        <w:t>has served as a member of our Board since June 2008. In 2006, Mr. Birk co-founded Sun Mountain Capital, a boutique private equity firm focused on the southwest and Rocky Mountain regions which currently manages direct investment funds and funds of funds vehicles and where he serves as Managing Partner. Prior to forming Sun Mountain Capital, Mr. Birk served as a Vice President and Director of Private Equity at Fort Washington Capital Partners, a professional investment management services company. Mr. Birk also served as the Vice President of Technology Commercialization at Applied Minds, LLC, a technology consulting company, and the President of a division at BiosGroup Inc., a company which commercialized complexity science software. Earlier in his career, Mr. Birk held a senior manager position at the Boston Consulting Group, Inc., a global management consulting firm, and finance manager positions at General Electric Company, an American multinational conglomerate, and GE Capital Corporation, its financial services unit. Mr. Birk is currently a member of the board of directors of several private companies, including Aspen Avionics, Inc. and Green Theme Technologies, Inc. Mr. Birk received a B.A. in Economics from Carleton College and an M.B.A. from Northwestern University’s Kellogg School of Management. Mr. Birk’s experience as a venture capitalist and prior executive experience contributed to our Board's conclusion that he should serve as a director of our Company.</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rPr>
        <w:t>Tina S. Nova, Ph.D.</w:t>
      </w:r>
      <w:r>
        <w:rPr>
          <w:rFonts w:ascii="Arial;sans-serif" w:hAnsi="Arial;sans-serif"/>
          <w:b w:val="false"/>
          <w:color w:val="000000"/>
          <w:sz w:val="20"/>
        </w:rPr>
        <w:t>, has served as a member of our Board since July 2019. Since March 2021, Dr. Nova has served as President, of the Clinical Laboratory Improvement Amendments' ("CLIA") U.S. business of Veracyte, Inc., a molecular diagnostics company. Dr. Nova previously served as President and Chief Executive Officer of Decipher Biosciences, Inc. (formerly GenomeDx, Inc.), a molecular diagnostics company, from August 2018 until its acquisition by Veracyte, Inc. in March 2021. Dr. Nova served as President and Chief Executive of Molecular Stethoscope, Inc., a diagnostics company, from September 2015 to August 2018. Dr. Nova served as Senior Vice President and General Manager of Illumina Inc.’s oncology business unit from July 2014 to August 2015. Dr. Nova was a co-founder of Genoptix, Inc., a medical laboratory diagnostics company, and served as its President from March 2000 to April 2014. Dr. Nova also served as the Chief Executive Officer of Genoptix, Inc. and as a member of its board of directors from 2000 until Novartis AG acquired Genoptix in March 2011. Dr. Nova was a co-founder of Nanogen, Inc., a provider of molecular diagnostic tests, and she served as its Chief Operating Officer and President from 1994 to 2000. Dr. Nova served as Chief Operating Officer of Selective Genetics, a biotechnology company, from 1992 to 1994, and in various director-level positions, including Executive Director of New Leads Discovery, with Ligand Pharmaceuticals Incorporated, a drug discovery and development company, from 1988 to 1992. Dr. Nova has also held various research and management positions with Hybritech, Inc., a former subsidiary of Eli Lilly &amp; Company, a pharmaceutical company. Dr. Nova formerly served on the board of directors of Arena Pharmaceuticals, Inc., a biopharmaceutical company, OpGen, Inc., an infection prevention and treatment company, and Veracyte, Inc. Dr. Nova currently serves as a member on the boards of directors of Rady Children's Institute of Genomic Medicine and Azenta, Inc. Dr. Nova holds a B.S. in Biological Sciences from the University of California, Irvine and a Ph.D. in Biochemistry from the University of California, Riverside. Dr. Nova’s extensive leadership, business and scientific expertise in the biopharmaceutical and diagnostics industries, and her experience in successfully developing, launching, and commercializing medical products contributed to our Board's conclusion that she should serve as a director of our Company.</w:t>
      </w:r>
    </w:p>
    <w:p>
      <w:pPr>
        <w:pStyle w:val="TextBody"/>
        <w:spacing w:before="0" w:after="0"/>
        <w:rPr/>
      </w:pPr>
      <w:r>
        <w:rPr/>
      </w:r>
    </w:p>
    <w:p>
      <w:pPr>
        <w:pStyle w:val="TextBody"/>
        <w:spacing w:lineRule="auto" w:line="288"/>
        <w:rPr/>
      </w:pPr>
      <w:r>
        <w:rPr>
          <w:rFonts w:ascii="Arial;sans-serif" w:hAnsi="Arial;sans-serif"/>
          <w:b w:val="false"/>
          <w:i/>
          <w:color w:val="000000"/>
          <w:sz w:val="20"/>
        </w:rPr>
        <w:t>Ebetuel Pallares, Ph.D.</w:t>
      </w:r>
      <w:r>
        <w:rPr>
          <w:rFonts w:ascii="Arial;sans-serif" w:hAnsi="Arial;sans-serif"/>
          <w:b w:val="false"/>
          <w:color w:val="000000"/>
          <w:sz w:val="20"/>
        </w:rPr>
        <w:t xml:space="preserve">, has served as a member of our Board since October 2012. In December 2014, Dr. Pallares founded Proficio Capital Management, LLC, a seed and early-stage venture fund headquartered in El Paso, Texas ("PCM"), and he has served as its General Partner since that time. Through PCM, Dr. Pallares manages several investments, including PCM/Exagen L.P. In June 2009, he co-founded Cottonwood Capital Partners, the general partner of Cottonwood Technology Fund, a seed and early-stage venture fund with headquarters in El Paso, Texas, and he served as its Managing Partner until December 2014. In 2006, Dr. Pallares founded Joseph Advisory </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Services, LLC, a strategic consulting firm, and has served as its Manager since that time. He also currently manages investments on behalf of a family office, managing fund commitments and direct investments into private operating companies. His investment sectors span healthcare, medical diagnostics, therapeutics, IT, materials sciences and nanotechnology, education technology, AR/VR and financial technology companies. Dr. Pallares also serves on several corporate and non-profit boards, as an advisor to the UT Horizon Fund, the venture capital investment fund of the University of Texas system, as an Investor in Residence for New Mexico State University’s Arrowhead Center and on the limited partnership advisory committee for several venture funds. He received a B.A. in economics from Brandeis University, an M.B.A. from the University of Texas at El Paso, or UTEP, and a Ph.D. in International Business from UTEP. Dr. Pallares’s extensive venture capital experience and his service as a director for numerous companies contributed to our Board's conclusion that he should serve as a director of our company.</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Continuing Members of the Board of Directors:</w:t>
      </w:r>
    </w:p>
    <w:p>
      <w:pPr>
        <w:pStyle w:val="TextBody"/>
        <w:spacing w:lineRule="auto" w:line="288" w:before="240" w:after="60"/>
        <w:rPr>
          <w:rFonts w:ascii="Arial;sans-serif" w:hAnsi="Arial;sans-serif"/>
          <w:b/>
          <w:color w:val="000000"/>
          <w:sz w:val="20"/>
        </w:rPr>
      </w:pPr>
      <w:r>
        <w:rPr>
          <w:rFonts w:ascii="Arial;sans-serif" w:hAnsi="Arial;sans-serif"/>
          <w:b/>
          <w:color w:val="000000"/>
          <w:sz w:val="20"/>
        </w:rPr>
        <w:t>Class II Directors (Terms to Expire at the 2024 Annual Meeting)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Arial;sans-serif" w:hAnsi="Arial;sans-serif"/>
          <w:b w:val="false"/>
          <w:i/>
          <w:color w:val="000000"/>
          <w:sz w:val="20"/>
        </w:rPr>
        <w:t>Ana Hooker</w:t>
      </w:r>
      <w:r>
        <w:rPr>
          <w:color w:val="000000"/>
        </w:rPr>
        <w:t xml:space="preserve"> </w:t>
      </w:r>
      <w:r>
        <w:rPr>
          <w:rFonts w:ascii="Arial;sans-serif" w:hAnsi="Arial;sans-serif"/>
          <w:b w:val="false"/>
          <w:color w:val="000000"/>
          <w:sz w:val="20"/>
        </w:rPr>
        <w:t>has served as a member of our Board since July 2021. Ms. Hooker has served as the Chief Laboratory Officer of Exact Sciences Corporation, a molecular diagnostics company, since February 2022. Ms. Hooker joined Exact Sciences Corporation in March 2013 with a focus on opening a new clinical laboratory in preparation for the launch of Cologuard. Prior to joining Exact Sciences Corporation, Ms. Hooker was at ARUP Laboratories for 15 years. While at ARUP Laboratories, Ms. Hooker held positions of increasing responsibility, including Group Manager for the Divisions of Oncology and Genetics, Technical Supervisor of the University of Utah Hospital Clinical Laboratories, Vice President, Division Manager for genetics and Senior Vice President, Division Manager for anatomic pathology, oncology and genetics. Ms. Hooker currently serves on the boards of directors of Big Brothers, Big Sisters of Dane County and the Overture Center for the Arts. Ms. Hooker is also a member of the Latino Professional Association (LPA), Latino Corporate Directors Association (LCDA) and the Association of Molecular Pathology (AMP). Ms. Hooker earned a Bachelor of Science from Kansas State University, a medical technologist degree from Hays Pathology Laboratories, and an M.B.A. from Westminster College. Ms. Hooker’s significant experience in molecular diagnostics contributed to our Board's conclusion that she should serve as a director of our Company.</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rPr>
        <w:t>Frank Stokes</w:t>
      </w:r>
      <w:r>
        <w:rPr>
          <w:color w:val="000000"/>
        </w:rPr>
        <w:t xml:space="preserve"> </w:t>
      </w:r>
      <w:r>
        <w:rPr>
          <w:rFonts w:ascii="Arial;sans-serif" w:hAnsi="Arial;sans-serif"/>
          <w:b w:val="false"/>
          <w:color w:val="000000"/>
          <w:sz w:val="20"/>
        </w:rPr>
        <w:t>has served as a member of our Board since June 2021. Mr. Stokes has served as the Chief Financial Officer of Castle Biosciences, Inc., a skin cancer diagnostics company, since December 2017. From January 2017 to December 2017, Mr. Stokes served as Chief Financial Officer of Hammock Pharmaceuticals, Inc., a specialty pharmaceutical company focused on the development and commercialization of women's health and urology products. From May 2011 to December 2016, Mr. Stokes served as a Managing Director of Leerink Swann (now SVB Leerink). Mr Stokes also held positions as a Managing Director at Robert W. Baird &amp; Co. Incorporated and Wachovia Securities, LLC. While at SVB Leerink and Robert W. Baird &amp; Co., Mr. Stokes led the life sciences, tools and diagnostics sector investment banking efforts, and managed financings and mergers and acquisitions transactions. Mr. Stokes holds a B.S. degree in Business Administration and J.D. and M.B.A. degrees from the University of North Carolina at Chapel Hill. Mr. Stokes' executive experience and experience in the diagnostics and life sciences industries contributed to our Board's conclusion that he should serve as a director of our Company.</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Class III Directors (Terms to Expire at the 2025 Annual Meeting)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Arial;sans-serif" w:hAnsi="Arial;sans-serif"/>
          <w:b w:val="false"/>
          <w:i/>
          <w:color w:val="000000"/>
          <w:sz w:val="20"/>
        </w:rPr>
        <w:t xml:space="preserve">Bruce C. Robertson, Ph.D., </w:t>
      </w:r>
      <w:r>
        <w:rPr>
          <w:rFonts w:ascii="Arial;sans-serif" w:hAnsi="Arial;sans-serif"/>
          <w:b w:val="false"/>
          <w:color w:val="000000"/>
          <w:sz w:val="20"/>
        </w:rPr>
        <w:t>has served as a member of our Board since July 2019. Since 2005, Dr. Robertson has served as Managing Director of H.I.G. Capital, LLC, a global private equity and investment firm. Dr. Robertson previously served as a Managing Director of Toucan Capital, an early-stage venture capital firm. Dr. Robertson serves as a member of the board of directors of Augmedics, Inc., a medical device company, and several other medical device companies, including Zerigo Health, Inc. and CardioFocus. Dr. Robertson holds a B.S.E. in Chemical Engineering and B.A. in Mathematics from the University of Pennsylvania, an M.B.A. from Harvard Business School, and a Ph.D. in Chemical Engineering from the University of Delaware. Dr. Robertson's medical and research background and his extensive experience as an investor in the medical technologies industry contributed to our Board's conclusion that he should serve as a director of our Company.</w:t>
      </w:r>
    </w:p>
    <w:p>
      <w:pPr>
        <w:pStyle w:val="TextBody"/>
        <w:spacing w:lineRule="auto" w:line="288" w:before="240" w:after="283"/>
        <w:rPr/>
      </w:pPr>
      <w:r>
        <w:rPr>
          <w:rFonts w:ascii="Arial;sans-serif" w:hAnsi="Arial;sans-serif"/>
          <w:b w:val="false"/>
          <w:i/>
          <w:color w:val="000000"/>
          <w:sz w:val="20"/>
        </w:rPr>
        <w:t>Wendy Johnson</w:t>
      </w:r>
      <w:r>
        <w:rPr>
          <w:color w:val="000000"/>
        </w:rPr>
        <w:t xml:space="preserve"> </w:t>
      </w:r>
      <w:r>
        <w:rPr>
          <w:rFonts w:ascii="Arial;sans-serif" w:hAnsi="Arial;sans-serif"/>
          <w:b w:val="false"/>
          <w:color w:val="000000"/>
          <w:sz w:val="20"/>
        </w:rPr>
        <w:t xml:space="preserve">has served as a member of our Board since October 2020. Ms. Johnson has served as Chief Business Officer of Reneo Pharmaceuticals,Inc., a pharmaceutical company, since October 2021. From April 2021 to October 2021, Ms. Johnson served as Chief Operating Officer of Reneo Pharmaceuticals, Inc. Ms. Johnson previously served as the Interim Chief Operating Officer of AmpliPhi Biosciences Corporation from September 2014 </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to January 2017, and a member of its board of directors from May 2014 until its merger in May 2019 with C3J Therapeutics, now known as Armata Pharmaceuticals, Inc. From 2005 to January 2014, Ms. Johnson served as a Venture Partner at ProQuest Investments, L.P., a venture capital firm. From November 2006 to January 2014, Ms. Johnson served as the President and Chief Executive Officer of Aires Pharmaceuticals, Inc., a ProQuest portfolio company, until its sale to MAST Therapeutics in 2014. Prior to joining ProQuest Investments, L.P., she held senior business and corporate development positions at Salmedix Inc., Women First Healthcare, Inc., Prizm Pharmaceuticals, Inc. (now Selective Genetics Inc.), Cytel Corp., Synbiotics Corp., and Murex Corp. Additionally, Ms. Johnson served as Assistant Director with the Center for Devices and Radiological Health at the U.S. Food and Drug Administration. Ms. Johnson also served as a member on the board of directors of MorphoSys AG, a late-stage biopharmaceutical company, from 2015 to 2022. Ms. Johnson received an M.B.A. from Loyola University Maryland, an M.S. in Clinical Microbiology from the Hahnemann Medical School (Drexel University), and a B.S. in Microbiology from the University of Maryland. Ms. Johnson’s significant experience in pharmaceutical drug development and business development, as well as her strong background in microbiology contributed to our Board's conclusion that she should serve as a director of our company.</w:t>
      </w:r>
    </w:p>
    <w:p>
      <w:pPr>
        <w:pStyle w:val="TextBody"/>
        <w:spacing w:lineRule="auto" w:line="288" w:before="240" w:after="283"/>
        <w:rPr/>
      </w:pPr>
      <w:r>
        <w:rPr>
          <w:rFonts w:ascii="Arial;sans-serif" w:hAnsi="Arial;sans-serif"/>
          <w:b w:val="false"/>
          <w:i/>
          <w:color w:val="000000"/>
          <w:sz w:val="20"/>
        </w:rPr>
        <w:t>John Aballi</w:t>
      </w:r>
      <w:r>
        <w:rPr>
          <w:color w:val="000000"/>
        </w:rPr>
        <w:t xml:space="preserve"> </w:t>
      </w:r>
      <w:r>
        <w:rPr>
          <w:rFonts w:ascii="Arial;sans-serif" w:hAnsi="Arial;sans-serif"/>
          <w:b w:val="false"/>
          <w:color w:val="000000"/>
          <w:sz w:val="20"/>
        </w:rPr>
        <w:t>has served as President and Chief Executive Officer of the Company since October 2022. He most recently served as SVP, GM, Urology and CLIA COO for Veracyte, Inc., a San Francisco based molecular diagnostic company. In this role, he maintained P&amp;L responsibility for the business unit, ultimately expanding the urology franchise to over $120 million in annual revenue while maintaining responsibility for the company’s market access, billing, and customer service functions in addition to Veracyte Inc.’s four U.S.-based CLIA laboratories. Prior to this role, Mr. Aballi was a key member of the leadership team which transformed Decipher Biosciences, Inc. to the market leader in genomic testing for prostate cancer. From August 2018 to March 2021, Mr. Aballi served as the Senior Vice President and Chief Operating Officer of Decipher Biosciences, Inc. Mr. Aballi was responsible for all aspects of operations including sales, quality management, medical operations, customer service, software development, assay development, billing, managed care, and laboratory operations. Decipher Biosciences, Inc. was sold to Veracyte, Inc. in March 2021 for $600 million. From September 2015 to August 2018, Mr. Aballi served as the Head of Operations at Molecular Stethoscope, Inc., a company developing cell-free RNA based diagnostics. Prior to joining Molecular Stethoscope, Inc., Mr. Aballi served in various senior roles at Genoptix, Inc. from January 2007 to September 2015. Mr. Aballi was a Board Member of PFS Genomics in San Diego, a molecular diagnostic company specializing in proprietary signature development in breast cancer, which was acquired by Exact Sciences Corporation in 2021. He holds an M.B.A. from California Baptist University and a B.S. and B.A. from UC San Diego in biochemistry and cell biology and economics, respectively.</w:t>
      </w:r>
    </w:p>
    <w:p>
      <w:pPr>
        <w:pStyle w:val="TextBody"/>
        <w:spacing w:lineRule="auto" w:line="276" w:before="240" w:after="283"/>
        <w:rPr>
          <w:rFonts w:ascii="Arial;sans-serif" w:hAnsi="Arial;sans-serif"/>
          <w:b/>
          <w:color w:val="000000"/>
          <w:sz w:val="20"/>
        </w:rPr>
      </w:pPr>
      <w:r>
        <w:rPr>
          <w:rFonts w:ascii="Arial;sans-serif" w:hAnsi="Arial;sans-serif"/>
          <w:b/>
          <w:color w:val="000000"/>
          <w:sz w:val="20"/>
        </w:rPr>
        <w:t>THE BOARD UNANIMOUSLY RECOMMENDS A VOTE FOR THE ELECTION OF BRIAN BIRK, TINA S. NOVA, PH.D. AND EBETUEL PALLARES, PH.D. AS CLASS I DIRECTORS, AND PROXIES SOLICITED BY THE BOARD WILL BE VOTED IN FAVOR THEREOF UNLESS A STOCKHOLDER HAS INDICATED OTHERWISE ON THE PROXY.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Proposal 2 - Ratification of Appointment of Independent Registered Public Accounting Firm</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Audit Committee of the Board (the "Audit Committee") has appointed BDO USA, LLP as our independent registered public accounting firm for the fiscal year ending December 31, 2023. The Board has directed that this appointment be submitted to our stockholders for ratification. Although ratification of our appointment of BDO USA, LLP is not required, we value the opinions of our stockholders and believe that stockholder ratification of our appointment is a good corporate governance practice.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BDO USA, LLP has served as our independent registered public accounting firm since 2017. Neither the accounting firm nor any of its members has any direct or indirect financial interest in or any connection with us in any capacity other than as our auditors, providing audit and non-audit services. A representative of BDO USA, LLP is expected to attend the Annual Meeting and to have an opportunity to make a statement if they intend to do so. This representative will also be available to respond to appropriate questions from stockholders.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the event that the appointment of BDO USA, LLP is not ratified by the stockholders, the Audit Committee will consider this fact when it appoints the independent registered public accounting firm for the fiscal year ending December 31, 2023. Even if the appointment of BDO USA, LLP is ratified, the Audit Committee retains the discretion to appoint a different independent registered public accounting firm at any time if it determines that such a change is in the interests of the Company.</w: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THE BOARD UNANIMOUSLY RECOMMENDS A VOTE FOR THE RATIFICATION OF THE APPOINTMENT OF BDO USA, LLP AS OUR INDEPENDENT REGISTERED PUBLIC ACCOUNTING FIRM, AND PROXIES SOLICITED BY THE BOARD WILL BE VOTED IN FAVOR THEREOF UNLESS A STOCKHOLDER HAS INDICATED OTHERWISE ON THE PROXY.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Independent Registered Public Accounting Firm Fees and Other Matters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60"/>
        <w:rPr>
          <w:rFonts w:ascii="Arial;sans-serif" w:hAnsi="Arial;sans-serif"/>
          <w:b w:val="false"/>
          <w:color w:val="000000"/>
          <w:sz w:val="20"/>
        </w:rPr>
      </w:pPr>
      <w:r>
        <w:rPr>
          <w:rFonts w:ascii="Arial;sans-serif" w:hAnsi="Arial;sans-serif"/>
          <w:b w:val="false"/>
          <w:color w:val="000000"/>
          <w:sz w:val="20"/>
        </w:rPr>
        <w:t>The following table summarizes the fees of BDO USA, LLP, our independent registered public accounting firm, billed to us for each of the last two fiscal years for audit and other services:</w:t>
      </w:r>
    </w:p>
    <w:tbl>
      <w:tblPr>
        <w:tblW w:w="4184" w:type="dxa"/>
        <w:jc w:val="left"/>
        <w:tblInd w:w="0" w:type="dxa"/>
        <w:tblCellMar>
          <w:top w:w="28" w:type="dxa"/>
          <w:left w:w="28" w:type="dxa"/>
          <w:bottom w:w="28" w:type="dxa"/>
          <w:right w:w="28" w:type="dxa"/>
        </w:tblCellMar>
      </w:tblPr>
      <w:tblGrid>
        <w:gridCol w:w="548"/>
        <w:gridCol w:w="483"/>
        <w:gridCol w:w="484"/>
        <w:gridCol w:w="246"/>
        <w:gridCol w:w="924"/>
        <w:gridCol w:w="136"/>
        <w:gridCol w:w="246"/>
        <w:gridCol w:w="924"/>
        <w:gridCol w:w="193"/>
      </w:tblGrid>
      <w:tr>
        <w:trPr/>
        <w:tc>
          <w:tcPr>
            <w:tcW w:w="54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Fee Category</w:t>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3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Audit Fees(1)</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578,806 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327,764 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Audit-Related Fees</w:t>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Fees</w:t>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Other Fees</w:t>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Fees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578,806 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327,764 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(1) Audit fees consist of fees for the audit of our financial statements, the review of the unaudited interim financial statements included in our quarterly reports on Form 10-Q and the issuance of consents and comfort letters in connection with registration statements.</w:t>
      </w:r>
    </w:p>
    <w:p>
      <w:pPr>
        <w:pStyle w:val="TextBody"/>
        <w:spacing w:before="120" w:after="283"/>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Audit Committee has considered whether the provision of non-audit services is compatible with maintaining the independence of BDO USA, LLP, and has concluded that the provision of such services is compatible with maintaining the independence of our auditors.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Audit Committee Pre-Approval of Audit and Non-Audit Services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Audit Committee has established a policy that prior to engagement of an independent registered public accounting firm for the next year's audit, management will submit an aggregate of services expected to be rendered during that year for each of four categories of services to the Audit Committee for approval. </w:t>
      </w:r>
    </w:p>
    <w:p>
      <w:pPr>
        <w:pStyle w:val="TextBody"/>
        <w:spacing w:before="0" w:after="0"/>
        <w:rPr/>
      </w:pPr>
      <w:r>
        <w:rPr/>
      </w:r>
    </w:p>
    <w:p>
      <w:pPr>
        <w:pStyle w:val="TextBody"/>
        <w:spacing w:lineRule="auto" w:line="288" w:before="0" w:after="240"/>
        <w:ind w:left="0" w:right="0" w:hanging="360"/>
        <w:rPr>
          <w:rFonts w:ascii="Arial;sans-serif" w:hAnsi="Arial;sans-serif"/>
          <w:b w:val="false"/>
          <w:color w:val="000000"/>
          <w:sz w:val="20"/>
        </w:rPr>
      </w:pPr>
      <w:r>
        <w:rPr>
          <w:rFonts w:ascii="Arial;sans-serif" w:hAnsi="Arial;sans-serif"/>
          <w:b w:val="false"/>
          <w:color w:val="000000"/>
          <w:sz w:val="20"/>
        </w:rPr>
        <w:t>1.Audit services include audit work performed in the preparation of financial statements, as well as work that generally only an independent registered public accounting firm can reasonably be expected to provide, including comfort letters, statutory audits, and attest services.</w:t>
      </w:r>
    </w:p>
    <w:p>
      <w:pPr>
        <w:pStyle w:val="TextBody"/>
        <w:spacing w:lineRule="auto" w:line="288" w:before="0" w:after="240"/>
        <w:ind w:left="0" w:right="0" w:hanging="360"/>
        <w:rPr>
          <w:rFonts w:ascii="Arial;sans-serif" w:hAnsi="Arial;sans-serif"/>
          <w:b w:val="false"/>
          <w:color w:val="000000"/>
          <w:sz w:val="20"/>
        </w:rPr>
      </w:pPr>
      <w:r>
        <w:rPr>
          <w:rFonts w:ascii="Arial;sans-serif" w:hAnsi="Arial;sans-serif"/>
          <w:b w:val="false"/>
          <w:color w:val="000000"/>
          <w:sz w:val="20"/>
        </w:rPr>
        <w:t>2.Audit-Related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p>
      <w:pPr>
        <w:pStyle w:val="TextBody"/>
        <w:spacing w:lineRule="auto" w:line="288" w:before="0" w:after="240"/>
        <w:ind w:left="0" w:right="0" w:hanging="360"/>
        <w:rPr>
          <w:rFonts w:ascii="Arial;sans-serif" w:hAnsi="Arial;sans-serif"/>
          <w:b w:val="false"/>
          <w:color w:val="000000"/>
          <w:sz w:val="20"/>
        </w:rPr>
      </w:pPr>
      <w:r>
        <w:rPr>
          <w:rFonts w:ascii="Arial;sans-serif" w:hAnsi="Arial;sans-serif"/>
          <w:b w:val="false"/>
          <w:color w:val="000000"/>
          <w:sz w:val="20"/>
        </w:rPr>
        <w:t>3.Tax services include all services performed by an independent registered public accounting firm's tax personnel except those services specifically related to the audit of the financial statements, and includes fees in the areas of tax compliance, tax planning, and tax advice.</w:t>
      </w:r>
    </w:p>
    <w:p>
      <w:pPr>
        <w:pStyle w:val="TextBody"/>
        <w:spacing w:lineRule="auto" w:line="288" w:before="0" w:after="240"/>
        <w:ind w:left="0" w:right="0" w:hanging="360"/>
        <w:rPr>
          <w:rFonts w:ascii="Arial;sans-serif" w:hAnsi="Arial;sans-serif"/>
          <w:b w:val="false"/>
          <w:color w:val="000000"/>
          <w:sz w:val="20"/>
        </w:rPr>
      </w:pPr>
      <w:r>
        <w:rPr>
          <w:rFonts w:ascii="Arial;sans-serif" w:hAnsi="Arial;sans-serif"/>
          <w:b w:val="false"/>
          <w:color w:val="000000"/>
          <w:sz w:val="20"/>
        </w:rPr>
        <w:t>4.Other Fees are those associated with services not captured in the other categories. The Company generally does not request such services from our independent registered public accounting firm.</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Audit Committee pre-approves the engagement of the independent registered public accounting firm and the provision of audit services and audit-related services on an annual basis. The Audit Committee also pre-approves the particular tax and all other services on a case-by-case basis and does not delegate approval to management. All of the services of BDO USA, LLP, for fiscal years ended December 31, 2022 and 2021 described above were pre-approved by the Audit Committee in accordance with this policy.</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Audit Committee considers whether the provision of each non-audit service is compatible with maintaining the independence of our auditors.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Report of the Audit Committee of the Board</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Audit Committee has reviewed the Company’s audited financial statements for the fiscal year ended December 31, 2022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(Communications with Audit Committees), as adopted by the Public Company Accounting Oversight Board (“PCAOB”). The Audit Committee is not employed by the company, nor does it provide any expert assurance or professional certification regarding the company’s financial statements. The Audit Committee relies, without independent verification, on the accuracy and integrity of the information provided, and representations made, by management and the Company’s independent registered public accounting firm.</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Exagen Inc. The Audit Committee also considered whether the independent registered public accounting firm’s provision of certain other non-audit related services to the Company is compatible with maintaining such firm’s independence.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Based on the reviews and discussions referred to above, the Audit Committee recommended to the Board that the audited financial statements be included in the Company’s Annual Report on Form 10-K for the fiscal year ended December 31, 2022. The Audit Committee and the Board have also recommended, subject to stockholder approval, the ratification of the appointment of BDO USA, LLP as the Company’s independent registered public accounting firm for the fiscal year ending December 31, 2023.</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This report of the Audit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foregoing report has been furnished by the Audit Committee.</w:t>
      </w:r>
    </w:p>
    <w:p>
      <w:pPr>
        <w:pStyle w:val="TextBody"/>
        <w:spacing w:before="0" w:after="0"/>
        <w:rPr/>
      </w:pPr>
      <w:r>
        <w:rPr/>
      </w:r>
    </w:p>
    <w:tbl>
      <w:tblPr>
        <w:tblW w:w="320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342"/>
        <w:gridCol w:w="342"/>
        <w:gridCol w:w="342"/>
        <w:gridCol w:w="342"/>
        <w:gridCol w:w="342"/>
        <w:gridCol w:w="4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Respectfully submitted,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Audit Committee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Frank Stokes, </w:t>
            </w:r>
            <w:r>
              <w:rPr>
                <w:rFonts w:ascii="Arial;sans-serif" w:hAnsi="Arial;sans-serif"/>
                <w:b w:val="false"/>
                <w:i/>
                <w:color w:val="000000"/>
                <w:sz w:val="20"/>
              </w:rPr>
              <w:t>Chair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 Hooker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Wendy Johnson</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Executive Officers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identifies our executive officers and their respective ages as of April 18, 2023:</w:t>
      </w:r>
    </w:p>
    <w:p>
      <w:pPr>
        <w:pStyle w:val="TextBody"/>
        <w:spacing w:before="0" w:after="0"/>
        <w:rPr/>
      </w:pPr>
      <w:r>
        <w:rPr/>
      </w:r>
    </w:p>
    <w:tbl>
      <w:tblPr>
        <w:tblW w:w="6458" w:type="dxa"/>
        <w:jc w:val="left"/>
        <w:tblInd w:w="0" w:type="dxa"/>
        <w:tblCellMar>
          <w:top w:w="28" w:type="dxa"/>
          <w:left w:w="28" w:type="dxa"/>
          <w:bottom w:w="28" w:type="dxa"/>
          <w:right w:w="28" w:type="dxa"/>
        </w:tblCellMar>
      </w:tblPr>
      <w:tblGrid>
        <w:gridCol w:w="487"/>
        <w:gridCol w:w="430"/>
        <w:gridCol w:w="432"/>
        <w:gridCol w:w="109"/>
        <w:gridCol w:w="109"/>
        <w:gridCol w:w="109"/>
        <w:gridCol w:w="150"/>
        <w:gridCol w:w="150"/>
        <w:gridCol w:w="151"/>
        <w:gridCol w:w="109"/>
        <w:gridCol w:w="109"/>
        <w:gridCol w:w="109"/>
        <w:gridCol w:w="1169"/>
        <w:gridCol w:w="1169"/>
        <w:gridCol w:w="1666"/>
      </w:tblGrid>
      <w:tr>
        <w:trPr/>
        <w:tc>
          <w:tcPr>
            <w:tcW w:w="487"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Position</w:t>
            </w:r>
          </w:p>
        </w:tc>
      </w:tr>
      <w:tr>
        <w:trP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Aballi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Chief Executive Officer and Director</w:t>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Kamal Adawi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Corporate Secretary</w:t>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 Hazeltine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Business Officer</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is biographical information for our executive officers other than Mr. Aballi, whose biographical information is included under "Nominees for Election to the Board of Directors."</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rPr>
        <w:t>Kamal Adawi</w:t>
      </w:r>
      <w:r>
        <w:rPr>
          <w:color w:val="000000"/>
        </w:rPr>
        <w:t xml:space="preserve"> </w:t>
      </w:r>
      <w:r>
        <w:rPr>
          <w:rFonts w:ascii="Arial;sans-serif" w:hAnsi="Arial;sans-serif"/>
          <w:b w:val="false"/>
          <w:color w:val="000000"/>
          <w:sz w:val="20"/>
        </w:rPr>
        <w:t xml:space="preserve">has served as our Chief Financial Officer since June 2017 and as our Corporate Secretary since September 2017. From 2014 to 2017, Mr. Adawi served as the Chief Financial Officer, Corporate Secretary and Treasurer of Pathway Genomics Corporation, a global genetic testing company. Prior to joining Pathway Genomics Corporation, from March 2014 to December 2014, Mr. Adawi served as our Director of Financial Planning and Analysis. Earlier in his career, Mr. Adawi managed the finance departments for GenMark Diagnostics, Inc., serving as its Manager of Financial Planning and Analysis, and Digirad Corporation, serving as its Manager of Financial Planning and Analysis, both publicly traded diagnostic companies. Mr. Adawi also served in various capacities in the finance and accounting departments at Becton, Dickinson and Company, a global medical technology company. Mr. Adawi received a B.A. in Finance from Michigan State University, an M.B.A. from Oakland University with a focus on management, and an M.S. in Finance from San Diego State University. </w:t>
      </w:r>
    </w:p>
    <w:p>
      <w:pPr>
        <w:pStyle w:val="TextBody"/>
        <w:spacing w:before="0" w:after="0"/>
        <w:rPr/>
      </w:pPr>
      <w:r>
        <w:rPr/>
      </w:r>
    </w:p>
    <w:p>
      <w:pPr>
        <w:pStyle w:val="TextBody"/>
        <w:spacing w:lineRule="auto" w:line="288" w:before="0" w:after="0"/>
        <w:rPr/>
      </w:pPr>
      <w:r>
        <w:rPr>
          <w:rFonts w:ascii="Arial;sans-serif" w:hAnsi="Arial;sans-serif"/>
          <w:b w:val="false"/>
          <w:i/>
          <w:color w:val="000000"/>
          <w:sz w:val="20"/>
        </w:rPr>
        <w:t>Mark Hazeltine</w:t>
      </w:r>
      <w:r>
        <w:rPr>
          <w:color w:val="000000"/>
        </w:rPr>
        <w:t xml:space="preserve"> </w:t>
      </w:r>
      <w:r>
        <w:rPr>
          <w:rFonts w:ascii="Arial;sans-serif" w:hAnsi="Arial;sans-serif"/>
          <w:b w:val="false"/>
          <w:color w:val="000000"/>
          <w:sz w:val="20"/>
        </w:rPr>
        <w:t>has served as our Chief Business Officer since December 2022 and served in multiple key leadership roles including Chief Operating Officer, General Manager, Senior Vice President of Finance and Corporate Development, Vice President of Finance, and Senior Director of Financial Planning and Analysis since joining Exagen in March 2015. Prior to joining Exagen, from September 2010 to March 2015, Mr. Hazeltine served as Director of Financial Planning and Analysis and Director of Financial Business Processes at CareFusion Corporation, a medical technology corporation. Mr. Hazeltine also worked in multiple management roles at multinational organizations, including Kyocera Corporation and Qualcomm Incorporated. Mr. Hazeltine received a B.A. in Business Administration from the University of San Diego and an M.B.A. from the Marshall School of Business at the University of Southern California.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Corporate Governance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General</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Board has adopted Corporate Governance Guidelines, a Code of Conduct and Ethics and charters for our Nominating Committee, Audit Committee and Compensation Committee of the Board (the "Compensation Committee") to assist the Board in the exercise of its responsibilities and to serve as a framework for the effective governance of the Company. You can access our current committee charters, our Corporate Governance Guidelines and our Code of Conduct and Ethics in the “Corporate Governance” section of the “Investors” page of our website located at www.exagen.com, or by writing to our Corporate Secretary at our offices at 1261 Liberty Way, Vista, CA 92081. Please note, however, that the information contained on the website is not incorporated by reference in, or considered part of, this proxy statement.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Director Independence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rPr>
          <w:rFonts w:ascii="Arial;sans-serif" w:hAnsi="Arial;sans-serif"/>
          <w:b w:val="false"/>
          <w:color w:val="000000"/>
          <w:sz w:val="20"/>
        </w:rPr>
      </w:pPr>
      <w:r>
        <w:rPr>
          <w:rFonts w:ascii="Arial;sans-serif" w:hAnsi="Arial;sans-serif"/>
          <w:b w:val="false"/>
          <w:color w:val="000000"/>
          <w:sz w:val="20"/>
        </w:rPr>
        <w:t xml:space="preserve">The Board currently consists of nine members. The Board has determined that all of our current directors, other than Mr. Aballi and Dr. Nova, are independent directors in accordance with the listing requirements of the Nasdaq Global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the Board has made a subjective determination as to each independent director and director nominee </w:t>
      </w:r>
      <w:r>
        <w:br w:type="page"/>
      </w: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that no relationships exist, which, in the opinion of the Board, would interfere with the exercise of independent judgment in carrying out the responsibilities of a director. In making these determinations, the Board reviewed and discussed information provided by the directors (and director nominee) and us with regard to each director’s or director nominee's business and personal activities and relationships as they may relate to us and our management. There are no family relationships among any of our directors, director nominees or executive officers.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Board Diversity and Director Nomination Process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Nominating Committee is responsible for reviewing with the Board,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Committee, in recommending candidates for election, and the Board will take into account many factors, including the following:</w:t>
      </w:r>
    </w:p>
    <w:p>
      <w:pPr>
        <w:pStyle w:val="TextBody"/>
        <w:spacing w:lineRule="auto" w:line="288" w:before="120" w:after="283"/>
        <w:ind w:left="0" w:right="0" w:hanging="360"/>
        <w:rPr/>
      </w:pPr>
      <w:r>
        <w:rPr>
          <w:color w:val="000000"/>
        </w:rPr>
        <w:t>•</w:t>
      </w:r>
      <w:r>
        <w:rPr>
          <w:rFonts w:ascii="Arial;sans-serif" w:hAnsi="Arial;sans-serif"/>
          <w:b w:val="false"/>
          <w:color w:val="000000"/>
          <w:sz w:val="20"/>
        </w:rPr>
        <w:t>personal and professional integrity, ethics and values;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experience in corporate management, such as serving as an officer or former officer of a publicly-held company;</w:t>
      </w:r>
    </w:p>
    <w:p>
      <w:pPr>
        <w:pStyle w:val="TextBody"/>
        <w:spacing w:lineRule="auto" w:line="288" w:before="120" w:after="283"/>
        <w:ind w:left="0" w:right="0" w:hanging="360"/>
        <w:rPr/>
      </w:pPr>
      <w:r>
        <w:rPr>
          <w:color w:val="000000"/>
        </w:rPr>
        <w:t>•</w:t>
      </w:r>
      <w:r>
        <w:rPr>
          <w:rFonts w:ascii="Arial;sans-serif" w:hAnsi="Arial;sans-serif"/>
          <w:b w:val="false"/>
          <w:color w:val="000000"/>
          <w:sz w:val="20"/>
        </w:rPr>
        <w:t>experience as a board member or executive officer of another publicly-held company;</w:t>
      </w:r>
    </w:p>
    <w:p>
      <w:pPr>
        <w:pStyle w:val="TextBody"/>
        <w:spacing w:lineRule="auto" w:line="288" w:before="120" w:after="283"/>
        <w:ind w:left="0" w:right="0" w:hanging="360"/>
        <w:rPr/>
      </w:pPr>
      <w:r>
        <w:rPr>
          <w:color w:val="000000"/>
        </w:rPr>
        <w:t>•</w:t>
      </w:r>
      <w:r>
        <w:rPr>
          <w:rFonts w:ascii="Arial;sans-serif" w:hAnsi="Arial;sans-serif"/>
          <w:b w:val="false"/>
          <w:color w:val="000000"/>
          <w:sz w:val="20"/>
        </w:rPr>
        <w:t>strong finance experience;</w:t>
      </w:r>
    </w:p>
    <w:p>
      <w:pPr>
        <w:pStyle w:val="TextBody"/>
        <w:spacing w:lineRule="auto" w:line="288" w:before="120" w:after="283"/>
        <w:ind w:left="0" w:right="0" w:hanging="360"/>
        <w:rPr/>
      </w:pPr>
      <w:r>
        <w:rPr>
          <w:color w:val="000000"/>
        </w:rPr>
        <w:t>•</w:t>
      </w:r>
      <w:r>
        <w:rPr>
          <w:rFonts w:ascii="Arial;sans-serif" w:hAnsi="Arial;sans-serif"/>
          <w:b w:val="false"/>
          <w:color w:val="000000"/>
          <w:sz w:val="20"/>
        </w:rPr>
        <w:t>diversity of expertise and experience in substantive matters pertaining to our business relative to other board members;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diversity of background and perspective, including, but not limited to, with respect to age, gender, race, place of residence and specialized experience;</w:t>
      </w:r>
    </w:p>
    <w:p>
      <w:pPr>
        <w:pStyle w:val="TextBody"/>
        <w:spacing w:lineRule="auto" w:line="288" w:before="120" w:after="283"/>
        <w:ind w:left="0" w:right="0" w:hanging="360"/>
        <w:rPr/>
      </w:pPr>
      <w:r>
        <w:rPr>
          <w:color w:val="000000"/>
        </w:rPr>
        <w:t>•</w:t>
      </w:r>
      <w:r>
        <w:rPr>
          <w:rFonts w:ascii="Arial;sans-serif" w:hAnsi="Arial;sans-serif"/>
          <w:b w:val="false"/>
          <w:color w:val="000000"/>
          <w:sz w:val="20"/>
        </w:rPr>
        <w:t>experience relevant to our business industry and with relevant social policy concerns; and</w:t>
      </w:r>
    </w:p>
    <w:p>
      <w:pPr>
        <w:pStyle w:val="TextBody"/>
        <w:spacing w:lineRule="auto" w:line="288" w:before="120" w:after="283"/>
        <w:ind w:left="0" w:right="0" w:hanging="360"/>
        <w:rPr/>
      </w:pPr>
      <w:r>
        <w:rPr>
          <w:color w:val="000000"/>
        </w:rPr>
        <w:t>•</w:t>
      </w:r>
      <w:r>
        <w:rPr>
          <w:rFonts w:ascii="Arial;sans-serif" w:hAnsi="Arial;sans-serif"/>
          <w:b w:val="false"/>
          <w:color w:val="000000"/>
          <w:sz w:val="20"/>
        </w:rPr>
        <w:t>relevant academic expertise or other proficiency in an area of our business operations.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Currently, the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Other than the foregoing, there are no stated minimum criteria for director nominees, although the Nominating Committee may also consider such other factors as it may deem to be in the best interests of our Company and our stockholders. The Nominating Committee does, however, believe it appropriate for at least one member of our Board to meet the criteria for an “audit committee financial expert” as defined by SEC rules, and that a majority of the members of our Board meet the definition of “independent director” under Nasdaq qualification standards. The Nominating Committee also believes it is appropriate for our President and Chief Executive Officer to serve as a member of our Board. Three of our nine directors self-identify as female and four of our nine directors self-identify as members of an "underrepresented community" as defined in the California Corporations Code or an "underrepresented minority" as defined under Nasdaq board diversity requirements. The Board Diversity Matrix, below, provides the diversity statistics of our Board.</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Board Diversity Matrix (As of April 18, 2023)</w:t>
      </w:r>
    </w:p>
    <w:tbl>
      <w:tblPr>
        <w:tblW w:w="9108" w:type="dxa"/>
        <w:jc w:val="left"/>
        <w:tblInd w:w="0" w:type="dxa"/>
        <w:tblCellMar>
          <w:top w:w="28" w:type="dxa"/>
          <w:left w:w="28" w:type="dxa"/>
          <w:bottom w:w="28" w:type="dxa"/>
          <w:right w:w="28" w:type="dxa"/>
        </w:tblCellMar>
      </w:tblPr>
      <w:tblGrid>
        <w:gridCol w:w="1401"/>
        <w:gridCol w:w="1233"/>
        <w:gridCol w:w="1236"/>
        <w:gridCol w:w="260"/>
        <w:gridCol w:w="260"/>
        <w:gridCol w:w="261"/>
        <w:gridCol w:w="180"/>
        <w:gridCol w:w="180"/>
        <w:gridCol w:w="181"/>
        <w:gridCol w:w="115"/>
        <w:gridCol w:w="115"/>
        <w:gridCol w:w="116"/>
        <w:gridCol w:w="380"/>
        <w:gridCol w:w="380"/>
        <w:gridCol w:w="381"/>
        <w:gridCol w:w="711"/>
        <w:gridCol w:w="711"/>
        <w:gridCol w:w="1007"/>
      </w:tblGrid>
      <w:tr>
        <w:trPr/>
        <w:tc>
          <w:tcPr>
            <w:tcW w:w="1401"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Number of Directors</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Female</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Male</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Non-Binary</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Did Not Disclose Gender</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Part I: Gender Identity</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Directors</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Part II: Demographic Background</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African American or Black</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Alaskan Native or Native American</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Asian</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Hispanic or Latinx</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Native Hawaiian or Pacific Islander</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White</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Two or More Races or Ethnicities</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LGBTQ+</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Did Not Disclose Demographic Background</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Identification and Evaluation of Nominees for Directors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Nominating Committee identifies nominees for director by first evaluating the current members of our Board willing to continue in service. Current members with qualifications and skills that are consistent with the Nominating Committee's criteria for board of director service and who are willing to continue in service are considered for re-nomination, balancing the value of continuity of service by existing members of our Board with that of obtaining a new perspective or expertise.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If any member of our Board does not wish to continue in service or if our Board decides not to re-nominate a member for re-election or if the Board decides to expand its size, the Nominating Committee identifies the desired skills and experience of a new nominee in light of the criteria above. The Nominating Committee generally polls our Board and members of management for their recommendations. The Nominating Committee may also review the composition and qualification of the boards of directors of our competitors and may seek input from industry experts or analysts. The Nominating Committee reviews the qualifications, experience and background of the candidates. Final candidates are interviewed by the members of the Nominating Committee and by certain of our other independent directors and executive management. In making its determinations, the Nominating Committee evaluates each individual in the context of our Board as a whole, with the objective of assembling a group that can best contribute to the success of our company and represent stockholder interests through the exercise of sound business judgment. After review and deliberation of all feedback and data, the Nominating Committee makes its recommendation to our Board.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have not received director candidate recommendations from our stockholders, and we do not have a formal policy regarding consideration of such recommendations. However, any recommendations received from stockholders will be evaluated in the same manner that potential nominees suggested by members of our Board, management or other parties are evaluated.</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Under our Bylaws, a stockholder wishing to suggest a candidate for director should write to our Corporate Secretary and provide such information about the stockholder and the proposed candidate as is set forth in our Bylaws and as would be required by SEC rules to be included in a proxy statement. In addition, the stockholder must include the consent of the candidate and describe any arrangements or undertakings between the stockholder and the candidate regarding the nomination. In order to give the Nominating Committee sufficient time to evaluate a recommended candidate and include the candidate in our proxy statement for the 2024 Annual Meeting of Stockholders (the "2024 Annual Meeting"), the recommendation should be received by our Corporate Secretary at our principal executive offices in accordance with our procedures detailed in the section below entitled "Stockholder Proposals."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Communication from Stockholders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Communications are forwarded to all directors if they relate to important substantive matters and include suggestions or comments that our Corporate Secretary and Executive Chairperson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Corporate Secretary, Exagen Inc., 1261 Liberty Way, Vista, California 92081.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Director Attendance at Annual Meetings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Although we do not have a formal policy regarding attendance by members of our Board at our Annual Meeting, we strongly encourage, but do not require, our directors to attend. No members of our Board attended our 2022 Annual Meeting of Stockholders.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Board Leadership Structure - Separate Executive Chairperson</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Board is currently led by its Executive Chairperson, Tina S. Nova, Ph.D. The Board recognizes that it is important to determine an optimal board leadership structure to ensure the independent oversight of management as we continue to grow. We separate the roles of Chief Executive Officer and Executive Chairperson of the Board in recognition of the differences between the two roles. The Chief Executive Officer is responsible for setting the strategic direction for our Company and the day-to-day leadership and performance of our Company, while the Executive Chairperson of the Board provides guidance to the Chief Executive Officer and presides over meetings of the full Board. We believe that this separation of responsibilities provides a balanced approach to managing the Board and overseeing our Company.</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Board has concluded that our current leadership structure is appropriate at this time. However, the Board will continue to periodically review our leadership structure and may make such changes in the future as it deems appropriate.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Role of Board in Risk Oversight Process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pStyle w:val="TextBody"/>
        <w:spacing w:before="0" w:after="0"/>
        <w:rPr/>
      </w:pPr>
      <w:r>
        <w:rPr/>
      </w:r>
    </w:p>
    <w:p>
      <w:pPr>
        <w:pStyle w:val="TextBody"/>
        <w:spacing w:lineRule="auto" w:line="288"/>
        <w:rPr>
          <w:rFonts w:ascii="Arial;sans-serif" w:hAnsi="Arial;sans-serif"/>
          <w:b w:val="false"/>
          <w:color w:val="000000"/>
          <w:sz w:val="20"/>
        </w:rPr>
      </w:pPr>
      <w:r>
        <w:rPr>
          <w:rFonts w:ascii="Arial;sans-serif" w:hAnsi="Arial;sans-serif"/>
          <w:b w:val="false"/>
          <w:color w:val="000000"/>
          <w:sz w:val="20"/>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r>
        <w:br w:type="page"/>
      </w: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Annual Board Evaluation</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Our Corporate Governance Guidelines require the Nominating Committee to oversee an annual assessment by the Board of the Board’s performance. As provided in our Corporate Governance Guidelines, the Nominating Committee is responsible for establishing the evaluation criteria and implementing the process for such evaluation.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Code of Ethics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have a written Code of Conduct and Ethics that applies to our directors, officers and employees, including our principal executive officer, principal financial officer, principal accounting officer or controller, or persons performing similar functions. We have posted a current copy of the code in the "Corporate Governance" section of the "Investors" page on our website located at www.exagen.com.</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addition, we intend to post on our website all disclosures that are required by law or the listing standards of Nasdaq concerning any amendments to, or waivers from, any provision of the code.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Policy Prohibiting Hedging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Insider Trading Compliance Policy applies to all officers, directors, employees of the Company and certain consultants specified by management, and prohibits all hedging transactions involving the Company's equity securities, such as zero-cost collars and forward sale contracts.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Attendance by Members of the Board of Directors at Meetings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There were seven meetings of the Board (including telephonic meetings) during the fiscal year ended December 31, 2022. During the fiscal year ended December 31, 2022, each director attended at least 75% of the aggregate of all meetings of the Board, and each director attended as least 75% of meetings of the committees on which such director served during the period in which he or she served as a director.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Committees of the Board and Independence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Board has established three standing committees—audit, compensation and nominating and corporate governance.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current members of each of the Board committees and committee chairs are set forth in the following chart.</w:t>
      </w:r>
    </w:p>
    <w:p>
      <w:pPr>
        <w:pStyle w:val="TextBody"/>
        <w:spacing w:before="0" w:after="0"/>
        <w:rPr/>
      </w:pPr>
      <w:r>
        <w:rPr/>
      </w:r>
    </w:p>
    <w:tbl>
      <w:tblPr>
        <w:tblW w:w="7156" w:type="dxa"/>
        <w:jc w:val="left"/>
        <w:tblInd w:w="0" w:type="dxa"/>
        <w:tblCellMar>
          <w:top w:w="28" w:type="dxa"/>
          <w:left w:w="28" w:type="dxa"/>
          <w:bottom w:w="28" w:type="dxa"/>
          <w:right w:w="28" w:type="dxa"/>
        </w:tblCellMar>
      </w:tblPr>
      <w:tblGrid>
        <w:gridCol w:w="750"/>
        <w:gridCol w:w="659"/>
        <w:gridCol w:w="661"/>
        <w:gridCol w:w="180"/>
        <w:gridCol w:w="180"/>
        <w:gridCol w:w="181"/>
        <w:gridCol w:w="425"/>
        <w:gridCol w:w="425"/>
        <w:gridCol w:w="426"/>
        <w:gridCol w:w="956"/>
        <w:gridCol w:w="956"/>
        <w:gridCol w:w="1357"/>
      </w:tblGrid>
      <w:tr>
        <w:trPr/>
        <w:tc>
          <w:tcPr>
            <w:tcW w:w="750"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 of Director</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Audit</w:t>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Compensation</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Nominating and Corporate Governance</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Brian Birk</w:t>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Ana Hooker</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3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Wendy Johnson</w:t>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Tina S. Nova, Ph.D.</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Ebetuel Pallares, Ph.D.</w:t>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Bruce C. Robertson, Ph.D.</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Frank Stokes </w:t>
            </w:r>
            <w:r>
              <w:rPr>
                <w:color w:val="000000"/>
              </w:rPr>
              <w:t>†</w:t>
            </w:r>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James L.L. Tullis</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3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13"/>
        </w:rPr>
      </w:pPr>
      <w:r>
        <w:rPr>
          <w:rFonts w:ascii="Arial;sans-serif" w:hAnsi="Arial;sans-serif"/>
          <w:b w:val="false"/>
          <w:color w:val="000000"/>
          <w:sz w:val="13"/>
        </w:rPr>
        <w:t>C    Committee Chairperson</w:t>
      </w:r>
    </w:p>
    <w:p>
      <w:pPr>
        <w:pStyle w:val="TextBody"/>
        <w:spacing w:lineRule="auto" w:line="288"/>
        <w:rPr>
          <w:color w:val="000000"/>
        </w:rPr>
      </w:pPr>
      <w:r>
        <w:rPr>
          <w:color w:val="000000"/>
        </w:rPr>
        <w:t>†    </w:t>
      </w:r>
      <w:r>
        <w:rPr>
          <w:rFonts w:ascii="Arial;sans-serif" w:hAnsi="Arial;sans-serif"/>
          <w:b w:val="false"/>
          <w:color w:val="000000"/>
          <w:sz w:val="13"/>
        </w:rPr>
        <w:t>Financial Expert</w:t>
      </w:r>
      <w:r>
        <w:br w:type="page"/>
      </w: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Immediately following the Annual Meeting, the Compensation Committee will be comprised of Ana Hooker and Bruce C. Robertson, Ph.D.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240" w:after="283"/>
        <w:rPr>
          <w:rFonts w:ascii="Arial;sans-serif" w:hAnsi="Arial;sans-serif"/>
          <w:b/>
          <w:color w:val="000000"/>
          <w:sz w:val="20"/>
        </w:rPr>
      </w:pPr>
      <w:r>
        <w:rPr>
          <w:rFonts w:ascii="Arial;sans-serif" w:hAnsi="Arial;sans-serif"/>
          <w:b/>
          <w:color w:val="000000"/>
          <w:sz w:val="20"/>
        </w:rPr>
        <w:t>Audit Committee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Audit Committee’s main function is to oversee our accounting and financial reporting processes and the audits of our financial statements. This committee’s responsibilities include, among other things: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appointing our independent registered public accounting firm;</w:t>
      </w:r>
    </w:p>
    <w:p>
      <w:pPr>
        <w:pStyle w:val="TextBody"/>
        <w:spacing w:lineRule="auto" w:line="288" w:before="120" w:after="283"/>
        <w:ind w:left="0" w:right="0" w:hanging="360"/>
        <w:rPr/>
      </w:pPr>
      <w:r>
        <w:rPr>
          <w:color w:val="000000"/>
        </w:rPr>
        <w:t>•</w:t>
      </w:r>
      <w:r>
        <w:rPr>
          <w:rFonts w:ascii="Arial;sans-serif" w:hAnsi="Arial;sans-serif"/>
          <w:b w:val="false"/>
          <w:color w:val="000000"/>
          <w:sz w:val="20"/>
        </w:rPr>
        <w:t>evaluating the qualifications, independence and performance of our independent registered public accounting firm;</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approving the audit and non-audit services to be performed by our independent registered public accounting firm;</w:t>
      </w:r>
    </w:p>
    <w:p>
      <w:pPr>
        <w:pStyle w:val="TextBody"/>
        <w:spacing w:lineRule="auto" w:line="288" w:before="120" w:after="283"/>
        <w:ind w:left="0" w:right="0" w:hanging="360"/>
        <w:rPr/>
      </w:pPr>
      <w:r>
        <w:rPr>
          <w:color w:val="000000"/>
        </w:rPr>
        <w:t>•</w:t>
      </w:r>
      <w:r>
        <w:rPr>
          <w:rFonts w:ascii="Arial;sans-serif" w:hAnsi="Arial;sans-serif"/>
          <w:b w:val="false"/>
          <w:color w:val="000000"/>
          <w:sz w:val="20"/>
        </w:rPr>
        <w:t>reviewing the design, implementation, adequacy and effectiveness of our internal accounting controls and our critical accounting policies;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discussing with management and the independent registered public accounting firm the results of our annual audit and the review of our quarterly unaudited financial statements;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reviewing, overseeing and monitoring the integrity of our financial statements and our compliance with legal and regulatory requirements as they relate to financial statements or accounting matters;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reviewing on a periodic basis, or as appropriate, any investment policy and recommending to the Board any changes to such investment policy;</w:t>
      </w:r>
    </w:p>
    <w:p>
      <w:pPr>
        <w:pStyle w:val="TextBody"/>
        <w:spacing w:lineRule="auto" w:line="288" w:before="120" w:after="283"/>
        <w:ind w:left="0" w:right="0" w:hanging="360"/>
        <w:rPr/>
      </w:pPr>
      <w:r>
        <w:rPr>
          <w:color w:val="000000"/>
        </w:rPr>
        <w:t>•</w:t>
      </w:r>
      <w:r>
        <w:rPr>
          <w:rFonts w:ascii="Arial;sans-serif" w:hAnsi="Arial;sans-serif"/>
          <w:b w:val="false"/>
          <w:color w:val="000000"/>
          <w:sz w:val="20"/>
        </w:rPr>
        <w:t>reviewing with management and our auditors any earnings announcements and other public announcements regarding our results of operations;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preparing the report that the SEC requires in our annual proxy statement;</w:t>
      </w:r>
    </w:p>
    <w:p>
      <w:pPr>
        <w:pStyle w:val="TextBody"/>
        <w:spacing w:lineRule="auto" w:line="288" w:before="120" w:after="283"/>
        <w:ind w:left="0" w:right="0" w:hanging="360"/>
        <w:rPr/>
      </w:pPr>
      <w:r>
        <w:rPr>
          <w:color w:val="000000"/>
        </w:rPr>
        <w:t>•</w:t>
      </w:r>
      <w:r>
        <w:rPr>
          <w:rFonts w:ascii="Arial;sans-serif" w:hAnsi="Arial;sans-serif"/>
          <w:b w:val="false"/>
          <w:color w:val="000000"/>
          <w:sz w:val="20"/>
        </w:rPr>
        <w:t>reviewing and approving any related party transactions and reviewing and monitoring compliance with our code of conduct and ethics;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reviewing and evaluating, at least annually, the performance of the Audit Committee and its members including compliance of the Audit Committee with its charter;</w:t>
      </w:r>
    </w:p>
    <w:p>
      <w:pPr>
        <w:pStyle w:val="TextBody"/>
        <w:spacing w:lineRule="auto" w:line="288" w:before="120" w:after="283"/>
        <w:ind w:left="0" w:right="0" w:hanging="360"/>
        <w:rPr/>
      </w:pPr>
      <w:r>
        <w:rPr>
          <w:color w:val="000000"/>
        </w:rPr>
        <w:t>•</w:t>
      </w:r>
      <w:r>
        <w:rPr>
          <w:rFonts w:ascii="Arial;sans-serif" w:hAnsi="Arial;sans-serif"/>
          <w:b w:val="false"/>
          <w:color w:val="000000"/>
          <w:sz w:val="20"/>
        </w:rPr>
        <w:t>discussing the Company's policies with respect to risk assessment and risk management, including with respect to cybersecurity; and</w:t>
      </w:r>
    </w:p>
    <w:p>
      <w:pPr>
        <w:pStyle w:val="TextBody"/>
        <w:spacing w:lineRule="auto" w:line="288" w:before="120" w:after="283"/>
        <w:ind w:left="0" w:right="0" w:hanging="360"/>
        <w:rPr/>
      </w:pPr>
      <w:r>
        <w:rPr>
          <w:color w:val="000000"/>
        </w:rPr>
        <w:t>•</w:t>
      </w:r>
      <w:r>
        <w:rPr>
          <w:rFonts w:ascii="Arial;sans-serif" w:hAnsi="Arial;sans-serif"/>
          <w:b w:val="false"/>
          <w:color w:val="000000"/>
          <w:sz w:val="20"/>
        </w:rPr>
        <w:t>overseeing the Company's Environmental, Social and Corporate Governance ("ESG") strategy, initiatives and policies.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members of our Audit Committee are Mr. Stokes, Ms. Johnson and Ms. Hooker. Mr. Stokes currently serves as the Chairperson of the Audit Committee. All members of our Audit Committee, including Mr. Stokes, meet the requirements for financial literacy under the applicable rules and regulations of the SEC and Nasdaq. The Board has determined that Mr. Stokes is an “audit committee financial expert” as defined by applicable SEC rules and has the requisite financial sophistication as defined under the applicable Nasdaq rules and regulations. The Board has determined each of Ms. Johnson, Ms. Hooker and Mr. Stokes are independent under the applicable rules of the SEC and Nasdaq. The Audit Committee operates under a written charter that satisfies the applicable standards of the SEC and Nasdaq, which the Audit Committee will review and evaluate at least annually. A copy of the charter for our Audit Committee is available on our investor relations website at investors.exagen.com under Investors—Governance—Governance Documents. The Audit Committee met four times during 2022.</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Both our external auditor and internal financial personnel meet privately with the Audit Committee and have unrestricted access to this committee.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Compensation Committee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rPr>
          <w:rFonts w:ascii="Arial;sans-serif" w:hAnsi="Arial;sans-serif"/>
          <w:b w:val="false"/>
          <w:color w:val="000000"/>
          <w:sz w:val="20"/>
        </w:rPr>
      </w:pPr>
      <w:r>
        <w:rPr>
          <w:rFonts w:ascii="Arial;sans-serif" w:hAnsi="Arial;sans-serif"/>
          <w:b w:val="false"/>
          <w:color w:val="000000"/>
          <w:sz w:val="20"/>
        </w:rPr>
        <w:t xml:space="preserve">Our Compensation Committee reviews, approves and recommends to the Board policies relating to compensation and benefits of our officers, employees and directors. The Compensation Committee approves corporate goals and objectives relevant to the compensation of our Chief Executive Officer and other executive officers, evaluates the </w:t>
      </w:r>
      <w:r>
        <w:br w:type="page"/>
      </w: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performance of these officers in light of those goals and objectives and approves the compensation of these officers based on such evaluations. The Compensation Committee also reviews and approves, or makes recommendations to the Board, regarding our incentive compensation plans, equity-based plans and executive severance plans and arrangements. The Compensation Committee has the authority to administer any such plans and arrangements and to approve grants of cash-based and equity-based awards under such plans. In addition, the Compensation Committee periodically reviews, and recommends to the Board, compensation for service on the Board and any committees of the Board. The Compensation Committee may delegate its authority under its charter to one or more subcommittees as it deems appropriate from time to time as further described in its charter. The Compensation Committee will review and evaluate, at least annually, its charter, as well as review and evaluate, at least annually, the performance of the Compensation Committee and its members, including compliance by the Compensation Committee with its charter.</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Compensation Committee has the authority to retain or obtain the advice of compensation consultants, legal counsel and other advisors to assist in carrying out its responsibilities. In 2022, the Compensation Committee engaged FW Cook, an independent compensation consultant, to assist in making decisions regarding the amount and types of compensation to provide our executives and non-employee directors. As part of this process, the Compensation Committee reviewed a compensation assessment provided by FW Cook which compared our compensation to that of a group of peer companies within our industry. The Compensation Committee also met with FW Cook to discuss our executive and non-employee director compensation and receive input and advice. FW Cook reported directly to the Compensation Committee.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members of our Compensation Committee are Dr. Robertson, Ms. Hooker and Mr. Tullis. Dr. Robertson serves as the Chairperson of the committee. Mr. Tullis will retire from the Compensation Committee effective at the Company's Annual Meeting. Our Board has determined that each member of this committee is independent under the applicable rules and regulations of Nasdaq and is a “non-employee director” as defined in Rule 16b-3 promulgated under the Exchange Act. A copy of the charter for our Compensation Committee is available on our investor relations website at investors.exagen.com under Investors - Governance— Governance Documents. The Compensation Committee met two times during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Nominating and Corporate Governance Committee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Nominating Committee is responsible for assisting the Board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the Board and any committees thereof. In addition, the Nominating Committee is responsible for overseeing our corporate governance policies, reporting and making recommendations to the Board concerning governance matters and oversight of the evaluation of the Board. The members of our Nominating Committee are Mr. Birk, Dr. Pallares and Dr. Robertson. Mr. Birk serves as the Chairperson of the committee. The Board has determined that each member of this committee is independent under the applicable rules and regulations of Nasdaq relating to Nominating Committee independence. The Nominating Committee operates under a written charter, which the Nominating Committee will review and evaluate at least annually. A copy of the charter for our Nominating Committee is available on our investor relations website at investors.exagen.com under Investors - Governance— Governance Documents. The Nominating Committee met one time during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Environmental, Social and Governance Matters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Environmental, Social and Governance Committee (the "ESG Committee") consists of a cross functional leadership team with the purpose, duties and responsibility of reviewing and recommending our ESG programs, policies and practices. The ESG Committee meets formally at least annually and makes recommendations to the President and Chief Executive Officer to be presented to the Audit Committee. For more information regarding our ESG initiatives, including our ESG report, please refer to www.exagen.com/investors.</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Environment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At Exagen, we believe that working safely and being environmentally responsible are fundamental to our success. We are committed to conducting business in a way that considers our environment and our planet's changing climate, and that is also consistent with providing a high state of wellness and success for our employees and stakeholders. To date, we have incorporated environmentally sustainable practices into certain of our facilities and operations, and we plan to invest in more of these practices as we continue to grow. Per our commitment to reduce resource consumption by practicing efficient use of energy, we are looking into various resource-efficient technologies at our facility, including; high efficiency light fixtures, energy recovery from lab ventilation, and energy efficient chillers. Additionally, as part of our ongoing efforts to reduce all types of waste, we have implemented or are in the process of implementing the following initiatives; switching to reusable utensils to avoid single use, recycling styrofoam from trial samples to reduce landfill waste, recycling lab gloves, and using compostable dishware where single use cannot be avoided. In 2022, we used environmentally sound methods to dispose of all hazardous and/or medical waste that we produced.</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Human Capital</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recognize that our employees are critical to our mandate to provide accurate, timely and differential diagnosis for patients suffering from autoimmune and autoimmune-related diseases. That makes our employees both our most valuable asset and our most important investment. The success of our organization is reliant upon each individual's significant contribution to our corporate culture and goals, in addition to their commitment to our core company values of:</w:t>
      </w:r>
    </w:p>
    <w:p>
      <w:pPr>
        <w:pStyle w:val="TextBody"/>
        <w:spacing w:lineRule="auto" w:line="288" w:before="60" w:after="283"/>
        <w:ind w:left="0" w:right="0" w:hanging="360"/>
        <w:rPr/>
      </w:pPr>
      <w:r>
        <w:rPr>
          <w:color w:val="000000"/>
        </w:rPr>
        <w:t>•</w:t>
      </w:r>
      <w:r>
        <w:rPr>
          <w:rFonts w:ascii="Arial;sans-serif" w:hAnsi="Arial;sans-serif"/>
          <w:b w:val="false"/>
          <w:color w:val="000000"/>
          <w:sz w:val="20"/>
        </w:rPr>
        <w:t>Do the right thing</w:t>
      </w:r>
    </w:p>
    <w:p>
      <w:pPr>
        <w:pStyle w:val="TextBody"/>
        <w:spacing w:lineRule="auto" w:line="288" w:before="60" w:after="283"/>
        <w:ind w:left="0" w:right="0" w:hanging="360"/>
        <w:rPr/>
      </w:pPr>
      <w:r>
        <w:rPr>
          <w:color w:val="000000"/>
        </w:rPr>
        <w:t>◦</w:t>
      </w:r>
      <w:r>
        <w:rPr>
          <w:rFonts w:ascii="Arial;sans-serif" w:hAnsi="Arial;sans-serif"/>
          <w:b w:val="false"/>
          <w:color w:val="000000"/>
          <w:sz w:val="20"/>
        </w:rPr>
        <w:t>Apply professional and ethical integrity in all that we do, accepting accountability for our actions.</w:t>
      </w:r>
    </w:p>
    <w:p>
      <w:pPr>
        <w:pStyle w:val="TextBody"/>
        <w:spacing w:lineRule="auto" w:line="288" w:before="60" w:after="283"/>
        <w:ind w:left="0" w:right="0" w:hanging="360"/>
        <w:rPr/>
      </w:pPr>
      <w:r>
        <w:rPr>
          <w:color w:val="000000"/>
        </w:rPr>
        <w:t>•</w:t>
      </w:r>
      <w:r>
        <w:rPr>
          <w:rFonts w:ascii="Arial;sans-serif" w:hAnsi="Arial;sans-serif"/>
          <w:b w:val="false"/>
          <w:color w:val="000000"/>
          <w:sz w:val="20"/>
        </w:rPr>
        <w:t>Focus on results</w:t>
      </w:r>
    </w:p>
    <w:p>
      <w:pPr>
        <w:pStyle w:val="TextBody"/>
        <w:spacing w:lineRule="auto" w:line="288" w:before="60" w:after="283"/>
        <w:ind w:left="0" w:right="0" w:hanging="360"/>
        <w:rPr/>
      </w:pPr>
      <w:r>
        <w:rPr>
          <w:color w:val="000000"/>
        </w:rPr>
        <w:t>◦</w:t>
      </w:r>
      <w:r>
        <w:rPr>
          <w:rFonts w:ascii="Arial;sans-serif" w:hAnsi="Arial;sans-serif"/>
          <w:b w:val="false"/>
          <w:color w:val="000000"/>
          <w:sz w:val="20"/>
        </w:rPr>
        <w:t>Pursue unequivocal excellence as we contribute and collaborate in order to meet or exceed our goals.</w:t>
      </w:r>
    </w:p>
    <w:p>
      <w:pPr>
        <w:pStyle w:val="TextBody"/>
        <w:spacing w:lineRule="auto" w:line="288" w:before="60" w:after="283"/>
        <w:ind w:left="0" w:right="0" w:hanging="360"/>
        <w:rPr/>
      </w:pPr>
      <w:r>
        <w:rPr>
          <w:color w:val="000000"/>
        </w:rPr>
        <w:t>•</w:t>
      </w:r>
      <w:r>
        <w:rPr>
          <w:rFonts w:ascii="Arial;sans-serif" w:hAnsi="Arial;sans-serif"/>
          <w:b w:val="false"/>
          <w:color w:val="000000"/>
          <w:sz w:val="20"/>
        </w:rPr>
        <w:t>Demonstrate our passion</w:t>
      </w:r>
    </w:p>
    <w:p>
      <w:pPr>
        <w:pStyle w:val="TextBody"/>
        <w:spacing w:lineRule="auto" w:line="288" w:before="60" w:after="283"/>
        <w:ind w:left="0" w:right="0" w:hanging="360"/>
        <w:rPr/>
      </w:pPr>
      <w:r>
        <w:rPr>
          <w:color w:val="000000"/>
        </w:rPr>
        <w:t>◦</w:t>
      </w:r>
      <w:r>
        <w:rPr>
          <w:rFonts w:ascii="Arial;sans-serif" w:hAnsi="Arial;sans-serif"/>
          <w:b w:val="false"/>
          <w:color w:val="000000"/>
          <w:sz w:val="20"/>
        </w:rPr>
        <w:t>Embody a bias for action to improve the lives of the patients we serve.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understand that our future depends upon the attraction, retention, and engagement of a talented, diverse, and committed team that can thrive and innovate in a supportive environment. Our efforts to ensure this occurs across the company include offering ongoing training and development, in addition to competitive compensation and benefits packages.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conduct periodic anonymous employee surveys aimed at measuring the overall satisfaction of our team and make efforts to address issues brought to our attention. The results consistently show that our employees consider their work valuable and meaningful.</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Diversity and Inclusion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organization recognizes the importance of diversity and inclusion in recruiting, developing and retaining the best available talent. We are committed to further understanding and building upon our diversity and inclusion strengths and are continuing the process of identifying opportunities and developing initiatives.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As of December 31, 2022, 58.6% of our employees identified as female, 37.9% identified as male and 3.5% of our employees identified as other or declined to self-identify. Additionally, 52.4% of our employees identified as White, 22.8% as Hispanic or Latino, 13.3% as Asian, 3.0% as Black or African-American, 2.4% as two or more races (not Hispanic or Latino), 0.6% as Native Hawaiian or other Pacific Islander, and 0.6% as American Indian or Alaska Native. 4.9% of our employees identified as other or declined to self-identify.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Executive and Director Compensation</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tables and accompanying narrative disclosure set forth information about the compensation provided to our named executive officers during the year ended December 31, 2022, who were:</w:t>
      </w:r>
    </w:p>
    <w:p>
      <w:pPr>
        <w:pStyle w:val="TextBody"/>
        <w:spacing w:lineRule="auto" w:line="288" w:before="120" w:after="283"/>
        <w:ind w:left="0" w:right="0" w:firstLine="135"/>
        <w:rPr/>
      </w:pPr>
      <w:r>
        <w:rPr>
          <w:color w:val="000000"/>
        </w:rPr>
        <w:t>•</w:t>
      </w:r>
      <w:r>
        <w:rPr>
          <w:rFonts w:ascii="Arial;sans-serif" w:hAnsi="Arial;sans-serif"/>
          <w:b w:val="false"/>
          <w:color w:val="000000"/>
          <w:sz w:val="20"/>
        </w:rPr>
        <w:t>John Aballi, President and Chief Executive Officer;</w:t>
      </w:r>
    </w:p>
    <w:p>
      <w:pPr>
        <w:pStyle w:val="TextBody"/>
        <w:spacing w:lineRule="auto" w:line="288" w:before="120" w:after="283"/>
        <w:ind w:left="0" w:right="0" w:firstLine="135"/>
        <w:rPr/>
      </w:pPr>
      <w:r>
        <w:rPr>
          <w:color w:val="000000"/>
        </w:rPr>
        <w:t>•</w:t>
      </w:r>
      <w:r>
        <w:rPr>
          <w:rFonts w:ascii="Arial;sans-serif" w:hAnsi="Arial;sans-serif"/>
          <w:b w:val="false"/>
          <w:color w:val="000000"/>
          <w:sz w:val="20"/>
        </w:rPr>
        <w:t>Kamal Adawi, Chief Financial Officer and Corporate Secretary;</w:t>
      </w:r>
    </w:p>
    <w:p>
      <w:pPr>
        <w:pStyle w:val="TextBody"/>
        <w:spacing w:lineRule="auto" w:line="288" w:before="120" w:after="283"/>
        <w:ind w:left="0" w:right="0" w:firstLine="135"/>
        <w:rPr/>
      </w:pPr>
      <w:r>
        <w:rPr>
          <w:color w:val="000000"/>
        </w:rPr>
        <w:t>•</w:t>
      </w:r>
      <w:r>
        <w:rPr>
          <w:rFonts w:ascii="Arial;sans-serif" w:hAnsi="Arial;sans-serif"/>
          <w:b w:val="false"/>
          <w:color w:val="000000"/>
          <w:sz w:val="20"/>
        </w:rPr>
        <w:t>Mark Hazeltine, Chief Business Officer;</w:t>
      </w:r>
    </w:p>
    <w:p>
      <w:pPr>
        <w:pStyle w:val="TextBody"/>
        <w:spacing w:lineRule="auto" w:line="288" w:before="120" w:after="283"/>
        <w:ind w:left="0" w:right="0" w:firstLine="135"/>
        <w:rPr/>
      </w:pPr>
      <w:r>
        <w:rPr>
          <w:color w:val="000000"/>
        </w:rPr>
        <w:t>•</w:t>
      </w:r>
      <w:r>
        <w:rPr>
          <w:rFonts w:ascii="Arial;sans-serif" w:hAnsi="Arial;sans-serif"/>
          <w:b w:val="false"/>
          <w:color w:val="000000"/>
          <w:sz w:val="20"/>
        </w:rPr>
        <w:t>Fortunato Ron Rocca, former President and Chief Executive Officer; and</w:t>
      </w:r>
    </w:p>
    <w:p>
      <w:pPr>
        <w:pStyle w:val="TextBody"/>
        <w:spacing w:lineRule="auto" w:line="288" w:before="120" w:after="283"/>
        <w:ind w:left="0" w:right="0" w:firstLine="135"/>
        <w:rPr/>
      </w:pPr>
      <w:r>
        <w:rPr>
          <w:color w:val="000000"/>
        </w:rPr>
        <w:t>•</w:t>
      </w:r>
      <w:r>
        <w:rPr>
          <w:rFonts w:ascii="Arial;sans-serif" w:hAnsi="Arial;sans-serif"/>
          <w:b w:val="false"/>
          <w:color w:val="000000"/>
          <w:sz w:val="20"/>
        </w:rPr>
        <w:t>Debra Zack, M.D., Ph.D., former Chief Medical Officer.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Summary Compensation Table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 presents summary information regarding the total compensation that was awarded to, earned by or paid to our named executive officers for services rendered during the years ended December 31, 2022 and 2021. </w:t>
      </w:r>
    </w:p>
    <w:p>
      <w:pPr>
        <w:pStyle w:val="TextBody"/>
        <w:spacing w:before="0" w:after="0"/>
        <w:rPr/>
      </w:pPr>
      <w:r>
        <w:rPr/>
      </w:r>
    </w:p>
    <w:tbl>
      <w:tblPr>
        <w:tblW w:w="11326" w:type="dxa"/>
        <w:jc w:val="left"/>
        <w:tblInd w:w="0" w:type="dxa"/>
        <w:tblCellMar>
          <w:top w:w="28" w:type="dxa"/>
          <w:left w:w="28" w:type="dxa"/>
          <w:bottom w:w="28" w:type="dxa"/>
          <w:right w:w="28" w:type="dxa"/>
        </w:tblCellMar>
      </w:tblPr>
      <w:tblGrid>
        <w:gridCol w:w="339"/>
        <w:gridCol w:w="258"/>
        <w:gridCol w:w="259"/>
        <w:gridCol w:w="109"/>
        <w:gridCol w:w="109"/>
        <w:gridCol w:w="109"/>
        <w:gridCol w:w="154"/>
        <w:gridCol w:w="154"/>
        <w:gridCol w:w="158"/>
        <w:gridCol w:w="109"/>
        <w:gridCol w:w="109"/>
        <w:gridCol w:w="109"/>
        <w:gridCol w:w="368"/>
        <w:gridCol w:w="368"/>
        <w:gridCol w:w="196"/>
        <w:gridCol w:w="109"/>
        <w:gridCol w:w="109"/>
        <w:gridCol w:w="109"/>
        <w:gridCol w:w="364"/>
        <w:gridCol w:w="282"/>
        <w:gridCol w:w="211"/>
        <w:gridCol w:w="109"/>
        <w:gridCol w:w="109"/>
        <w:gridCol w:w="109"/>
        <w:gridCol w:w="501"/>
        <w:gridCol w:w="235"/>
        <w:gridCol w:w="236"/>
        <w:gridCol w:w="109"/>
        <w:gridCol w:w="109"/>
        <w:gridCol w:w="109"/>
        <w:gridCol w:w="501"/>
        <w:gridCol w:w="235"/>
        <w:gridCol w:w="236"/>
        <w:gridCol w:w="109"/>
        <w:gridCol w:w="109"/>
        <w:gridCol w:w="109"/>
        <w:gridCol w:w="425"/>
        <w:gridCol w:w="425"/>
        <w:gridCol w:w="426"/>
        <w:gridCol w:w="109"/>
        <w:gridCol w:w="109"/>
        <w:gridCol w:w="109"/>
        <w:gridCol w:w="425"/>
        <w:gridCol w:w="425"/>
        <w:gridCol w:w="426"/>
        <w:gridCol w:w="109"/>
        <w:gridCol w:w="109"/>
        <w:gridCol w:w="109"/>
        <w:gridCol w:w="435"/>
        <w:gridCol w:w="436"/>
        <w:gridCol w:w="232"/>
      </w:tblGrid>
      <w:tr>
        <w:trPr/>
        <w:tc>
          <w:tcPr>
            <w:tcW w:w="33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Salary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Bonus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Stock Awards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Option Awards ($)(4)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Non-Equity Incentive Plan Compensation ($)(5)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All Other Compensation ($)(6)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Aballi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850,500 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983,886 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President and 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Kamal Adawi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398,507 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72,573 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556,895 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12,200 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1,040,175 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Chief Financial Officer and Corporate Secretary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406,367 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682,500 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121,436 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194,554 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1,413,557 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Hazeltine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398,507 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72,573 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556,895 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12,200 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1,040,175 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Chief Business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390,563 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682,500 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121,436 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194,554 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1,397,753 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Fortunato Ron Rocca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447,218 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657,750 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437,075 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1,542,043 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former President and 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594,707 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910,000 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388,596 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537,625 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2,439,628 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Debra Zack, M.D.,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373,685 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438,500 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213,771 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1,025,956 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former Chief Medical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415,523 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682,500 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121,436 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202,550 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8,550 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1,430,559 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2028"/>
        <w:gridCol w:w="1441"/>
        <w:gridCol w:w="1441"/>
        <w:gridCol w:w="1441"/>
        <w:gridCol w:w="1441"/>
        <w:gridCol w:w="207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8"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for 2021 for Messrs. Rocca and Adawi and Dr. Zack include the payout of accrued vacation in connection with a change in the company's paid-time-off policy ($44,423 for Mr. Rocca, $30,366 for Mr. Adawi and $24,086 for Dr. Zack).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for 2022 represent the discretionary cash bonuses paid in March 2023. For additional information, see "Cash Bonuses" below.</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Amounts represent the aggregate grant date fair value of restricted stock unit awards granted to the named executive officer in the applicable year, as computed in accordance with ASC Topic 718, </w:t>
            </w:r>
            <w:r>
              <w:rPr>
                <w:rFonts w:ascii="Arial;sans-serif" w:hAnsi="Arial;sans-serif"/>
                <w:b w:val="false"/>
                <w:i/>
                <w:color w:val="000000"/>
                <w:sz w:val="18"/>
              </w:rPr>
              <w:t xml:space="preserve">Compensation-Stock Compensation, </w:t>
            </w:r>
            <w:r>
              <w:rPr>
                <w:rFonts w:ascii="Arial;sans-serif" w:hAnsi="Arial;sans-serif"/>
                <w:b w:val="false"/>
                <w:color w:val="000000"/>
                <w:sz w:val="18"/>
              </w:rPr>
              <w:t>rather than the amounts paid to or realized by the named executive officer. For a discussion of valuation assumptions used in the calculations, see Note 2 and Note 8 to our audited financial statements in our 2022 Annual Report.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Amounts reflect the aggregate grant date fair value of stock options granted in 2021. Each option grant has been computed in accordance with ASC Topic 718, </w:t>
            </w:r>
            <w:r>
              <w:rPr>
                <w:rFonts w:ascii="Arial;sans-serif" w:hAnsi="Arial;sans-serif"/>
                <w:b w:val="false"/>
                <w:i/>
                <w:color w:val="000000"/>
                <w:sz w:val="18"/>
              </w:rPr>
              <w:t>Compensation-Stock Compensation</w:t>
            </w:r>
            <w:r>
              <w:rPr>
                <w:rFonts w:ascii="Arial;sans-serif" w:hAnsi="Arial;sans-serif"/>
                <w:b w:val="false"/>
                <w:color w:val="000000"/>
                <w:sz w:val="18"/>
              </w:rPr>
              <w:t>. These amounts do not reflect the actual economic value that will be realized by the named executive officer upon the vesting of the stock options, the exercise of the stock options, or the sale of the common stock underlying such stock options. The assumptions that we used to calculate these amounts are discussed in Note 2 and Note 8 to our audited financial statements in our Annual Report on Form 10-K for the year ended December 31, 2021 filed with the SEC on March 22, 2022.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for 2021 represent the non-discretionary portion of cash bonuses paid in January 2022 with respect to 2021 corporate performance under the bonus plan. For additional information, see "Cash Bonuses" below.</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for 2022 represent employer matching contributions under our 401(k) plan on behalf of each named executive officer and severance payments to Mr. Rocca and Dr. Zack in the amount of $424,875 and $201,571, respectively.</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Narrative Disclosure to Summary Compensation Table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i/>
          <w:color w:val="000000"/>
          <w:sz w:val="20"/>
        </w:rPr>
      </w:pPr>
      <w:r>
        <w:rPr>
          <w:rFonts w:ascii="Arial;sans-serif" w:hAnsi="Arial;sans-serif"/>
          <w:b/>
          <w:i/>
          <w:color w:val="000000"/>
          <w:sz w:val="20"/>
        </w:rPr>
        <w:t>Base Salaries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February 2022, the Board, upon recommendation of the Compensation Committee, approved base salary increases for each of Messrs. Rocca, Adawi and Hazeltine and Dr. Zack. In determining to increase their base salaries, the Board reviewed information provided by FW Cook regarding the Company’s peer group (which was established in consultation with FW Cook as part of the Compensation Committee’s review of the Company’s 2022 compensation program). The 2022 base salaries of our named executive officers were $525,000, $566,500, $398,507, $398,507 and $403,142 for Messrs. Aballi, Rocca, Adawi and Hazeltine and Dr. Zack, respectively.</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expect that base salaries for the named executive officers will continue to be reviewed periodically by our Compensation Committee, with adjustments expected to be made generally in accordance with the considerations described above and to maintain base salaries at competitive levels.</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Cash Bonuses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named executive officers are eligible to earn cash bonuses based on corporate and individual performance measures for the applicable year which, at the discretion of the Compensation Committee, may be further adjusted based on the individual performances of each named executive officer. For 2022, Mr. Rocca was eligible to receive a target bonus of up to 85% of his base salary, Mr. Aballi was eligible to receive a target bonus of up to 50% of his base salary and Mr. Adawi and Dr. Zack were eligible to receive a target bonus of up to 45% of their respective base salaries.</w:t>
      </w:r>
    </w:p>
    <w:p>
      <w:pPr>
        <w:pStyle w:val="TextBody"/>
        <w:spacing w:before="0" w:after="0"/>
        <w:rPr/>
      </w:pPr>
      <w:r>
        <w:rPr/>
      </w:r>
    </w:p>
    <w:p>
      <w:pPr>
        <w:pStyle w:val="TextBody"/>
        <w:spacing w:lineRule="auto" w:line="288"/>
        <w:rPr>
          <w:rFonts w:ascii="Arial;sans-serif" w:hAnsi="Arial;sans-serif"/>
          <w:b w:val="false"/>
          <w:color w:val="000000"/>
          <w:sz w:val="20"/>
        </w:rPr>
      </w:pPr>
      <w:r>
        <w:rPr>
          <w:rFonts w:ascii="Arial;sans-serif" w:hAnsi="Arial;sans-serif"/>
          <w:b w:val="false"/>
          <w:color w:val="000000"/>
          <w:sz w:val="20"/>
        </w:rPr>
        <w:t xml:space="preserve">For 2022, annual bonus payments were based in part on the achievement of pre-established objective performance goals (revenue and EBITDA) and two research and development milestones related to product development, weighted 65%, 25% and 10%, respectively, of each executive's bonus opportunity. Award opportunities for revenue and EBITDA goals were established at threshold, target and maximum levels with intermediate inflections between threshold and target as well as between target and maximum. Achievement at or above maximum for revenue and EBITDA goals was capped at 150% of target, while funding for achievement of the research and development </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milestones was capped at 100% of target. Straight-line interpolation is used to calculate the 2022 bonus payouts associated with actual results falling between goals. The goals were set at levels that were expected to be challenging but achievable at the outset of the year.</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2022, our actual revenue achieved was less than the revenue threshold goal, and our actual EBITDA achieved was less than the EBITDA threshold goal. Additionally, our research and development milestones were not achieved.</w:t>
      </w:r>
    </w:p>
    <w:p>
      <w:pPr>
        <w:pStyle w:val="TextBody"/>
        <w:spacing w:before="0" w:after="0"/>
        <w:rPr/>
      </w:pPr>
      <w:r>
        <w:rPr/>
      </w:r>
    </w:p>
    <w:p>
      <w:pPr>
        <w:pStyle w:val="TextBody"/>
        <w:spacing w:lineRule="auto" w:line="288" w:before="0" w:after="240"/>
        <w:rPr>
          <w:rFonts w:ascii="Arial;sans-serif" w:hAnsi="Arial;sans-serif"/>
          <w:b w:val="false"/>
          <w:color w:val="000000"/>
          <w:sz w:val="20"/>
        </w:rPr>
      </w:pPr>
      <w:r>
        <w:rPr>
          <w:rFonts w:ascii="Arial;sans-serif" w:hAnsi="Arial;sans-serif"/>
          <w:b w:val="false"/>
          <w:color w:val="000000"/>
          <w:sz w:val="20"/>
        </w:rPr>
        <w:t>For 2022, the Compensation Committee authorized awarding Messrs. Aballi, Adawi and Hazeltine with discretionary bonuses of $22,330, $72,573 and $72,573, respectively. The Compensation Committee reviewed each named executive officer's individual performance and contributions to the Company's success, and believed these payments recognized management's achievements in 2022, including record AVISE CTD tests and improvements in Medicare rates, which we believe will contribute to long-term shareholder returns. The following table shows information regarding grants of non-equity incentive plan awards that we made during the fiscal year ended December 31, 2022 to each of our executive officers.</w:t>
      </w:r>
    </w:p>
    <w:tbl>
      <w:tblPr>
        <w:tblW w:w="10205" w:type="dxa"/>
        <w:jc w:val="left"/>
        <w:tblInd w:w="0" w:type="dxa"/>
        <w:tblCellMar>
          <w:top w:w="28" w:type="dxa"/>
          <w:left w:w="28" w:type="dxa"/>
          <w:bottom w:w="28" w:type="dxa"/>
          <w:right w:w="28" w:type="dxa"/>
        </w:tblCellMar>
      </w:tblPr>
      <w:tblGrid>
        <w:gridCol w:w="517"/>
        <w:gridCol w:w="372"/>
        <w:gridCol w:w="343"/>
        <w:gridCol w:w="109"/>
        <w:gridCol w:w="109"/>
        <w:gridCol w:w="109"/>
        <w:gridCol w:w="579"/>
        <w:gridCol w:w="500"/>
        <w:gridCol w:w="501"/>
        <w:gridCol w:w="109"/>
        <w:gridCol w:w="109"/>
        <w:gridCol w:w="109"/>
        <w:gridCol w:w="563"/>
        <w:gridCol w:w="440"/>
        <w:gridCol w:w="442"/>
        <w:gridCol w:w="109"/>
        <w:gridCol w:w="109"/>
        <w:gridCol w:w="109"/>
        <w:gridCol w:w="583"/>
        <w:gridCol w:w="485"/>
        <w:gridCol w:w="486"/>
        <w:gridCol w:w="109"/>
        <w:gridCol w:w="109"/>
        <w:gridCol w:w="109"/>
        <w:gridCol w:w="358"/>
        <w:gridCol w:w="358"/>
        <w:gridCol w:w="360"/>
        <w:gridCol w:w="109"/>
        <w:gridCol w:w="109"/>
        <w:gridCol w:w="109"/>
        <w:gridCol w:w="411"/>
        <w:gridCol w:w="333"/>
        <w:gridCol w:w="939"/>
      </w:tblGrid>
      <w:tr>
        <w:trPr/>
        <w:tc>
          <w:tcPr>
            <w:tcW w:w="517"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r>
      <w:tr>
        <w:trPr/>
        <w:tc>
          <w:tcPr>
            <w:tcW w:w="12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Potential Threshold Bonus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Potential Target Bonus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Potential Maximum Bonus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Actual Bonus Paid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Actual Bonus Paid % of Target Bonus</w:t>
            </w:r>
          </w:p>
        </w:tc>
      </w:tr>
      <w:tr>
        <w:trPr/>
        <w:tc>
          <w:tcPr>
            <w:tcW w:w="12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Aballi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177,188 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262,500 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347,813 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Kamal Adawi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121,047 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179,328 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237,610 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Hazeltine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121,047 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179,328 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237,610 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Fortunato Ron Rocca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325,029 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481,525 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638,021 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Debra Zack, M.D.,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122,454 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181,414 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240,373 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spacing w:lineRule="auto" w:line="288" w:before="0" w:after="0"/>
        <w:rPr>
          <w:rFonts w:ascii="Arial;sans-serif" w:hAnsi="Arial;sans-serif"/>
          <w:b/>
          <w:color w:val="000000"/>
          <w:sz w:val="20"/>
        </w:rPr>
      </w:pPr>
      <w:r>
        <w:rPr>
          <w:rFonts w:ascii="Arial;sans-serif" w:hAnsi="Arial;sans-serif"/>
          <w:b/>
          <w:color w:val="000000"/>
          <w:sz w:val="20"/>
        </w:rPr>
        <w:t>Equity Compensation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award stock options and restricted stock unit awards to our employees, including our named executive officers, as the long-term incentive component of our compensation program. Awards granted since our initial public offering in September 2019 were granted under our 2019 Incentive Award Plan (the “2019 Plan”); prior to our initial public offering, awards were granted under the 2013 Stock Option Plan, as amended from time to time (the “2013 Plan”) and our 2002 Stock Option Plan (the “2002 Plan”).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typically grant equity awards to key new hires upon their commencing employment with us. We historically have used stock options as the primary incentive for long-term compensation to our named executive officers. Generally, the stock options we grant vest as to 25% of the total number of option shares on the first anniversary of the date of grant and in equal monthly installments over the 36 months thereafter, subject to the employee’s continued service with us on each vesting date. Since 2021, we have used restricted stock units as the primary long-term compensation to our named executive officers. Generally, the restricted stock units we grant vest as to 25% of the total number of restricted stock units on the first anniversary of the first day of the month in which such restricted stock units were granted and in annual installments over the four years thereafter, subject to the employee's continued service with us on each vesting date.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There were no options granted to our named executive officers in 2022.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Stock options granted to our named executive officers may be subject to accelerated vesting in connection with the termination of their services with the Company. For additional discussion, please see “—Other Elements of Compensation—Severance and Change in Control Benefits” below.</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sets forth the number of restricted stock units granted to our named executive officers in 2022.</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tbl>
      <w:tblPr>
        <w:tblW w:w="8443" w:type="dxa"/>
        <w:jc w:val="left"/>
        <w:tblInd w:w="0" w:type="dxa"/>
        <w:tblCellMar>
          <w:top w:w="28" w:type="dxa"/>
          <w:left w:w="28" w:type="dxa"/>
          <w:bottom w:w="28" w:type="dxa"/>
          <w:right w:w="28" w:type="dxa"/>
        </w:tblCellMar>
      </w:tblPr>
      <w:tblGrid>
        <w:gridCol w:w="697"/>
        <w:gridCol w:w="608"/>
        <w:gridCol w:w="614"/>
        <w:gridCol w:w="404"/>
        <w:gridCol w:w="404"/>
        <w:gridCol w:w="406"/>
        <w:gridCol w:w="1004"/>
        <w:gridCol w:w="1004"/>
        <w:gridCol w:w="1007"/>
        <w:gridCol w:w="672"/>
        <w:gridCol w:w="672"/>
        <w:gridCol w:w="951"/>
      </w:tblGrid>
      <w:tr>
        <w:trPr/>
        <w:tc>
          <w:tcPr>
            <w:tcW w:w="697"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Grant Date (1)</w:t>
            </w:r>
          </w:p>
        </w:tc>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Restricted Stock Units (#)</w:t>
            </w:r>
          </w:p>
        </w:tc>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 ($)(2)</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Aballi</w:t>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10/16/2022</w:t>
            </w:r>
          </w:p>
        </w:tc>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350,000</w:t>
            </w:r>
          </w:p>
        </w:tc>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$850,500</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Kamal Adawi</w:t>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2/4/2022</w:t>
            </w:r>
          </w:p>
        </w:tc>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63,500</w:t>
            </w:r>
          </w:p>
        </w:tc>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$556,895</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Hazeltine</w:t>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2/4/2022</w:t>
            </w:r>
          </w:p>
        </w:tc>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63,500</w:t>
            </w:r>
          </w:p>
        </w:tc>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$556,895</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Fortunato Ron Rocca</w:t>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2/4/2022</w:t>
            </w:r>
          </w:p>
        </w:tc>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75,000</w:t>
            </w:r>
          </w:p>
        </w:tc>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$657,750</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Debra Zack, M.D., Ph.D.</w:t>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2/4/2022</w:t>
            </w:r>
          </w:p>
        </w:tc>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w:t>
            </w:r>
          </w:p>
        </w:tc>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$438,500</w:t>
            </w:r>
          </w:p>
        </w:tc>
      </w:tr>
    </w:tbl>
    <w:tbl>
      <w:tblPr>
        <w:tblW w:w="10205" w:type="dxa"/>
        <w:jc w:val="left"/>
        <w:tblInd w:w="0" w:type="dxa"/>
        <w:tblCellMar>
          <w:top w:w="28" w:type="dxa"/>
          <w:left w:w="28" w:type="dxa"/>
          <w:bottom w:w="28" w:type="dxa"/>
          <w:right w:w="28" w:type="dxa"/>
        </w:tblCellMar>
      </w:tblPr>
      <w:tblGrid>
        <w:gridCol w:w="124"/>
        <w:gridCol w:w="109"/>
        <w:gridCol w:w="109"/>
        <w:gridCol w:w="1989"/>
        <w:gridCol w:w="1451"/>
        <w:gridCol w:w="1451"/>
        <w:gridCol w:w="1451"/>
        <w:gridCol w:w="1451"/>
        <w:gridCol w:w="20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These awards vest in equal annual installments commencing on the first anniversary of the grant date and ending on the fourth anniversary of the grant date, subject to the officer's continued employment.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Amounts for 2022 represent the aggregate grant date fair value of restricted stock unit awards granted to the named executive officer in the applicable year, as computed in accordance with ASC Topic 718, </w:t>
            </w:r>
            <w:r>
              <w:rPr>
                <w:rFonts w:ascii="Arial;sans-serif" w:hAnsi="Arial;sans-serif"/>
                <w:b w:val="false"/>
                <w:i/>
                <w:color w:val="000000"/>
                <w:sz w:val="18"/>
              </w:rPr>
              <w:t xml:space="preserve">Compensation-Stock Compensation, </w:t>
            </w:r>
            <w:r>
              <w:rPr>
                <w:rFonts w:ascii="Arial;sans-serif" w:hAnsi="Arial;sans-serif"/>
                <w:b w:val="false"/>
                <w:color w:val="000000"/>
                <w:sz w:val="18"/>
              </w:rPr>
              <w:t>rather than the amounts paid to or realized by the named executive officer. For a discussion of valuation assumptions used in the calculations, see Note 2 and Note 8 to our audited financial statements in our Annual Report on Form 10-K for the year ended December 31, 2022 filed with the SEC on March 20, 2023.</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Restricted stock units granted to our named executive officers may be subject to accelerated vesting in connection with the termination of their services with the Company. For additional discussion, please see “—Other Elements of Compensation—Severance and Change in Control Benefits” below.</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Other Elements of Compensation</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Retirement Plans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currently maintain a 401(k) retirement savings plan that allows eligible employees to defer a portion of their compensation, within limits prescribed by the Code, on a pre-tax basis through contributions to the plan. Our named executive officers are eligible to participate in the 401(k) plan on the same terms as other full-time employees generally. Currently, we make employer matching contributions under the 401(k) plan up to a specified percentage,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Employee Benefits and Perquisites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named executive officers are eligible to participate in our health and welfare plans to the same general extent as all full-time employees, including:</w:t>
      </w:r>
    </w:p>
    <w:p>
      <w:pPr>
        <w:pStyle w:val="TextBody"/>
        <w:spacing w:lineRule="auto" w:line="288" w:before="120" w:after="283"/>
        <w:ind w:left="0" w:right="0" w:hanging="360"/>
        <w:rPr/>
      </w:pPr>
      <w:r>
        <w:rPr>
          <w:color w:val="000000"/>
        </w:rPr>
        <w:t>•</w:t>
      </w:r>
      <w:r>
        <w:rPr>
          <w:rFonts w:ascii="Arial;sans-serif" w:hAnsi="Arial;sans-serif"/>
          <w:b w:val="false"/>
          <w:color w:val="000000"/>
          <w:sz w:val="20"/>
        </w:rPr>
        <w:t>medical, dental and vision benefits;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medical and dependent care flexible spending accounts;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short-term and long-term disability insurance;</w:t>
      </w:r>
    </w:p>
    <w:p>
      <w:pPr>
        <w:pStyle w:val="TextBody"/>
        <w:spacing w:lineRule="auto" w:line="288" w:before="120" w:after="283"/>
        <w:ind w:left="0" w:right="0" w:hanging="360"/>
        <w:rPr/>
      </w:pPr>
      <w:r>
        <w:rPr>
          <w:color w:val="000000"/>
        </w:rPr>
        <w:t>•</w:t>
      </w:r>
      <w:r>
        <w:rPr>
          <w:rFonts w:ascii="Arial;sans-serif" w:hAnsi="Arial;sans-serif"/>
          <w:b w:val="false"/>
          <w:color w:val="000000"/>
          <w:sz w:val="20"/>
        </w:rPr>
        <w:t>life insurance and accidental death and dismemberment insurance; and</w:t>
      </w:r>
    </w:p>
    <w:p>
      <w:pPr>
        <w:pStyle w:val="TextBody"/>
        <w:spacing w:lineRule="auto" w:line="288" w:before="120" w:after="283"/>
        <w:ind w:left="0" w:right="0" w:hanging="360"/>
        <w:rPr/>
      </w:pPr>
      <w:r>
        <w:rPr>
          <w:color w:val="000000"/>
        </w:rPr>
        <w:t>•</w:t>
      </w:r>
      <w:r>
        <w:rPr>
          <w:rFonts w:ascii="Arial;sans-serif" w:hAnsi="Arial;sans-serif"/>
          <w:b w:val="false"/>
          <w:color w:val="000000"/>
          <w:sz w:val="20"/>
        </w:rPr>
        <w:t>paid-time-off</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do not provide our named executive officers with any other perquisites or other personal benefits.</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No Tax Gross-Ups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generally have not made gross-up payments to cover our named executive officers’ personal income taxes that may pertain to any of the compensation paid or provided by our company.</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Severance and Change in Control Benefits</w:t>
      </w:r>
    </w:p>
    <w:p>
      <w:pPr>
        <w:pStyle w:val="TextBody"/>
        <w:spacing w:before="0" w:after="0"/>
        <w:rPr/>
      </w:pPr>
      <w:r>
        <w:rPr/>
      </w:r>
    </w:p>
    <w:p>
      <w:pPr>
        <w:pStyle w:val="TextBody"/>
        <w:spacing w:lineRule="auto" w:line="288"/>
        <w:rPr>
          <w:rFonts w:ascii="Arial;sans-serif" w:hAnsi="Arial;sans-serif"/>
          <w:b w:val="false"/>
          <w:color w:val="000000"/>
          <w:sz w:val="20"/>
        </w:rPr>
      </w:pPr>
      <w:r>
        <w:rPr>
          <w:rFonts w:ascii="Arial;sans-serif" w:hAnsi="Arial;sans-serif"/>
          <w:b w:val="false"/>
          <w:color w:val="000000"/>
          <w:sz w:val="20"/>
        </w:rPr>
        <w:t xml:space="preserve">Our named executive officers may become entitled to certain benefits or enhanced benefits upon a termination of employment pursuant to the Exagen Inc. Amended and Restated Executive Change in Control and Severance Plan </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"Amended and Restated Severance Plan"), as explained in further detail below. In addition, stock options granted to our employees, including our named executive officers, may be subject to acceleration in connection with a change in control under our equity plans.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On April 25, 2022, the Compensation Committee adopted the Amended and Restated Severance Plan. The Amended and Restated Severance Plan is intended to provide severance protections to a select group of management or highly compensated employees, including our named executive officers, in the event of a qualifying termination of employment with us. The Amended and Restated Severance Plan superseded any and all severance plans, separation policies, the provisions of any offer letters or any agreement that provided for severance payments and benefits applying to our executives who are party to the Amended and Restated Severance Plan.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Under the Amended and Restated Severance Plan, in the event that we terminate an executive's employment without "cause" and at any time, other than within twelve months following a "change in control," the executive will be eligible to receive the following payments and benefits: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 cash payment equal to 50% (or, for Mr. Aballi, 75%) of the executive's then-current annual base salary rate for the year in which the termination occurs, to be paid in a lump sum on the 30th day following the executive's termination;</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 and</w:t>
      </w:r>
    </w:p>
    <w:p>
      <w:pPr>
        <w:pStyle w:val="TextBody"/>
        <w:spacing w:lineRule="auto" w:line="288" w:before="120" w:after="283"/>
        <w:ind w:left="0" w:right="0" w:hanging="360"/>
        <w:rPr/>
      </w:pPr>
      <w:r>
        <w:rPr>
          <w:color w:val="000000"/>
        </w:rPr>
        <w:t>•</w:t>
      </w:r>
      <w:r>
        <w:rPr>
          <w:rFonts w:ascii="Arial;sans-serif" w:hAnsi="Arial;sans-serif"/>
          <w:b w:val="false"/>
          <w:color w:val="000000"/>
          <w:sz w:val="20"/>
        </w:rPr>
        <w:t xml:space="preserve">Company-subsidized premium payments under the Consolidated Omnibus Budget Reconciliation Act of 1985, as amended ("COBRA"), for the executive and his or her covered dependents for up to 6 (or, for Mr. Aballi, 9) months.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Amended and Restated Severance Plan also provides that in the event of a termination of an executive's employment by us without "cause" or by the executive for "good reason," in either case, on or within twelve months following a "change in control," the executive will be eligible to receive the following payments and benefits: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 cash payment equal to 100% (or, for Mr. Aballi, 125%) of the executive's then-current annual base salary rate for the year in which the termination occurs, to be paid in a lump sum on the 30th day following the executive's termination;</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w:t>
      </w:r>
    </w:p>
    <w:p>
      <w:pPr>
        <w:pStyle w:val="TextBody"/>
        <w:spacing w:lineRule="auto" w:line="288" w:before="120" w:after="283"/>
        <w:ind w:left="0" w:right="0" w:hanging="360"/>
        <w:rPr/>
      </w:pPr>
      <w:r>
        <w:rPr>
          <w:color w:val="000000"/>
        </w:rPr>
        <w:t>•</w:t>
      </w:r>
      <w:r>
        <w:rPr>
          <w:rFonts w:ascii="Arial;sans-serif" w:hAnsi="Arial;sans-serif"/>
          <w:b w:val="false"/>
          <w:color w:val="000000"/>
          <w:sz w:val="20"/>
        </w:rPr>
        <w:t>Company-subsidized COBRA premium payments for the executive and his or her covered dependents for up to 12 (or, for Mr. Aballi, 15) months; and</w:t>
      </w:r>
    </w:p>
    <w:p>
      <w:pPr>
        <w:pStyle w:val="TextBody"/>
        <w:spacing w:lineRule="auto" w:line="288" w:before="120" w:after="283"/>
        <w:ind w:left="0" w:right="0" w:hanging="360"/>
        <w:rPr/>
      </w:pPr>
      <w:r>
        <w:rPr>
          <w:color w:val="000000"/>
        </w:rPr>
        <w:t>•</w:t>
      </w:r>
      <w:r>
        <w:rPr>
          <w:rFonts w:ascii="Arial;sans-serif" w:hAnsi="Arial;sans-serif"/>
          <w:b w:val="false"/>
          <w:color w:val="000000"/>
          <w:sz w:val="20"/>
        </w:rPr>
        <w:t>full accelerated vesting of all outstanding equity awards that vest solely based on the passage of time.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executive's right to receive the severance payments and benefits described above is subject to the executive's delivery and, as applicable, non-revocation of a general release of claims in our favor and the executive's continued compliance with any applicable restrictive covenants.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In addition, in the event that any payment under the Amended and Restated Severance Plan, together with any other amounts we paid to the executive, would subject the executive to an excise tax under Section 4999 of the Internal Revenue Code, such payments will be reduced to the extent that such reduction would produce a better net after-tax result for the executive.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connection with Mr. Rocca’s resignation, the Company and Mr. Rocca entered into a Severance Agreement, dated October 14, 2022 (the “Severance Agreement”). The Severance Agreement provided, among other things, that Mr. Rocca was entitled to receive the following, in accordance with the Amended and Restated Severance Plan: (i) a lump sum payment of $424,875, less applicable payroll deductions, (ii) a pro-rated payment for Actual Incentive Compensation (as defined in the Amended and Restated Severance Plan), if any, less applicable payroll deductions and (iii) reimbursement of up to nine months of COBRA premiums.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For additional discussion, please see “Equity Compensation” and "Outstanding Equity Awards at 2022 Fiscal Year-End." Other than the benefits described above, none of our named executive officers are entitled to any severance or change in control benefits.</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Offer Letters and Employment Agreements with our Named Executive Officers</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Employment Agreement with John Aballi</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October 2022, we entered into an employment agreement with Mr. Aballi, which provides for an annual base salary, annual target performance bonus of up to 50% of his gross base salary and an equity award of restricted stock units representing the contingent right to receive up to 350,000 shares of Company common stock, which was granted on October 16, 2023. Mr. Aballi’s employment agreement also provides that Mr. Aballi's employment will continue until terminated by either Mr. Aballi or the Company on no less than thirty days' written notice. Mr. Aballi’s employment agreement also deems him eligible to participate in the Amended and Restated Severance Plan as a Tier 1 Participant, subject to the terms and conditions of the Amended and Restated Severance Plan.</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Offer Letter with Kamal Adawi</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May 2017, we entered into an offer letter with Mr. Adawi, which was amended in September 2019.</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Mr. Adawi’s offer letter provides for at-will employment, and an annual base salary and bonus. Mr. Adawi’s offer letter provided that, if we terminate Mr. Adawi’s employment without cause, Mr. Adawi would be entitled to a lump sum cash payment in an amount equal to six months of his annual base salary as in effect immediately prior to the date of termination, subject to his delivery and non-revocation of a general release of claims in favor of our company. The severance benefits described in Mr. Adawi's offer letter were superseded by the Amended and Restated Severance Plan.</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Offer Letter with Mark Hazeltine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February 2015, we entered into an offer letter with Mr. Hazeltine, which was amended in March 2021. Mr. Hazeltine’s offer letter provides for at-will employment, and an annual base salary and bonus. Mr. Hazeltine also participates in the Amended and Restated Severance Plan.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Outstanding Equity Awards at 2022 Fiscal Year-End</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presents the outstanding equity incentive plan awards held by each named executive officer as of December 31, 2022. Unless otherwise indicated, each option listed in the following table was granted under the 2019 Plan.</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415"/>
        <w:gridCol w:w="237"/>
        <w:gridCol w:w="189"/>
        <w:gridCol w:w="109"/>
        <w:gridCol w:w="109"/>
        <w:gridCol w:w="109"/>
        <w:gridCol w:w="187"/>
        <w:gridCol w:w="187"/>
        <w:gridCol w:w="188"/>
        <w:gridCol w:w="109"/>
        <w:gridCol w:w="109"/>
        <w:gridCol w:w="109"/>
        <w:gridCol w:w="399"/>
        <w:gridCol w:w="384"/>
        <w:gridCol w:w="385"/>
        <w:gridCol w:w="109"/>
        <w:gridCol w:w="109"/>
        <w:gridCol w:w="109"/>
        <w:gridCol w:w="429"/>
        <w:gridCol w:w="429"/>
        <w:gridCol w:w="430"/>
        <w:gridCol w:w="109"/>
        <w:gridCol w:w="109"/>
        <w:gridCol w:w="109"/>
        <w:gridCol w:w="253"/>
        <w:gridCol w:w="223"/>
        <w:gridCol w:w="224"/>
        <w:gridCol w:w="109"/>
        <w:gridCol w:w="109"/>
        <w:gridCol w:w="109"/>
        <w:gridCol w:w="310"/>
        <w:gridCol w:w="310"/>
        <w:gridCol w:w="311"/>
        <w:gridCol w:w="109"/>
        <w:gridCol w:w="109"/>
        <w:gridCol w:w="109"/>
        <w:gridCol w:w="507"/>
        <w:gridCol w:w="265"/>
        <w:gridCol w:w="266"/>
        <w:gridCol w:w="109"/>
        <w:gridCol w:w="109"/>
        <w:gridCol w:w="109"/>
        <w:gridCol w:w="543"/>
        <w:gridCol w:w="232"/>
        <w:gridCol w:w="233"/>
        <w:gridCol w:w="109"/>
        <w:gridCol w:w="109"/>
        <w:gridCol w:w="162"/>
      </w:tblGrid>
      <w:tr>
        <w:trPr/>
        <w:tc>
          <w:tcPr>
            <w:tcW w:w="41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7"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3"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Stock Awards</w:t>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Grant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Underlying Unexercised Options Exercisable (#)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Underlying Unexercised Options Unexercisable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Option Price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Option Expiration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shares or units of stock that have not vested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Market value of shares or units of stock that have not vested ($)</w:t>
            </w:r>
          </w:p>
        </w:tc>
        <w:tc>
          <w:tcPr>
            <w:tcW w:w="3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Aballi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10/16/2022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840,000 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Kamal Adawi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2/04/2022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63,500 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152,400 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5,729 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6,771 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28,125 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67,500 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38,281 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14,219 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9/18/2019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17,578 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4,057 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7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9/17/2029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84,162 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w:t>
            </w:r>
          </w:p>
        </w:tc>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0.2571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Hazeltine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2/04/2022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63,500 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152,400 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5,729 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6,771 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28,125 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67,500 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20,052 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7,448 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9/18/2019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75,216 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17,358 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7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9/17/2029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w:t>
            </w:r>
          </w:p>
        </w:tc>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0.2571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06/17/2015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w:t>
            </w:r>
          </w:p>
        </w:tc>
        <w:tc>
          <w:tcPr>
            <w:tcW w:w="7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45.9100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6/17/2025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Fortunato Ron Rocca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15,833 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w:t>
            </w:r>
          </w:p>
        </w:tc>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106,562 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w:t>
            </w:r>
          </w:p>
        </w:tc>
        <w:tc>
          <w:tcPr>
            <w:tcW w:w="7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9/18/2019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103,994 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w:t>
            </w:r>
          </w:p>
        </w:tc>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93,335 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w:t>
            </w:r>
          </w:p>
        </w:tc>
        <w:tc>
          <w:tcPr>
            <w:tcW w:w="7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0.2571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Debra Zack, M.D.,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2/04/2022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120,000 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5,729 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6,771 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7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2/22/2031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28,125 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67,500 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3/24/2020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68,750 </w:t>
            </w:r>
          </w:p>
        </w:tc>
        <w:tc>
          <w:tcPr>
            <w:tcW w:w="3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31,250 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7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3/23/2030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593"/>
        <w:gridCol w:w="1521"/>
        <w:gridCol w:w="1521"/>
        <w:gridCol w:w="1521"/>
        <w:gridCol w:w="1521"/>
        <w:gridCol w:w="218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option vests with respect to 25% of the shares underlying the option on the first anniversary of the grant date and with respect to the remaining shares, on each monthly anniversary over the three-year period thereafter, subject to the grantee's continued service. In addition, the option may become fully vested upon a qualifying termination of employment in connection with a change in control.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option vests with respect to 25% of the shares underlying the option on the first anniversary of the grant date and with respect to the remaining shares, on each monthly anniversary over the three-year period thereafter, subject to the grantee's continued service.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option vests with respect to 25% of the shares underlying the option on the first anniversary of the grant date and with respect to the remaining shares, on each monthly anniversary over the three-year period thereafter, subject to the grantee’s continued service. This option was granted under the 2013 Plan.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restricted stock units vest with respect to 25% of the restricted stock units on each of the first, second, third and fourth anniversaries of March 1, 2021, subject to the grantee's continued service. In addition, the award may become fully vested upon a qualifying termination of employment in connection with a change in control.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market value of shares of restricted stock units that have not vested is calculated by multiplying the fair market value of a share of our common stock on December 31, 2022 ($2.40) by the number of unvested shares of restricted stock units outstanding under the award.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restricted stock units will vest with respect to 25% of the restricted stock units on each of the first, second, third and fourth anniversaries of the grant date, subject to the grantee's continued service. In addition, the award may become fully vested upon a change in control.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These options are fully vested.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Director Compensation</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director compensation program is intended to provide a total compensation package that enables us to attract and retain qualified and experienced individuals to serve as directors and to align our directors' interests with those of our stockholders. Directors who are also employees of our Company do not receive compensation for their service on the Board.</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September 2019, the Board adopted the Non-Employee Director Compensation Program (the "Director Compensation Program") that became effective in connection with our initial public offering.</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Under the Director Compensation Program, non-employee directors receive a cash retainer for service on the Board and for service on each committee of which the director is a member. In connection with Dr. Nova’s appointment as Executive Chairperson of the Board, the Board approved an aggregate annual cash retainer of $100,000 for Dr. Nova. The Chairperson of the Board and of each committee receives a higher retainer for such service. Cash retainers are payable quarterly in arrears. Annual cash retainers are pro-rated for any partial calendar quarter of service. All cash compensation payable to the directors affiliated with Sun Mountain Capital or H.I.G. Capital, LLC is paid to Sun Mountain Capital or H.I.G. Capital, LLC, as applicable. The fees paid to non-employee directors for service on the Board under the Director Compensation Program are as follows: </w:t>
      </w:r>
    </w:p>
    <w:p>
      <w:pPr>
        <w:pStyle w:val="TextBody"/>
        <w:spacing w:before="0" w:after="0"/>
        <w:rPr/>
      </w:pPr>
      <w:r>
        <w:rPr/>
      </w:r>
    </w:p>
    <w:tbl>
      <w:tblPr>
        <w:tblW w:w="5522" w:type="dxa"/>
        <w:jc w:val="left"/>
        <w:tblInd w:w="0" w:type="dxa"/>
        <w:tblCellMar>
          <w:top w:w="28" w:type="dxa"/>
          <w:left w:w="28" w:type="dxa"/>
          <w:bottom w:w="28" w:type="dxa"/>
          <w:right w:w="28" w:type="dxa"/>
        </w:tblCellMar>
      </w:tblPr>
      <w:tblGrid>
        <w:gridCol w:w="1490"/>
        <w:gridCol w:w="1308"/>
        <w:gridCol w:w="1311"/>
        <w:gridCol w:w="109"/>
        <w:gridCol w:w="109"/>
        <w:gridCol w:w="109"/>
        <w:gridCol w:w="211"/>
        <w:gridCol w:w="721"/>
        <w:gridCol w:w="154"/>
      </w:tblGrid>
      <w:tr>
        <w:trPr/>
        <w:tc>
          <w:tcPr>
            <w:tcW w:w="1490"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Board of Directors annual retainer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Incremental annual retainer for the Chairperson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Committee Chair incremental annual retainers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Audit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Nominating and Corporate Governance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Committee member incremental annual retainers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Audit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Nominating and Corporate Governance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addition, under this program, each of our non-employee directors is eligible to receive an annual stock option grant to purchase 9,000 shares of our common stock, which shall vest in full on the earlier to occur of (i) the one-year anniversary of the applicable grant date and (ii) the date of the next annual meeting following the grant date, subject to continued service through the applicable vesting date. Additionally, new non-employee directors are eligible to receive a stock option to purchase 15,000 shares of our common stock on the date on which such eligible director is appointed or elected to serve on the Board, and shall vest as to 1/36th of the shares underlying the option on each monthly anniversary of the grant date, subject to the eligible director's continued service through the applicable vesting date.</w:t>
      </w:r>
    </w:p>
    <w:p>
      <w:pPr>
        <w:pStyle w:val="TextBody"/>
        <w:spacing w:before="0" w:after="0"/>
        <w:rPr/>
      </w:pPr>
      <w:r>
        <w:rPr/>
      </w:r>
    </w:p>
    <w:p>
      <w:pPr>
        <w:pStyle w:val="TextBody"/>
        <w:spacing w:lineRule="auto" w:line="276"/>
        <w:rPr>
          <w:rFonts w:ascii="Arial;sans-serif" w:hAnsi="Arial;sans-serif"/>
          <w:b w:val="false"/>
          <w:color w:val="000000"/>
          <w:sz w:val="20"/>
        </w:rPr>
      </w:pPr>
      <w:r>
        <w:rPr>
          <w:rFonts w:ascii="Arial;sans-serif" w:hAnsi="Arial;sans-serif"/>
          <w:b w:val="false"/>
          <w:color w:val="000000"/>
          <w:sz w:val="20"/>
        </w:rPr>
        <w:t>The following table sets forth information regarding the compensation of our non-employee directors earned for services rendered during the year ended December 31, 2022. Messrs. Rocca and Aballi, who served as our President and Chief Executive Officer during the year ended December 31, 2022, did not receive additional compensation for their service as a director, and therefore are not included in the Director Compensation table below. The compensation paid to Messrs. Rocca and Aballi are reported above in the “Summary Compensation Table.”</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tbl>
      <w:tblPr>
        <w:tblW w:w="8474" w:type="dxa"/>
        <w:jc w:val="left"/>
        <w:tblInd w:w="0" w:type="dxa"/>
        <w:tblCellMar>
          <w:top w:w="28" w:type="dxa"/>
          <w:left w:w="28" w:type="dxa"/>
          <w:bottom w:w="28" w:type="dxa"/>
          <w:right w:w="28" w:type="dxa"/>
        </w:tblCellMar>
      </w:tblPr>
      <w:tblGrid>
        <w:gridCol w:w="752"/>
        <w:gridCol w:w="655"/>
        <w:gridCol w:w="662"/>
        <w:gridCol w:w="109"/>
        <w:gridCol w:w="109"/>
        <w:gridCol w:w="109"/>
        <w:gridCol w:w="859"/>
        <w:gridCol w:w="859"/>
        <w:gridCol w:w="862"/>
        <w:gridCol w:w="109"/>
        <w:gridCol w:w="109"/>
        <w:gridCol w:w="109"/>
        <w:gridCol w:w="589"/>
        <w:gridCol w:w="589"/>
        <w:gridCol w:w="592"/>
        <w:gridCol w:w="109"/>
        <w:gridCol w:w="109"/>
        <w:gridCol w:w="109"/>
        <w:gridCol w:w="368"/>
        <w:gridCol w:w="368"/>
        <w:gridCol w:w="338"/>
      </w:tblGrid>
      <w:tr>
        <w:trPr/>
        <w:tc>
          <w:tcPr>
            <w:tcW w:w="752"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Fees Earned or Paid in Cash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Option Awards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w:t>
            </w:r>
          </w:p>
        </w:tc>
      </w:tr>
      <w:tr>
        <w:trPr/>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Brian Birk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79,000 </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24,682 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103,682 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Ana Hooker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57,500 </w:t>
            </w:r>
          </w:p>
        </w:tc>
        <w:tc>
          <w:tcPr>
            <w:tcW w:w="8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24,682 </w:t>
            </w:r>
          </w:p>
        </w:tc>
        <w:tc>
          <w:tcPr>
            <w:tcW w:w="5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82,182 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Wendy Johnson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57,500 </w:t>
            </w:r>
          </w:p>
        </w:tc>
        <w:tc>
          <w:tcPr>
            <w:tcW w:w="8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24,682 </w:t>
            </w:r>
          </w:p>
        </w:tc>
        <w:tc>
          <w:tcPr>
            <w:tcW w:w="5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82,182 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Tina S. Nova,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65,000 </w:t>
            </w:r>
          </w:p>
        </w:tc>
        <w:tc>
          <w:tcPr>
            <w:tcW w:w="8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24,682 </w:t>
            </w:r>
          </w:p>
        </w:tc>
        <w:tc>
          <w:tcPr>
            <w:tcW w:w="5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89,682 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Ebetuel Pallares,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57,500 </w:t>
            </w:r>
          </w:p>
        </w:tc>
        <w:tc>
          <w:tcPr>
            <w:tcW w:w="8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24,682 </w:t>
            </w:r>
          </w:p>
        </w:tc>
        <w:tc>
          <w:tcPr>
            <w:tcW w:w="5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82,182 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Bruce C. Robertson,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33,750 </w:t>
            </w:r>
          </w:p>
        </w:tc>
        <w:tc>
          <w:tcPr>
            <w:tcW w:w="8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33,750 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Frank Stokes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62,000 </w:t>
            </w:r>
          </w:p>
        </w:tc>
        <w:tc>
          <w:tcPr>
            <w:tcW w:w="8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24,682 </w:t>
            </w:r>
          </w:p>
        </w:tc>
        <w:tc>
          <w:tcPr>
            <w:tcW w:w="5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86,682 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James L.L. Tullis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57,500 </w:t>
            </w:r>
          </w:p>
        </w:tc>
        <w:tc>
          <w:tcPr>
            <w:tcW w:w="8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24,682 </w:t>
            </w:r>
          </w:p>
        </w:tc>
        <w:tc>
          <w:tcPr>
            <w:tcW w:w="5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82,182 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Amounts reflect the aggregate grant date fair value of stock options granted in 2022, computed in accordance with the provisions of ASC Topic 718, Compensation Stock Compensation. These amounts do not reflect the actual economic value that will be realized by the director upon the vesting of the stock options, the exercise of the stock options, or the sale of the common stock underlying the stock options. The assumptions that we used to calculate these amounts are discussed in Note 2 and Note 8 to our audited financial statements in our Annual Report on Form 10-K for the year ended December 31, 2022 filed with the SEC on March 20, 2023. As of December 31, 2022, the outstanding option awards to purchase the following respective numbers of shares of common stock were held by members of the Board: Mr. Birk, 46,422 shares; Ms. Hooker, 24,000 shares; Ms. Johnson, 33,000 shares; Dr. Nova, 40,613 shares; Dr. Pallares, 39,948 shares; Dr. Robertson, 0 shares; Mr. Stokes, 24,000 shares; and Mr. Tullis, 39,948 shares.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Equity Compensation Plan Information</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provides information on our equity compensation plans as of December 31, 2022.</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As of December 31, 2022, we had two equity compensation plans in place under which shares of our common stock were authorized for issuance detailed as follows: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45"/>
        <w:gridCol w:w="570"/>
        <w:gridCol w:w="498"/>
        <w:gridCol w:w="109"/>
        <w:gridCol w:w="109"/>
        <w:gridCol w:w="109"/>
        <w:gridCol w:w="737"/>
        <w:gridCol w:w="737"/>
        <w:gridCol w:w="740"/>
        <w:gridCol w:w="109"/>
        <w:gridCol w:w="109"/>
        <w:gridCol w:w="109"/>
        <w:gridCol w:w="773"/>
        <w:gridCol w:w="773"/>
        <w:gridCol w:w="774"/>
        <w:gridCol w:w="109"/>
        <w:gridCol w:w="109"/>
        <w:gridCol w:w="109"/>
        <w:gridCol w:w="870"/>
        <w:gridCol w:w="870"/>
        <w:gridCol w:w="1237"/>
      </w:tblGrid>
      <w:tr>
        <w:trPr/>
        <w:tc>
          <w:tcPr>
            <w:tcW w:w="64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r>
      <w:tr>
        <w:trPr/>
        <w:tc>
          <w:tcPr>
            <w:tcW w:w="1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to be issued upon the exercise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Weighted-average exercise price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remaining available for future issuance under equity compensation plans (excluding securities reflected in column(a))</w:t>
            </w:r>
          </w:p>
        </w:tc>
      </w:tr>
      <w:tr>
        <w:trPr/>
        <w:tc>
          <w:tcPr>
            <w:tcW w:w="17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r>
      <w:tr>
        <w:trPr/>
        <w:tc>
          <w:tcPr>
            <w:tcW w:w="1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2,457,218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2,031,760 (3)</w:t>
            </w:r>
          </w:p>
        </w:tc>
      </w:tr>
      <w:tr>
        <w:trPr/>
        <w:tc>
          <w:tcPr>
            <w:tcW w:w="1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2,457,218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2,031,760</w:t>
            </w:r>
          </w:p>
        </w:tc>
      </w:tr>
    </w:tbl>
    <w:tbl>
      <w:tblPr>
        <w:tblW w:w="10205" w:type="dxa"/>
        <w:jc w:val="left"/>
        <w:tblInd w:w="0" w:type="dxa"/>
        <w:tblCellMar>
          <w:top w:w="28" w:type="dxa"/>
          <w:left w:w="28" w:type="dxa"/>
          <w:bottom w:w="28" w:type="dxa"/>
          <w:right w:w="28" w:type="dxa"/>
        </w:tblCellMar>
      </w:tblPr>
      <w:tblGrid>
        <w:gridCol w:w="124"/>
        <w:gridCol w:w="109"/>
        <w:gridCol w:w="109"/>
        <w:gridCol w:w="792"/>
        <w:gridCol w:w="792"/>
        <w:gridCol w:w="792"/>
        <w:gridCol w:w="792"/>
        <w:gridCol w:w="792"/>
        <w:gridCol w:w="792"/>
        <w:gridCol w:w="792"/>
        <w:gridCol w:w="792"/>
        <w:gridCol w:w="792"/>
        <w:gridCol w:w="792"/>
        <w:gridCol w:w="792"/>
        <w:gridCol w:w="115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weighted-average exercise price is calculated based solely on outstanding options.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9863" w:type="dxa"/>
            <w:gridSpan w:val="12"/>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Includes 2,223,668 shares of common stock that were subject to awards as of December 31, 2022 under the 2019 Plan and 233,550 shares of common stock that were subject to awards as of December 31, 2022 under the 2013 Plan. Of these shares, 1,187,685 were subject to options outstanding under the 2019 Plan, and 1,035,983 were subject to restricted stock units outstanding under the 2019 Plan.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w:t>
            </w:r>
          </w:p>
        </w:tc>
        <w:tc>
          <w:tcPr>
            <w:tcW w:w="9863"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Includes 1,452,835 shares of common stock available for issuance under the 2019 Plan and 578,925 shares of common stock available for issuance under our Employee Stock Purchase Plan. This amount does not include any additional shares that may become available for future issuance under the 2019 Plan pursuant to the automatic increase to the share reserve on January 1 of each of our calendar years beginning 2023 and continuing through 2029 by the number of shares equal to 4% of the total outstanding shares of our common stock and common stock equivalents as of the immediately preceding December 31. Additionally, this amount does not include any additional shares that may become available for future issuance under our Employee Stock Purchase Plan pursuant to the automatic increase to the share reserve on January 1 of each of our calendar years beginning 2023 and continuing through 2029 by the number of shares equal to 1% of the total outstanding shares of our common stock and common stock equivalents as of the immediately preceding December 31. There are no shares of common stock remaining available for issuance under our 2002 Plan or our 2013 Plan.</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Security Ownership of Certain Beneficial Owners and Management</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and accompanying footnotes set forth certain information with respect to the beneficial ownership of our common stock at April 18, 2023 for:</w:t>
      </w:r>
    </w:p>
    <w:p>
      <w:pPr>
        <w:pStyle w:val="TextBody"/>
        <w:spacing w:lineRule="auto" w:line="288" w:before="0" w:after="0"/>
        <w:ind w:left="0" w:right="0" w:hanging="360"/>
        <w:rPr/>
      </w:pPr>
      <w:r>
        <w:rPr>
          <w:color w:val="000000"/>
        </w:rPr>
        <w:t>•</w:t>
      </w:r>
      <w:r>
        <w:rPr>
          <w:rFonts w:ascii="Arial;sans-serif" w:hAnsi="Arial;sans-serif"/>
          <w:b w:val="false"/>
          <w:color w:val="000000"/>
          <w:sz w:val="20"/>
        </w:rPr>
        <w:t>each of our directors and nominees for director;</w:t>
      </w:r>
    </w:p>
    <w:p>
      <w:pPr>
        <w:pStyle w:val="TextBody"/>
        <w:spacing w:lineRule="auto" w:line="288" w:before="0" w:after="0"/>
        <w:ind w:left="0" w:right="0" w:hanging="360"/>
        <w:rPr/>
      </w:pPr>
      <w:r>
        <w:rPr>
          <w:color w:val="000000"/>
        </w:rPr>
        <w:t>•</w:t>
      </w:r>
      <w:r>
        <w:rPr>
          <w:rFonts w:ascii="Arial;sans-serif" w:hAnsi="Arial;sans-serif"/>
          <w:b w:val="false"/>
          <w:color w:val="000000"/>
          <w:sz w:val="20"/>
        </w:rPr>
        <w:t>each of our named executive officers;</w:t>
      </w:r>
    </w:p>
    <w:p>
      <w:pPr>
        <w:pStyle w:val="TextBody"/>
        <w:spacing w:lineRule="auto" w:line="288" w:before="0" w:after="0"/>
        <w:ind w:left="0" w:right="0" w:hanging="360"/>
        <w:rPr/>
      </w:pPr>
      <w:r>
        <w:rPr>
          <w:color w:val="000000"/>
        </w:rPr>
        <w:t>•</w:t>
      </w:r>
      <w:r>
        <w:rPr>
          <w:rFonts w:ascii="Arial;sans-serif" w:hAnsi="Arial;sans-serif"/>
          <w:b w:val="false"/>
          <w:color w:val="000000"/>
          <w:sz w:val="20"/>
        </w:rPr>
        <w:t>all of our current directors and executive officers as a group; and</w:t>
      </w:r>
    </w:p>
    <w:p>
      <w:pPr>
        <w:pStyle w:val="TextBody"/>
        <w:spacing w:lineRule="auto" w:line="288" w:before="0" w:after="0"/>
        <w:ind w:left="0" w:right="0" w:hanging="360"/>
        <w:rPr/>
      </w:pPr>
      <w:r>
        <w:rPr>
          <w:color w:val="000000"/>
        </w:rPr>
        <w:t>•</w:t>
      </w:r>
      <w:r>
        <w:rPr>
          <w:rFonts w:ascii="Arial;sans-serif" w:hAnsi="Arial;sans-serif"/>
          <w:b w:val="false"/>
          <w:color w:val="000000"/>
          <w:sz w:val="20"/>
        </w:rPr>
        <w:t>each person, or group of affiliated persons, who beneficially owned more than 5% of our outstanding common stock.</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Applicable percentage ownership is based on 16,850,550 shares of common stock outstanding as of April 18, 2023. In computing the number of shares of common stock beneficially owned by a person and the percentage ownership of that person, we deemed to be outstanding all shares of common stock subject to options, warrants or other rights held by that person or entity that are currently exercisable or scheduled to vest within 60 days of April 18, 2023. We did not deem these shares outstanding, however, for the purpose of computing the percentage ownership of any other person. Unless otherwise indicated, the address of each beneficial owner listed in the table below is c/o Exagen Inc., 1261 Liberty Way, Vista, California 92081.</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tbl>
      <w:tblPr>
        <w:tblW w:w="7560" w:type="dxa"/>
        <w:jc w:val="left"/>
        <w:tblInd w:w="0" w:type="dxa"/>
        <w:tblCellMar>
          <w:top w:w="28" w:type="dxa"/>
          <w:left w:w="28" w:type="dxa"/>
          <w:bottom w:w="28" w:type="dxa"/>
          <w:right w:w="28" w:type="dxa"/>
        </w:tblCellMar>
      </w:tblPr>
      <w:tblGrid>
        <w:gridCol w:w="1922"/>
        <w:gridCol w:w="1691"/>
        <w:gridCol w:w="1697"/>
        <w:gridCol w:w="435"/>
        <w:gridCol w:w="436"/>
        <w:gridCol w:w="246"/>
        <w:gridCol w:w="236"/>
        <w:gridCol w:w="236"/>
        <w:gridCol w:w="661"/>
      </w:tblGrid>
      <w:tr>
        <w:trPr/>
        <w:tc>
          <w:tcPr>
            <w:tcW w:w="1922" w:type="dxa"/>
            <w:tcBorders/>
            <w:shd w:fill="auto" w:val="clear"/>
            <w:vAlign w:val="center"/>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Beneficial Ownership</w:t>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Name of Beneficial Owner</w:t>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Percentage</w:t>
            </w:r>
          </w:p>
        </w:tc>
      </w:tr>
      <w:tr>
        <w:trPr/>
        <w:tc>
          <w:tcPr>
            <w:tcW w:w="5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6"/>
              </w:rPr>
            </w:pPr>
            <w:r>
              <w:rPr>
                <w:rFonts w:ascii="Arial;sans-serif" w:hAnsi="Arial;sans-serif"/>
                <w:b/>
                <w:i/>
                <w:color w:val="000000"/>
                <w:sz w:val="16"/>
              </w:rPr>
              <w:t>5% or Greater Stockholders</w:t>
            </w:r>
          </w:p>
        </w:tc>
        <w:tc>
          <w:tcPr>
            <w:tcW w:w="11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NMSIC Co-Investment Fund, L.P. (1)</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2,308,958 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Entities affiliated with Tullis-Dickerson Capital Focus III, L.P. (2)</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1,805,653 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 Bio-Exagen, L.P. (3)</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1,696,252 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RTW Investments, L.P. (4)</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1,364,336 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Hunt Holdings Limited Partnership (5)</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1,011,324 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Wasatch Advisors, Inc. (6)</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1,000,561 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Cowen Financial Products LLC (7)</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966,022 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Laurence W. Lytton (8)</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871,181 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Stonepine Capital Management, LLC (9)</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854,042 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6"/>
              </w:rPr>
            </w:pPr>
            <w:r>
              <w:rPr>
                <w:rFonts w:ascii="Arial;sans-serif" w:hAnsi="Arial;sans-serif"/>
                <w:b/>
                <w:i/>
                <w:color w:val="000000"/>
                <w:sz w:val="16"/>
              </w:rPr>
              <w:t>Named Executive Officers and Directors</w:t>
            </w:r>
          </w:p>
        </w:tc>
        <w:tc>
          <w:tcPr>
            <w:tcW w:w="1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Aballi (10)</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Kamal Adawi (11)</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181,431 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Hazeltine (12)</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144,617 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Fortunato Ron Rocca (13)</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277,562 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Debra Zack, M.D., Ph.D. (14)</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109,519 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Tina S. Nova, Ph.D. (15)</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40,613 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Brian Birk (16)</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2,355,380 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Ana Hooker (17)</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18,166 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Wendy Johnson (18)</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32,333 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Ebetuel Pallares, Ph.D. (19)</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41,133 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Bruce C. Robertson, Ph.D. (3)</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1,696,252 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Frank Stokes (20)</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19,000 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James L.L. Tullis (21)</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1,872,917 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current directors and executive officers as a group (11 persons)(22)</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6,491,842 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10205" w:type="dxa"/>
        <w:jc w:val="left"/>
        <w:tblInd w:w="0" w:type="dxa"/>
        <w:tblCellMar>
          <w:top w:w="28" w:type="dxa"/>
          <w:left w:w="28" w:type="dxa"/>
          <w:bottom w:w="28" w:type="dxa"/>
          <w:right w:w="28" w:type="dxa"/>
        </w:tblCellMar>
      </w:tblPr>
      <w:tblGrid>
        <w:gridCol w:w="124"/>
        <w:gridCol w:w="109"/>
        <w:gridCol w:w="109"/>
        <w:gridCol w:w="1611"/>
        <w:gridCol w:w="1515"/>
        <w:gridCol w:w="1515"/>
        <w:gridCol w:w="1515"/>
        <w:gridCol w:w="1515"/>
        <w:gridCol w:w="219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219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than 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2,308,958 shares of common stock held by NMSIC Co-Investment Fund, L.P. ("NMSIC"). The general partner of NMSIC is Sun Mountain Capital Partners LLC ("Sun Mountain"). The controlling members of Sun Mountain are Brian Birk, one of our directors, Sally Coming and Lee Rand. As a result, each of Sun Mountain, Mr. Birk, Ms. Coming and Mr. Rand may be deemed to possess voting and investment control over, and may be deemed to have indirect beneficial ownership with respect to, all shares held by NMSIC. Neither Sun Mountain, Mr. Birk, Ms. Coming nor Mr. Rand owns directly any of the shares held of record by NMSIC. Each of Sun Mountain, Mr. Birk, Ms. Coming and Mr. Rand disclaims beneficial ownership of the shares held by NMSIC, except to the extent of their pecuniary interest therein. The address for each of the NMSIC entities is 527 Don Gaspar Avenue, Santa Fe, New Mexico 87505. This information is based on this stockholder's Schedule 13G/A, filed with the SEC on February 2, 2023, and such additional information as is known to 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(a) 992,821 shares of common stock and 119,536 shares of common stock issuable upon the exercise of warrants held by Tullis-Dickerson Capital Focus III, L.P. ("Tullis"), (b) 417,398 shares of common stock and 170,445 shares of common stock issuable upon the exercise of warrants held by Tullis Growth Fund, L.P, and (c) 105,453 shares of common stock held by Tullis Growth Fund II, L.P. Tullis-Dickerson Partners III, LLC (“Tullis Partners”) is the general partner of Tullis and may be deemed to beneficially own the securities held by Tullis. Tullis Growth Partners, LLC (“Growth Partners”) and Tullis Growth Partners II, LLC (“Growth Partners II”) are the general partners of Tullis Growth Fund, L.P. and Tullis Growth Fund II, L.P., respectively, and may be deemed to beneficially own the securities held by Tullis Growth and Tullis Growth II. James L.L. Tullis, one of our directors, is a Principal of each of the foregoing entities and may be deemed to possess voting and investment control over, and may be deemed to have an indirect beneficial ownership interest with respect to, the shares held by Tullis, Tullis Growth and Tullis Growth II. The address for each of the Tullis entities is 11770 U.S. Highway 1, Suite 503, Palm Beach Gardens, FL 33408. This information is based on this stockholder's Schedule 13G/A, filed with the SEC on February 7, 2023, and such additional information as is known to 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33"/>
        <w:gridCol w:w="118"/>
        <w:gridCol w:w="119"/>
        <w:gridCol w:w="1602"/>
        <w:gridCol w:w="1514"/>
        <w:gridCol w:w="1514"/>
        <w:gridCol w:w="1514"/>
        <w:gridCol w:w="1514"/>
        <w:gridCol w:w="2177"/>
      </w:tblGrid>
      <w:tr>
        <w:trPr/>
        <w:tc>
          <w:tcPr>
            <w:tcW w:w="13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1,696,252 shares of common stock held by H.I.G. Bio-Exagen, L.P., H.I.G. Capital, LLC has sole voting and investment control over the shares owned by H.I.G. Bio-Exagen, LLC. Bruce C. Robertson, Ph.D. is a managing director of H.I.G. Capital, LLC and may be deemed to share voting and investment control over, and may be deemed to have an indirect beneficial ownership interest with respect to, all shares held by H.I.G. Bio-Exagen, L.P. The address of H.I.G. Bio-Exagen, LLC is 1450 Brickell Avenue, 31st Floor, Miami, FL 33131.</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1,364,336 shares of common stock held by RTW Funds, managed by RTW Investments, LP (the "Adviser"). The Adviser, in its capacity as the investment manager of RTW Funds, has the power to vote and the power to direct the disposition of all shares held by RTW Funds. Accordingly, for the purposes of Reg. Section 240.13d-3, the Adviser may be deemed to beneficially own an aggregate of 1,364,336 shares. Roderick Wong is the Managing Partner of the Adviser. The address of RTW Investments, LP and Mr. Wong is 40 10th Avenue, 7th Floor, New York, NY 10014. This information is based on this stockholder’s Schedule 13G/A, filed with the SEC on February 14, 2023, and such additional information as is known to us.</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1,011,324 shares of common stock held by Hunt Holdings Limited Partnership. Woody L. Hunt is the majority shareholder of Hunt Guaranty Inc., which is the sole member of HuntVest, LLC, which is the general partner of Hunt Holdings Limited Partnership. As a result, Mr. Hunt and each of the foregoing entities may be deemed to indirectly beneficially own the securities held by Hunt Holdings Limited Partnership, but each disclaims beneficial ownership of such securities. The address of each of the foregoing entities is 601 N. Mesa St., Suite 1900, El Paso, Texas 79901. This information is based on this stockholder’s Schedule 13G/A, filed with the SEC on February 2,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1,000,561 shares of common stock held by Wasatch Advisors, Inc. The address of Wasatch Advisors, Inc. is 505 Wakara Way, Salt Lake City, UT 84108. This information is based on this stockholder’s Schedule 13G/A, filed with the SEC on February 9,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966,022 shares of common stock held by Cowen Financial Products LLC. The address of Cowen Financial Products LLC is 599 Lexington Ave, New York, NY 10022. This information is based on this stockholder’s Schedule 13G/A, filed with the SEC on January 23,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871,181 shares of common stock held by Laurence W. Lytton. Mr. Lytton's address is 467 Central Park West, New York, NY 10025. This information is based on this stockholder’s Schedule 13G/A, filed with the SEC on February 13,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854,042 shares of common stock held by Stonepine Capital Management, LLC. The address of Stonepine Capital Management, LLC is 919 NW Bond Street, Suite 204, Bend, OR 97703-2767. This information is based on this stockholder’s Schedule 13G/A, filed with the SEC on February 13,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90,000 shares of common stock held.</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25,563 shares of common stock held and 155,868 shares underlying options to purchase common stock that are exercisable within 60 days of April 18,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27,497 shares of common stock held and 117,120 shares underlying options to purchase common stock that are exercisable within 60 days of April 18,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(13)</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Consists of 277,562 shares of common stock beneficially owned by Fortunato Ron Rocca. This information is based on this stockholder's Form 4 filed with the SEC on March 2, 2022 and such additional information as is known to us.</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Consists of 109,519 shares of common stock beneficially owned by Debra Zack, M.D., Ph.D. This information is based on this stockholder's Form 4 filed with the SEC on March 2, 2022 and such additional information as is known to us.</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(15)</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40,613 shares underlying options to purchase common stock that are exercisable within 60 days of April 18,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(16)</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securities described in footnote (1) above and 46,422 shares underlying options to purchase common stock that are exercisable within 60 days of April 18,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(17)</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18,166 shares underlying options to purchase common stock that are exercisable within 60 days of April 18,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(18)</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1,000 shares of common stock held and 31,333 shares underlying options to purchase common stock that are exercisable within 60 days of April 18,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(19)</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1,185 shares of common stock held by Proficio Capital Management, LLC (“Proficio”). Ebetuel Pallares, Ph.D., one of our directors, is the founder and sole member of Proficio. As a result, each of Proficio and Dr. Pallares may be deemed to possess voting and investment control over, and may be deemed to have an indirect beneficial ownership interest with respect to, all shares held by Proficio. Also includes 39,948 shares underlying options to purchase common stock held by Dr. Pallares that are exercisable within 60 days of April 18,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w:t>
            </w:r>
          </w:p>
        </w:tc>
        <w:tc>
          <w:tcPr>
            <w:tcW w:w="983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19,000 shares underlying options to purchase common stock that are exercisable within 60 days of April 18, 2023.</w:t>
            </w:r>
          </w:p>
        </w:tc>
      </w:tr>
      <w:tr>
        <w:trPr/>
        <w:tc>
          <w:tcPr>
            <w:tcW w:w="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36"/>
        <w:gridCol w:w="121"/>
        <w:gridCol w:w="122"/>
        <w:gridCol w:w="1526"/>
        <w:gridCol w:w="1526"/>
        <w:gridCol w:w="1526"/>
        <w:gridCol w:w="1526"/>
        <w:gridCol w:w="1526"/>
        <w:gridCol w:w="2196"/>
      </w:tblGrid>
      <w:tr>
        <w:trPr/>
        <w:tc>
          <w:tcPr>
            <w:tcW w:w="13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r>
      <w:tr>
        <w:trPr/>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w:t>
            </w:r>
          </w:p>
        </w:tc>
        <w:tc>
          <w:tcPr>
            <w:tcW w:w="982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securities described in footnote (2) above and (a) 21,348 shares of common stock held by James L.L. Tullis, (b) 1,431 shares of common stock held by Linda A. Tullis, (c) 4,537 shares of common stock held by the HPS Irrevocable Trust #3 U/A Dtd 7/6/93, and (d) 39,948 shares underlying options to purchase common stock that are exercisable within 60 days of April 18, 2023.</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(22)</w:t>
            </w:r>
          </w:p>
        </w:tc>
        <w:tc>
          <w:tcPr>
            <w:tcW w:w="982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Consists of the shares of common stock and shares of common stock issuable upon exercise of outstanding options which are exercisable within 60 days of April 18, 2023 as set forth in footnotes (10) through (12) and (15) through (21).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Certain Relationships and Related Party Transactions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There are and have been no transactions entered into or existing since January 1, 2021 to which we have been a party in which the amount involved exceeded or will exceed $120,000 (or, if less, 1% of the average of our total assets amounts for the years ended December 31, 2022 and 2021),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Policies and Procedures for Related Person Transactions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Board adopted a written related person transaction policy, setting forth the policies and procedures for the review and approval or ratification of related-person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(or, if less, 1%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Stockholder Proposals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Stockholders who intend to have a proposal considered for inclusion in our proxy materials for presentation at our 2024 Annual Meeting pursuant to Rule 14a-8 under the Exchange Act must submit the proposal to our Corporate Secretary at our offices at 1261 Liberty Way, Vista, CA 92081 in writing not later than December 30, 2023, which is 120 days prior to the one-year anniversary of the mailing date of the proxy statement for the Annual Meeting, unless the date of the 2024 Annual Meeting of Stockholders is changed by more than 30 days from the anniversary of our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Stockholders intending to present a proposal at the 2024 Annual Meeting, but not to include the proposal in our proxy statement, or to nominate a person for election as a director, must comply with the requirements set forth in our Bylaws. Our Bylaws require, among other things, that our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2024 Annual Meeting no earlier than the close of business on February 10, 2024 and no later than the close of business on March 11, 2024. The notice must contain the information required by the Bylaws, a copy of which is available upon request to our Corporate Secretary. In the event that the date of the 2024 Annual Meeting is more than 30 days before or more than 60 days after June 9, 2024, our Corporate Secretary must receive such written notice not earlier than the close of business on the 120th day prior to the 2024 Annual Meeting and not later than the close of business on the 90th day prior to the 2024 Annual Meeting and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Stockholders are advised to review our Bylaws which also specify requirements as to the form and content of a stockholder's notice.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reserve the right to reject, rule out of order or take other appropriate action with respect to any proposal that does not comply with these or other applicable requirements.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Other Matters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No Incorporation by Reference</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To the extent that this proxy statement is incorporated by reference into any other filing by us under the Securities Act or the Exchange Act, the section of this proxy statement entitled “Report of the Audit Committee” to the extent permitted by the rules of the SEC will not be deemed incorporated, unless specifically provided otherwise in such filing. In addition, 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Solicitation of Proxies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accompanying proxy is solicited by and on behalf of the Board,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60"/>
        <w:rPr>
          <w:rFonts w:ascii="Arial;sans-serif" w:hAnsi="Arial;sans-serif"/>
          <w:b/>
          <w:color w:val="000000"/>
          <w:sz w:val="20"/>
        </w:rPr>
      </w:pPr>
      <w:r>
        <w:rPr>
          <w:rFonts w:ascii="Arial;sans-serif" w:hAnsi="Arial;sans-serif"/>
          <w:b/>
          <w:color w:val="000000"/>
          <w:sz w:val="20"/>
        </w:rPr>
        <w:t>Exagen's Annual Report on Form 10-K</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 copy of Exagen’s Annual Report on Form 10-K for the fiscal year ended December 31, 2022, including financial statements thereto but not including exhibits, as filed with the SEC, will be sent to any beneficial owners of our common stock on the Record Date as determined on April 18, 2023 without charge upon written request addressed to:</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Exagen Inc.</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Attention: Corporate Secretary</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1261 Liberty Way</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Vista, CA 92081</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 reasonable fee will be charged for copies of exhibits. You also may access this proxy statement and our Annual Report on Form 10-K at www.proxydocs.com/XGN. We make available free of charge on our website all of our filings that are made electronically with the SEC, including our Annual Report on Form 10-K for the year ended December 31, 2022. These materials can be found at www.exagen.com under the "Investor Relations" section.</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By Order of the Board of Directors,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 Kamal Adawi</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Kamal Adawi</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Corporate Secretary</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Vista, California</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April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jc w:val="center"/>
        <w:rPr/>
      </w:pPr>
      <w:r>
        <w:rPr/>
        <w:drawing>
          <wp:inline distT="0" distB="63500" distL="0" distR="0">
            <wp:extent cx="6515100" cy="8696325"/>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4"/>
                    <a:stretch>
                      <a:fillRect/>
                    </a:stretch>
                  </pic:blipFill>
                  <pic:spPr bwMode="auto">
                    <a:xfrm>
                      <a:off x="0" y="0"/>
                      <a:ext cx="6515100" cy="8696325"/>
                    </a:xfrm>
                    <a:prstGeom prst="rect">
                      <a:avLst/>
                    </a:prstGeom>
                  </pic:spPr>
                </pic:pic>
              </a:graphicData>
            </a:graphic>
          </wp:inline>
        </w:drawing>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jc w:val="center"/>
        <w:rPr/>
      </w:pPr>
      <w:r>
        <w:rPr/>
        <w:drawing>
          <wp:inline distT="0" distB="63500" distL="0" distR="0">
            <wp:extent cx="6515100" cy="8867775"/>
            <wp:effectExtent l="0" t="0" r="0" b="0"/>
            <wp:docPr id="4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 descr=""/>
                    <pic:cNvPicPr>
                      <a:picLocks noChangeAspect="1" noChangeArrowheads="1"/>
                    </pic:cNvPicPr>
                  </pic:nvPicPr>
                  <pic:blipFill>
                    <a:blip r:embed="rId5"/>
                    <a:stretch>
                      <a:fillRect/>
                    </a:stretch>
                  </pic:blipFill>
                  <pic:spPr bwMode="auto">
                    <a:xfrm>
                      <a:off x="0" y="0"/>
                      <a:ext cx="6515100" cy="8867775"/>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44</Pages>
  <Words>21747</Words>
  <CharactersWithSpaces>137024</CharactersWithSpaces>
  <Paragraphs>1295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