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5, 2025</w:t>
      </w:r>
    </w:p>
    <w:p>
      <w:pPr>
        <w:spacing w:after="0" w:line="1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EXAGEN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96" w:lineRule="exact"/>
        <w:rPr>
          <w:sz w:val="24"/>
          <w:szCs w:val="24"/>
          <w:color w:val="auto"/>
        </w:rPr>
      </w:pPr>
    </w:p>
    <w:tbl>
      <w:tblPr>
        <w:tblLayout w:type="fixed"/>
        <w:tblInd w:w="1240" w:type="dxa"/>
        <w:tblCellMar>
          <w:top w:w="0" w:type="dxa"/>
          <w:left w:w="0" w:type="dxa"/>
          <w:bottom w:w="0" w:type="dxa"/>
          <w:right w:w="0" w:type="dxa"/>
        </w:tblCellMar>
      </w:tblPr>
      <w:tr>
        <w:trPr>
          <w:trHeight w:val="238"/>
        </w:trPr>
        <w:tc>
          <w:tcPr>
            <w:tcW w:w="2000" w:type="dxa"/>
            <w:vAlign w:val="bottom"/>
          </w:tcPr>
          <w:p>
            <w:pPr>
              <w:jc w:val="center"/>
              <w:ind w:right="28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900" w:type="dxa"/>
            <w:vAlign w:val="bottom"/>
          </w:tcPr>
          <w:p>
            <w:pPr>
              <w:jc w:val="center"/>
              <w:ind w:right="79"/>
              <w:spacing w:after="0"/>
              <w:rPr>
                <w:sz w:val="20"/>
                <w:szCs w:val="20"/>
                <w:color w:val="auto"/>
              </w:rPr>
            </w:pPr>
            <w:r>
              <w:rPr>
                <w:rFonts w:ascii="Times New Roman" w:cs="Times New Roman" w:eastAsia="Times New Roman" w:hAnsi="Times New Roman"/>
                <w:sz w:val="18"/>
                <w:szCs w:val="18"/>
                <w:b w:val="1"/>
                <w:bCs w:val="1"/>
                <w:color w:val="auto"/>
                <w:w w:val="99"/>
              </w:rPr>
              <w:t>001-39049</w:t>
            </w:r>
          </w:p>
        </w:tc>
        <w:tc>
          <w:tcPr>
            <w:tcW w:w="1620" w:type="dxa"/>
            <w:vAlign w:val="bottom"/>
          </w:tcPr>
          <w:p>
            <w:pPr>
              <w:jc w:val="center"/>
              <w:ind w:left="402"/>
              <w:spacing w:after="0"/>
              <w:rPr>
                <w:sz w:val="20"/>
                <w:szCs w:val="20"/>
                <w:color w:val="auto"/>
              </w:rPr>
            </w:pPr>
            <w:r>
              <w:rPr>
                <w:rFonts w:ascii="Times New Roman" w:cs="Times New Roman" w:eastAsia="Times New Roman" w:hAnsi="Times New Roman"/>
                <w:sz w:val="18"/>
                <w:szCs w:val="18"/>
                <w:b w:val="1"/>
                <w:bCs w:val="1"/>
                <w:color w:val="auto"/>
                <w:w w:val="98"/>
              </w:rPr>
              <w:t>20-0434866</w:t>
            </w:r>
          </w:p>
        </w:tc>
      </w:tr>
      <w:tr>
        <w:trPr>
          <w:trHeight w:val="191"/>
        </w:trPr>
        <w:tc>
          <w:tcPr>
            <w:tcW w:w="2000" w:type="dxa"/>
            <w:vAlign w:val="bottom"/>
          </w:tcPr>
          <w:p>
            <w:pPr>
              <w:jc w:val="center"/>
              <w:ind w:right="282"/>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490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1620" w:type="dxa"/>
            <w:vAlign w:val="bottom"/>
          </w:tcPr>
          <w:p>
            <w:pPr>
              <w:jc w:val="center"/>
              <w:ind w:left="40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000" w:type="dxa"/>
            <w:vAlign w:val="bottom"/>
          </w:tcPr>
          <w:p>
            <w:pPr>
              <w:jc w:val="center"/>
              <w:ind w:right="30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490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620" w:type="dxa"/>
            <w:vAlign w:val="bottom"/>
          </w:tcPr>
          <w:p>
            <w:pPr>
              <w:jc w:val="center"/>
              <w:ind w:left="40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514"/>
        </w:trPr>
        <w:tc>
          <w:tcPr>
            <w:tcW w:w="2000" w:type="dxa"/>
            <w:vAlign w:val="bottom"/>
          </w:tcPr>
          <w:p>
            <w:pPr>
              <w:spacing w:after="0"/>
              <w:rPr>
                <w:sz w:val="24"/>
                <w:szCs w:val="24"/>
                <w:color w:val="auto"/>
              </w:rPr>
            </w:pPr>
          </w:p>
        </w:tc>
        <w:tc>
          <w:tcPr>
            <w:tcW w:w="4900" w:type="dxa"/>
            <w:vAlign w:val="bottom"/>
          </w:tcPr>
          <w:p>
            <w:pPr>
              <w:jc w:val="center"/>
              <w:ind w:right="39"/>
              <w:spacing w:after="0"/>
              <w:rPr>
                <w:sz w:val="20"/>
                <w:szCs w:val="20"/>
                <w:color w:val="auto"/>
              </w:rPr>
            </w:pPr>
            <w:r>
              <w:rPr>
                <w:rFonts w:ascii="Times New Roman" w:cs="Times New Roman" w:eastAsia="Times New Roman" w:hAnsi="Times New Roman"/>
                <w:sz w:val="18"/>
                <w:szCs w:val="18"/>
                <w:b w:val="1"/>
                <w:bCs w:val="1"/>
                <w:color w:val="auto"/>
                <w:w w:val="99"/>
              </w:rPr>
              <w:t>1261 Liberty Way</w:t>
            </w:r>
          </w:p>
        </w:tc>
        <w:tc>
          <w:tcPr>
            <w:tcW w:w="1620" w:type="dxa"/>
            <w:vAlign w:val="bottom"/>
          </w:tcPr>
          <w:p>
            <w:pPr>
              <w:spacing w:after="0"/>
              <w:rPr>
                <w:sz w:val="24"/>
                <w:szCs w:val="24"/>
                <w:color w:val="auto"/>
              </w:rPr>
            </w:pPr>
          </w:p>
        </w:tc>
      </w:tr>
      <w:tr>
        <w:trPr>
          <w:trHeight w:val="214"/>
        </w:trPr>
        <w:tc>
          <w:tcPr>
            <w:tcW w:w="2000" w:type="dxa"/>
            <w:vAlign w:val="bottom"/>
          </w:tcPr>
          <w:p>
            <w:pPr>
              <w:spacing w:after="0"/>
              <w:rPr>
                <w:sz w:val="18"/>
                <w:szCs w:val="18"/>
                <w:color w:val="auto"/>
              </w:rPr>
            </w:pPr>
          </w:p>
        </w:tc>
        <w:tc>
          <w:tcPr>
            <w:tcW w:w="4900" w:type="dxa"/>
            <w:vAlign w:val="bottom"/>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w w:val="99"/>
              </w:rPr>
              <w:t>Vista, CA 92081</w:t>
            </w:r>
          </w:p>
        </w:tc>
        <w:tc>
          <w:tcPr>
            <w:tcW w:w="1620" w:type="dxa"/>
            <w:vAlign w:val="bottom"/>
          </w:tcPr>
          <w:p>
            <w:pPr>
              <w:spacing w:after="0"/>
              <w:rPr>
                <w:sz w:val="18"/>
                <w:szCs w:val="18"/>
                <w:color w:val="auto"/>
              </w:rPr>
            </w:pPr>
          </w:p>
        </w:tc>
      </w:tr>
      <w:tr>
        <w:trPr>
          <w:trHeight w:val="190"/>
        </w:trPr>
        <w:tc>
          <w:tcPr>
            <w:tcW w:w="2000" w:type="dxa"/>
            <w:vAlign w:val="bottom"/>
          </w:tcPr>
          <w:p>
            <w:pPr>
              <w:spacing w:after="0"/>
              <w:rPr>
                <w:sz w:val="16"/>
                <w:szCs w:val="16"/>
                <w:color w:val="auto"/>
              </w:rPr>
            </w:pPr>
          </w:p>
        </w:tc>
        <w:tc>
          <w:tcPr>
            <w:tcW w:w="490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c>
          <w:tcPr>
            <w:tcW w:w="1620" w:type="dxa"/>
            <w:vAlign w:val="bottom"/>
          </w:tcPr>
          <w:p>
            <w:pPr>
              <w:spacing w:after="0"/>
              <w:rPr>
                <w:sz w:val="16"/>
                <w:szCs w:val="16"/>
                <w:color w:val="auto"/>
              </w:rPr>
            </w:pPr>
          </w:p>
        </w:tc>
      </w:tr>
      <w:tr>
        <w:trPr>
          <w:trHeight w:val="377"/>
        </w:trPr>
        <w:tc>
          <w:tcPr>
            <w:tcW w:w="2000" w:type="dxa"/>
            <w:vAlign w:val="bottom"/>
          </w:tcPr>
          <w:p>
            <w:pPr>
              <w:spacing w:after="0"/>
              <w:rPr>
                <w:sz w:val="24"/>
                <w:szCs w:val="24"/>
                <w:color w:val="auto"/>
              </w:rPr>
            </w:pPr>
          </w:p>
        </w:tc>
        <w:tc>
          <w:tcPr>
            <w:tcW w:w="4900" w:type="dxa"/>
            <w:vAlign w:val="bottom"/>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w w:val="99"/>
              </w:rPr>
              <w:t>(760) 560-1501</w:t>
            </w:r>
          </w:p>
        </w:tc>
        <w:tc>
          <w:tcPr>
            <w:tcW w:w="1620" w:type="dxa"/>
            <w:vAlign w:val="bottom"/>
          </w:tcPr>
          <w:p>
            <w:pPr>
              <w:spacing w:after="0"/>
              <w:rPr>
                <w:sz w:val="24"/>
                <w:szCs w:val="24"/>
                <w:color w:val="auto"/>
              </w:rPr>
            </w:pPr>
          </w:p>
        </w:tc>
      </w:tr>
      <w:tr>
        <w:trPr>
          <w:trHeight w:val="190"/>
        </w:trPr>
        <w:tc>
          <w:tcPr>
            <w:tcW w:w="2000" w:type="dxa"/>
            <w:vAlign w:val="bottom"/>
          </w:tcPr>
          <w:p>
            <w:pPr>
              <w:spacing w:after="0"/>
              <w:rPr>
                <w:sz w:val="16"/>
                <w:szCs w:val="16"/>
                <w:color w:val="auto"/>
              </w:rPr>
            </w:pPr>
          </w:p>
        </w:tc>
        <w:tc>
          <w:tcPr>
            <w:tcW w:w="490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620" w:type="dxa"/>
            <w:vAlign w:val="bottom"/>
          </w:tcPr>
          <w:p>
            <w:pPr>
              <w:spacing w:after="0"/>
              <w:rPr>
                <w:sz w:val="16"/>
                <w:szCs w:val="16"/>
                <w:color w:val="auto"/>
              </w:rPr>
            </w:pPr>
          </w:p>
        </w:tc>
      </w:tr>
      <w:tr>
        <w:trPr>
          <w:trHeight w:val="390"/>
        </w:trPr>
        <w:tc>
          <w:tcPr>
            <w:tcW w:w="2000" w:type="dxa"/>
            <w:vAlign w:val="bottom"/>
          </w:tcPr>
          <w:p>
            <w:pPr>
              <w:spacing w:after="0"/>
              <w:rPr>
                <w:sz w:val="24"/>
                <w:szCs w:val="24"/>
                <w:color w:val="auto"/>
              </w:rPr>
            </w:pPr>
          </w:p>
        </w:tc>
        <w:tc>
          <w:tcPr>
            <w:tcW w:w="4900" w:type="dxa"/>
            <w:vAlign w:val="bottom"/>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N/A</w:t>
            </w:r>
          </w:p>
        </w:tc>
        <w:tc>
          <w:tcPr>
            <w:tcW w:w="1620" w:type="dxa"/>
            <w:vAlign w:val="bottom"/>
          </w:tcPr>
          <w:p>
            <w:pPr>
              <w:spacing w:after="0"/>
              <w:rPr>
                <w:sz w:val="24"/>
                <w:szCs w:val="24"/>
                <w:color w:val="auto"/>
              </w:rPr>
            </w:pPr>
          </w:p>
        </w:tc>
      </w:tr>
      <w:tr>
        <w:trPr>
          <w:trHeight w:val="190"/>
        </w:trPr>
        <w:tc>
          <w:tcPr>
            <w:tcW w:w="2000" w:type="dxa"/>
            <w:vAlign w:val="bottom"/>
          </w:tcPr>
          <w:p>
            <w:pPr>
              <w:spacing w:after="0"/>
              <w:rPr>
                <w:sz w:val="16"/>
                <w:szCs w:val="16"/>
                <w:color w:val="auto"/>
              </w:rPr>
            </w:pPr>
          </w:p>
        </w:tc>
        <w:tc>
          <w:tcPr>
            <w:tcW w:w="490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620" w:type="dxa"/>
            <w:vAlign w:val="bottom"/>
          </w:tcPr>
          <w:p>
            <w:pPr>
              <w:spacing w:after="0"/>
              <w:rPr>
                <w:sz w:val="16"/>
                <w:szCs w:val="16"/>
                <w:color w:val="auto"/>
              </w:rPr>
            </w:pPr>
          </w:p>
        </w:tc>
      </w:tr>
    </w:tbl>
    <w:p>
      <w:pPr>
        <w:spacing w:after="0" w:line="17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46"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58"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40"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40"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7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318"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3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5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r>
      <w:tr>
        <w:trPr>
          <w:trHeight w:val="217"/>
        </w:trPr>
        <w:tc>
          <w:tcPr>
            <w:tcW w:w="39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5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23"/>
        </w:trPr>
        <w:tc>
          <w:tcPr>
            <w:tcW w:w="3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r>
      <w:tr>
        <w:trPr>
          <w:trHeight w:val="232"/>
        </w:trPr>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$0.001 per share</w:t>
            </w:r>
          </w:p>
        </w:tc>
        <w:tc>
          <w:tcPr>
            <w:tcW w:w="160" w:type="dxa"/>
            <w:vAlign w:val="bottom"/>
          </w:tcPr>
          <w:p>
            <w:pPr>
              <w:spacing w:after="0"/>
              <w:rPr>
                <w:sz w:val="20"/>
                <w:szCs w:val="20"/>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XGN</w:t>
            </w:r>
          </w:p>
        </w:tc>
        <w:tc>
          <w:tcPr>
            <w:tcW w:w="160" w:type="dxa"/>
            <w:vAlign w:val="bottom"/>
          </w:tcPr>
          <w:p>
            <w:pPr>
              <w:spacing w:after="0"/>
              <w:rPr>
                <w:sz w:val="20"/>
                <w:szCs w:val="20"/>
                <w:color w:val="auto"/>
              </w:rPr>
            </w:pPr>
          </w:p>
        </w:tc>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Global Market</w:t>
            </w:r>
          </w:p>
        </w:tc>
      </w:tr>
    </w:tbl>
    <w:p>
      <w:pPr>
        <w:spacing w:after="0" w:line="247" w:lineRule="exact"/>
        <w:rPr>
          <w:sz w:val="24"/>
          <w:szCs w:val="24"/>
          <w:color w:val="auto"/>
        </w:rPr>
      </w:pPr>
    </w:p>
    <w:p>
      <w:pPr>
        <w:ind w:right="60"/>
        <w:spacing w:after="0" w:line="23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7"/>
          <w:szCs w:val="17"/>
          <w:color w:val="auto"/>
        </w:rPr>
        <w:t>☐</w:t>
      </w:r>
    </w:p>
    <w:p>
      <w:pPr>
        <w:spacing w:after="0" w:line="134" w:lineRule="exact"/>
        <w:rPr>
          <w:sz w:val="24"/>
          <w:szCs w:val="24"/>
          <w:color w:val="auto"/>
        </w:rPr>
      </w:pPr>
    </w:p>
    <w:p>
      <w:pPr>
        <w:ind w:right="580"/>
        <w:spacing w:after="0" w:line="231"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809625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On May 5, 2025, the Company reported its financial results for the three months ended March 31, 2025. A copy of the press release issued by the Company is furnished as Exhibit 99.1 to this report.</w:t>
      </w:r>
    </w:p>
    <w:p>
      <w:pPr>
        <w:spacing w:after="0" w:line="162"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The information furnished with Item 2.02 of this report, including Exhibit 99.1, is being furnished and shall not be deemed “filed” for purposes of Section 18 of the Securities Exchange Act of 1934, as amended (the “Exchange Act”), or otherwise subject to the liabilities of that section, nor shall it be deemed incorporated by reference into any other filings under the Exchange Act or under the Securities Act of 1933, as amended, whether made before or after the date hereof, regardless of any general incorporation language in such filing, except as shall be expressly set forth by specific reference in such a filing.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500" w:type="dxa"/>
            <w:vAlign w:val="bottom"/>
          </w:tcPr>
          <w:p>
            <w:pPr>
              <w:spacing w:after="0"/>
              <w:rPr>
                <w:sz w:val="16"/>
                <w:szCs w:val="16"/>
                <w:color w:val="auto"/>
              </w:rPr>
            </w:pPr>
          </w:p>
        </w:tc>
        <w:tc>
          <w:tcPr>
            <w:tcW w:w="9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3"/>
        </w:trPr>
        <w:tc>
          <w:tcPr>
            <w:tcW w:w="96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7400" w:type="dxa"/>
            <w:vAlign w:val="bottom"/>
          </w:tcPr>
          <w:p>
            <w:pPr>
              <w:spacing w:after="0"/>
              <w:rPr>
                <w:sz w:val="2"/>
                <w:szCs w:val="2"/>
                <w:color w:val="auto"/>
              </w:rPr>
            </w:pPr>
          </w:p>
        </w:tc>
      </w:tr>
      <w:tr>
        <w:trPr>
          <w:trHeight w:val="439"/>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500" w:type="dxa"/>
            <w:vAlign w:val="bottom"/>
          </w:tcPr>
          <w:p>
            <w:pPr>
              <w:spacing w:after="0"/>
              <w:rPr>
                <w:sz w:val="24"/>
                <w:szCs w:val="24"/>
                <w:color w:val="auto"/>
              </w:rPr>
            </w:pPr>
          </w:p>
        </w:tc>
        <w:tc>
          <w:tcPr>
            <w:tcW w:w="2380" w:type="dxa"/>
            <w:vAlign w:val="bottom"/>
            <w:tcBorders>
              <w:bottom w:val="single" w:sz="8" w:color="0E32E1"/>
            </w:tcBorders>
          </w:tcPr>
          <w:p>
            <w:pPr>
              <w:spacing w:after="0"/>
              <w:rPr>
                <w:sz w:val="20"/>
                <w:szCs w:val="20"/>
                <w:color w:val="auto"/>
              </w:rPr>
            </w:pPr>
            <w:r>
              <w:rPr>
                <w:rFonts w:ascii="Times New Roman" w:cs="Times New Roman" w:eastAsia="Times New Roman" w:hAnsi="Times New Roman"/>
                <w:sz w:val="18"/>
                <w:szCs w:val="18"/>
                <w:color w:val="0E32E1"/>
                <w:w w:val="99"/>
              </w:rPr>
              <w:t>Press Release dated May 5, 2025</w:t>
            </w:r>
          </w:p>
        </w:tc>
        <w:tc>
          <w:tcPr>
            <w:tcW w:w="7400" w:type="dxa"/>
            <w:vAlign w:val="bottom"/>
          </w:tcPr>
          <w:p>
            <w:pPr>
              <w:spacing w:after="0"/>
              <w:rPr>
                <w:sz w:val="24"/>
                <w:szCs w:val="24"/>
                <w:color w:val="auto"/>
              </w:rPr>
            </w:pPr>
          </w:p>
        </w:tc>
      </w:tr>
      <w:tr>
        <w:trPr>
          <w:trHeight w:val="520"/>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500" w:type="dxa"/>
            <w:vAlign w:val="bottom"/>
          </w:tcPr>
          <w:p>
            <w:pPr>
              <w:spacing w:after="0"/>
              <w:rPr>
                <w:sz w:val="24"/>
                <w:szCs w:val="24"/>
                <w:color w:val="auto"/>
              </w:rPr>
            </w:pPr>
          </w:p>
        </w:tc>
        <w:tc>
          <w:tcPr>
            <w:tcW w:w="9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532"/>
        </w:trPr>
        <w:tc>
          <w:tcPr>
            <w:tcW w:w="9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7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5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EXAGEN INC.</w:t>
      </w:r>
    </w:p>
    <w:p>
      <w:pPr>
        <w:spacing w:after="0" w:line="279" w:lineRule="exact"/>
        <w:rPr>
          <w:sz w:val="20"/>
          <w:szCs w:val="20"/>
          <w:color w:val="auto"/>
        </w:rPr>
      </w:pPr>
    </w:p>
    <w:p>
      <w:pPr>
        <w:ind w:left="20"/>
        <w:spacing w:after="0"/>
        <w:tabs>
          <w:tab w:leader="none" w:pos="5200" w:val="left"/>
          <w:tab w:leader="none" w:pos="5780" w:val="left"/>
        </w:tabs>
        <w:rPr>
          <w:sz w:val="20"/>
          <w:szCs w:val="20"/>
          <w:color w:val="auto"/>
        </w:rPr>
      </w:pPr>
      <w:r>
        <w:rPr>
          <w:rFonts w:ascii="Times New Roman" w:cs="Times New Roman" w:eastAsia="Times New Roman" w:hAnsi="Times New Roman"/>
          <w:sz w:val="18"/>
          <w:szCs w:val="18"/>
          <w:color w:val="auto"/>
        </w:rPr>
        <w:t>Date: May 5,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Jeffrey G.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26035</wp:posOffset>
            </wp:positionV>
            <wp:extent cx="28371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30"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Jeffrey G. Black</w:t>
      </w:r>
    </w:p>
    <w:p>
      <w:pPr>
        <w:spacing w:after="0" w:line="2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00"/>
          </w:cols>
          <w:pgMar w:left="320" w:top="1093" w:right="37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1619885" cy="445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61988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left="340" w:right="40"/>
        <w:spacing w:after="0" w:line="287" w:lineRule="auto"/>
        <w:rPr>
          <w:sz w:val="20"/>
          <w:szCs w:val="20"/>
          <w:color w:val="auto"/>
        </w:rPr>
      </w:pPr>
      <w:r>
        <w:rPr>
          <w:rFonts w:ascii="Arial" w:cs="Arial" w:eastAsia="Arial" w:hAnsi="Arial"/>
          <w:sz w:val="25"/>
          <w:szCs w:val="25"/>
          <w:b w:val="1"/>
          <w:bCs w:val="1"/>
          <w:color w:val="auto"/>
        </w:rPr>
        <w:t>Exagen Inc. Reports Record Q1 2025 Revenue Driven by Growth in Average Selling Price and Testing Volume</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color w:val="auto"/>
        </w:rPr>
        <w:t>May 5, 2025</w:t>
      </w:r>
    </w:p>
    <w:p>
      <w:pPr>
        <w:spacing w:after="0" w:line="256" w:lineRule="exact"/>
        <w:rPr>
          <w:sz w:val="20"/>
          <w:szCs w:val="20"/>
          <w:color w:val="auto"/>
        </w:rPr>
      </w:pPr>
    </w:p>
    <w:p>
      <w:pPr>
        <w:ind w:right="460"/>
        <w:spacing w:after="0" w:line="300" w:lineRule="auto"/>
        <w:rPr>
          <w:sz w:val="20"/>
          <w:szCs w:val="20"/>
          <w:color w:val="auto"/>
        </w:rPr>
      </w:pPr>
      <w:r>
        <w:rPr>
          <w:rFonts w:ascii="Arial" w:cs="Arial" w:eastAsia="Arial" w:hAnsi="Arial"/>
          <w:sz w:val="20"/>
          <w:szCs w:val="20"/>
          <w:color w:val="auto"/>
        </w:rPr>
        <w:t>Carlsbad, Calif., – Exagen Inc. (Nasdaq: XGN), a leading provider of autoimmune testing solutions, today reported financial results for the quarter ended March 31, 2025, and recent corporate updates.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640" w:type="dxa"/>
            <w:vAlign w:val="bottom"/>
          </w:tcPr>
          <w:p>
            <w:pPr>
              <w:spacing w:after="0"/>
              <w:rPr>
                <w:sz w:val="17"/>
                <w:szCs w:val="17"/>
                <w:color w:val="auto"/>
              </w:rPr>
            </w:pPr>
          </w:p>
        </w:tc>
        <w:tc>
          <w:tcPr>
            <w:tcW w:w="3800" w:type="dxa"/>
            <w:vAlign w:val="bottom"/>
            <w:tcBorders>
              <w:bottom w:val="single" w:sz="8" w:color="auto"/>
            </w:tcBorders>
            <w:gridSpan w:val="3"/>
          </w:tcPr>
          <w:p>
            <w:pPr>
              <w:jc w:val="right"/>
              <w:ind w:right="368"/>
              <w:spacing w:after="0"/>
              <w:rPr>
                <w:sz w:val="20"/>
                <w:szCs w:val="20"/>
                <w:color w:val="auto"/>
              </w:rPr>
            </w:pPr>
            <w:r>
              <w:rPr>
                <w:rFonts w:ascii="Arial" w:cs="Arial" w:eastAsia="Arial" w:hAnsi="Arial"/>
                <w:sz w:val="14"/>
                <w:szCs w:val="14"/>
                <w:b w:val="1"/>
                <w:bCs w:val="1"/>
                <w:color w:val="auto"/>
              </w:rPr>
              <w:t>Three Months Ended March 31,</w:t>
            </w:r>
          </w:p>
        </w:tc>
        <w:tc>
          <w:tcPr>
            <w:tcW w:w="800" w:type="dxa"/>
            <w:vAlign w:val="bottom"/>
            <w:tcBorders>
              <w:bottom w:val="single" w:sz="8" w:color="auto"/>
            </w:tcBorders>
          </w:tcPr>
          <w:p>
            <w:pPr>
              <w:spacing w:after="0"/>
              <w:rPr>
                <w:sz w:val="17"/>
                <w:szCs w:val="17"/>
                <w:color w:val="auto"/>
              </w:rPr>
            </w:pPr>
          </w:p>
        </w:tc>
      </w:tr>
      <w:tr>
        <w:trPr>
          <w:trHeight w:val="195"/>
        </w:trPr>
        <w:tc>
          <w:tcPr>
            <w:tcW w:w="6640" w:type="dxa"/>
            <w:vAlign w:val="bottom"/>
          </w:tcPr>
          <w:p>
            <w:pPr>
              <w:spacing w:after="0"/>
              <w:rPr>
                <w:sz w:val="16"/>
                <w:szCs w:val="16"/>
                <w:color w:val="auto"/>
              </w:rPr>
            </w:pPr>
          </w:p>
        </w:tc>
        <w:tc>
          <w:tcPr>
            <w:tcW w:w="14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2025</w:t>
            </w:r>
          </w:p>
        </w:tc>
        <w:tc>
          <w:tcPr>
            <w:tcW w:w="8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2024</w:t>
            </w:r>
          </w:p>
        </w:tc>
        <w:tc>
          <w:tcPr>
            <w:tcW w:w="800" w:type="dxa"/>
            <w:vAlign w:val="bottom"/>
            <w:tcBorders>
              <w:bottom w:val="single" w:sz="8" w:color="auto"/>
            </w:tcBorders>
          </w:tcPr>
          <w:p>
            <w:pPr>
              <w:spacing w:after="0"/>
              <w:rPr>
                <w:sz w:val="16"/>
                <w:szCs w:val="16"/>
                <w:color w:val="auto"/>
              </w:rPr>
            </w:pPr>
          </w:p>
        </w:tc>
      </w:tr>
      <w:tr>
        <w:trPr>
          <w:trHeight w:val="181"/>
        </w:trPr>
        <w:tc>
          <w:tcPr>
            <w:tcW w:w="664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ASP data)</w:t>
            </w:r>
          </w:p>
        </w:tc>
        <w:tc>
          <w:tcPr>
            <w:tcW w:w="14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07"/>
        </w:trPr>
        <w:tc>
          <w:tcPr>
            <w:tcW w:w="6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1440" w:type="dxa"/>
            <w:vAlign w:val="bottom"/>
            <w:shd w:val="clear" w:color="auto" w:fill="CCEEFF"/>
          </w:tcPr>
          <w:p>
            <w:pPr>
              <w:jc w:val="right"/>
              <w:ind w:right="12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15,498</w:t>
            </w:r>
          </w:p>
        </w:tc>
        <w:tc>
          <w:tcPr>
            <w:tcW w:w="1500" w:type="dxa"/>
            <w:vAlign w:val="bottom"/>
            <w:shd w:val="clear" w:color="auto" w:fill="CCEEFF"/>
          </w:tcPr>
          <w:p>
            <w:pPr>
              <w:jc w:val="right"/>
              <w:ind w:right="12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14,415</w:t>
            </w:r>
          </w:p>
        </w:tc>
      </w:tr>
      <w:tr>
        <w:trPr>
          <w:trHeight w:val="198"/>
        </w:trPr>
        <w:tc>
          <w:tcPr>
            <w:tcW w:w="6640" w:type="dxa"/>
            <w:vAlign w:val="bottom"/>
          </w:tcPr>
          <w:p>
            <w:pPr>
              <w:ind w:left="20"/>
              <w:spacing w:after="0"/>
              <w:rPr>
                <w:sz w:val="20"/>
                <w:szCs w:val="20"/>
                <w:color w:val="auto"/>
              </w:rPr>
            </w:pPr>
            <w:r>
              <w:rPr>
                <w:rFonts w:ascii="Arial" w:cs="Arial" w:eastAsia="Arial" w:hAnsi="Arial"/>
                <w:sz w:val="14"/>
                <w:szCs w:val="14"/>
                <w:color w:val="auto"/>
              </w:rPr>
              <w:t>Gross margin</w:t>
            </w:r>
          </w:p>
        </w:tc>
        <w:tc>
          <w:tcPr>
            <w:tcW w:w="144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58.9 %</w:t>
            </w:r>
          </w:p>
        </w:tc>
        <w:tc>
          <w:tcPr>
            <w:tcW w:w="15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59.6 %</w:t>
            </w:r>
          </w:p>
        </w:tc>
      </w:tr>
      <w:tr>
        <w:trPr>
          <w:trHeight w:val="207"/>
        </w:trPr>
        <w:tc>
          <w:tcPr>
            <w:tcW w:w="6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1440" w:type="dxa"/>
            <w:vAlign w:val="bottom"/>
            <w:shd w:val="clear" w:color="auto" w:fill="CCEEFF"/>
          </w:tcPr>
          <w:p>
            <w:pPr>
              <w:jc w:val="right"/>
              <w:ind w:right="12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12,488</w:t>
            </w:r>
          </w:p>
        </w:tc>
        <w:tc>
          <w:tcPr>
            <w:tcW w:w="1500" w:type="dxa"/>
            <w:vAlign w:val="bottom"/>
            <w:shd w:val="clear" w:color="auto" w:fill="CCEEFF"/>
          </w:tcPr>
          <w:p>
            <w:pPr>
              <w:jc w:val="right"/>
              <w:ind w:right="12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11,601</w:t>
            </w:r>
          </w:p>
        </w:tc>
      </w:tr>
      <w:tr>
        <w:trPr>
          <w:trHeight w:val="198"/>
        </w:trPr>
        <w:tc>
          <w:tcPr>
            <w:tcW w:w="6640" w:type="dxa"/>
            <w:vAlign w:val="bottom"/>
          </w:tcPr>
          <w:p>
            <w:pPr>
              <w:ind w:left="20"/>
              <w:spacing w:after="0"/>
              <w:rPr>
                <w:sz w:val="20"/>
                <w:szCs w:val="20"/>
                <w:color w:val="auto"/>
              </w:rPr>
            </w:pPr>
            <w:r>
              <w:rPr>
                <w:rFonts w:ascii="Arial" w:cs="Arial" w:eastAsia="Arial" w:hAnsi="Arial"/>
                <w:sz w:val="14"/>
                <w:szCs w:val="14"/>
                <w:color w:val="auto"/>
              </w:rPr>
              <w:t>Operating loss</w:t>
            </w:r>
          </w:p>
        </w:tc>
        <w:tc>
          <w:tcPr>
            <w:tcW w:w="1440" w:type="dxa"/>
            <w:vAlign w:val="bottom"/>
          </w:tcPr>
          <w:p>
            <w:pPr>
              <w:jc w:val="right"/>
              <w:ind w:right="126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(3,365)</w:t>
            </w:r>
          </w:p>
        </w:tc>
        <w:tc>
          <w:tcPr>
            <w:tcW w:w="1500" w:type="dxa"/>
            <w:vAlign w:val="bottom"/>
          </w:tcPr>
          <w:p>
            <w:pPr>
              <w:jc w:val="right"/>
              <w:ind w:right="12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(3,003)</w:t>
            </w:r>
          </w:p>
        </w:tc>
      </w:tr>
      <w:tr>
        <w:trPr>
          <w:trHeight w:val="207"/>
        </w:trPr>
        <w:tc>
          <w:tcPr>
            <w:tcW w:w="6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440" w:type="dxa"/>
            <w:vAlign w:val="bottom"/>
            <w:shd w:val="clear" w:color="auto" w:fill="CCEEFF"/>
          </w:tcPr>
          <w:p>
            <w:pPr>
              <w:jc w:val="right"/>
              <w:ind w:right="12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(3,752)</w:t>
            </w:r>
          </w:p>
        </w:tc>
        <w:tc>
          <w:tcPr>
            <w:tcW w:w="1500" w:type="dxa"/>
            <w:vAlign w:val="bottom"/>
            <w:shd w:val="clear" w:color="auto" w:fill="CCEEFF"/>
          </w:tcPr>
          <w:p>
            <w:pPr>
              <w:jc w:val="right"/>
              <w:ind w:right="12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(3,360)</w:t>
            </w:r>
          </w:p>
        </w:tc>
      </w:tr>
      <w:tr>
        <w:trPr>
          <w:trHeight w:val="198"/>
        </w:trPr>
        <w:tc>
          <w:tcPr>
            <w:tcW w:w="6640" w:type="dxa"/>
            <w:vAlign w:val="bottom"/>
          </w:tcPr>
          <w:p>
            <w:pPr>
              <w:ind w:left="20"/>
              <w:spacing w:after="0"/>
              <w:rPr>
                <w:sz w:val="20"/>
                <w:szCs w:val="20"/>
                <w:color w:val="auto"/>
              </w:rPr>
            </w:pPr>
            <w:r>
              <w:rPr>
                <w:rFonts w:ascii="Arial" w:cs="Arial" w:eastAsia="Arial" w:hAnsi="Arial"/>
                <w:sz w:val="14"/>
                <w:szCs w:val="14"/>
                <w:color w:val="auto"/>
              </w:rPr>
              <w:t>Adjusted EBITDA</w:t>
            </w:r>
          </w:p>
        </w:tc>
        <w:tc>
          <w:tcPr>
            <w:tcW w:w="1440" w:type="dxa"/>
            <w:vAlign w:val="bottom"/>
          </w:tcPr>
          <w:p>
            <w:pPr>
              <w:jc w:val="right"/>
              <w:ind w:right="126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(2,508)</w:t>
            </w:r>
          </w:p>
        </w:tc>
        <w:tc>
          <w:tcPr>
            <w:tcW w:w="1500" w:type="dxa"/>
            <w:vAlign w:val="bottom"/>
          </w:tcPr>
          <w:p>
            <w:pPr>
              <w:jc w:val="right"/>
              <w:ind w:right="12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(1,992)</w:t>
            </w:r>
          </w:p>
        </w:tc>
      </w:tr>
      <w:tr>
        <w:trPr>
          <w:trHeight w:val="206"/>
        </w:trPr>
        <w:tc>
          <w:tcPr>
            <w:tcW w:w="6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1440" w:type="dxa"/>
            <w:vAlign w:val="bottom"/>
            <w:shd w:val="clear" w:color="auto" w:fill="CCEEFF"/>
          </w:tcPr>
          <w:p>
            <w:pPr>
              <w:jc w:val="right"/>
              <w:ind w:right="12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11,194</w:t>
            </w:r>
          </w:p>
        </w:tc>
        <w:tc>
          <w:tcPr>
            <w:tcW w:w="1500" w:type="dxa"/>
            <w:vAlign w:val="bottom"/>
            <w:shd w:val="clear" w:color="auto" w:fill="CCEEFF"/>
          </w:tcPr>
          <w:p>
            <w:pPr>
              <w:jc w:val="right"/>
              <w:ind w:right="12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27,267</w:t>
            </w:r>
          </w:p>
        </w:tc>
      </w:tr>
      <w:tr>
        <w:trPr>
          <w:trHeight w:val="195"/>
        </w:trPr>
        <w:tc>
          <w:tcPr>
            <w:tcW w:w="6640" w:type="dxa"/>
            <w:vAlign w:val="bottom"/>
          </w:tcPr>
          <w:p>
            <w:pPr>
              <w:ind w:left="20"/>
              <w:spacing w:after="0"/>
              <w:rPr>
                <w:sz w:val="20"/>
                <w:szCs w:val="20"/>
                <w:color w:val="auto"/>
              </w:rPr>
            </w:pPr>
            <w:r>
              <w:rPr>
                <w:rFonts w:ascii="Arial" w:cs="Arial" w:eastAsia="Arial" w:hAnsi="Arial"/>
                <w:sz w:val="14"/>
                <w:szCs w:val="14"/>
                <w:color w:val="auto"/>
              </w:rPr>
              <w:t>Trailing-twelve-month average selling price (ASP)</w:t>
            </w:r>
          </w:p>
        </w:tc>
        <w:tc>
          <w:tcPr>
            <w:tcW w:w="1440" w:type="dxa"/>
            <w:vAlign w:val="bottom"/>
          </w:tcPr>
          <w:p>
            <w:pPr>
              <w:jc w:val="right"/>
              <w:ind w:right="126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88"/>
              <w:spacing w:after="0"/>
              <w:rPr>
                <w:sz w:val="20"/>
                <w:szCs w:val="20"/>
                <w:color w:val="auto"/>
              </w:rPr>
            </w:pPr>
            <w:r>
              <w:rPr>
                <w:rFonts w:ascii="Arial" w:cs="Arial" w:eastAsia="Arial" w:hAnsi="Arial"/>
                <w:sz w:val="14"/>
                <w:szCs w:val="14"/>
                <w:color w:val="auto"/>
              </w:rPr>
              <w:t>419</w:t>
            </w:r>
          </w:p>
        </w:tc>
        <w:tc>
          <w:tcPr>
            <w:tcW w:w="1500" w:type="dxa"/>
            <w:vAlign w:val="bottom"/>
          </w:tcPr>
          <w:p>
            <w:pPr>
              <w:jc w:val="right"/>
              <w:ind w:right="12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08"/>
              <w:spacing w:after="0"/>
              <w:rPr>
                <w:sz w:val="20"/>
                <w:szCs w:val="20"/>
                <w:color w:val="auto"/>
              </w:rPr>
            </w:pPr>
            <w:r>
              <w:rPr>
                <w:rFonts w:ascii="Arial" w:cs="Arial" w:eastAsia="Arial" w:hAnsi="Arial"/>
                <w:sz w:val="14"/>
                <w:szCs w:val="14"/>
                <w:color w:val="auto"/>
              </w:rPr>
              <w:t>377</w:t>
            </w:r>
          </w:p>
        </w:tc>
      </w:tr>
    </w:tbl>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Q1 2025 Highlights and Recent Corporate Updates:</w:t>
      </w:r>
    </w:p>
    <w:p>
      <w:pPr>
        <w:spacing w:after="0" w:line="245" w:lineRule="exact"/>
        <w:rPr>
          <w:sz w:val="20"/>
          <w:szCs w:val="20"/>
          <w:color w:val="auto"/>
        </w:rPr>
      </w:pPr>
    </w:p>
    <w:p>
      <w:pPr>
        <w:ind w:left="980" w:right="500" w:hanging="324"/>
        <w:spacing w:after="0" w:line="300" w:lineRule="auto"/>
        <w:tabs>
          <w:tab w:leader="none" w:pos="941" w:val="left"/>
        </w:tabs>
        <w:numPr>
          <w:ilvl w:val="0"/>
          <w:numId w:val="2"/>
        </w:numPr>
        <w:rPr>
          <w:rFonts w:ascii="Arial" w:cs="Arial" w:eastAsia="Arial" w:hAnsi="Arial"/>
          <w:sz w:val="20"/>
          <w:szCs w:val="20"/>
          <w:color w:val="auto"/>
        </w:rPr>
      </w:pPr>
      <w:r>
        <w:rPr>
          <w:rFonts w:ascii="Arial" w:cs="Arial" w:eastAsia="Arial" w:hAnsi="Arial"/>
          <w:sz w:val="20"/>
          <w:szCs w:val="20"/>
          <w:color w:val="auto"/>
        </w:rPr>
        <w:t>Delivered record total revenue of $15.5 million on the strength of continued ASP expansion and AVISE CTD test volume growth.</w:t>
      </w:r>
    </w:p>
    <w:p>
      <w:pPr>
        <w:spacing w:after="0" w:line="167" w:lineRule="exact"/>
        <w:rPr>
          <w:rFonts w:ascii="Arial" w:cs="Arial" w:eastAsia="Arial" w:hAnsi="Arial"/>
          <w:sz w:val="20"/>
          <w:szCs w:val="20"/>
          <w:color w:val="auto"/>
        </w:rPr>
      </w:pPr>
    </w:p>
    <w:p>
      <w:pPr>
        <w:ind w:left="960" w:hanging="304"/>
        <w:spacing w:after="0"/>
        <w:tabs>
          <w:tab w:leader="none" w:pos="960" w:val="left"/>
        </w:tabs>
        <w:numPr>
          <w:ilvl w:val="0"/>
          <w:numId w:val="2"/>
        </w:numPr>
        <w:rPr>
          <w:rFonts w:ascii="Arial" w:cs="Arial" w:eastAsia="Arial" w:hAnsi="Arial"/>
          <w:sz w:val="20"/>
          <w:szCs w:val="20"/>
          <w:color w:val="auto"/>
        </w:rPr>
      </w:pPr>
      <w:r>
        <w:rPr>
          <w:rFonts w:ascii="Arial" w:cs="Arial" w:eastAsia="Arial" w:hAnsi="Arial"/>
          <w:sz w:val="20"/>
          <w:szCs w:val="20"/>
          <w:color w:val="auto"/>
        </w:rPr>
        <w:t>Expanded AVISE CTD trailing twelve-month ASP to $419, an increase of $42 per test over the first quarter of 2024.</w:t>
      </w:r>
    </w:p>
    <w:p>
      <w:pPr>
        <w:spacing w:after="0" w:line="256" w:lineRule="exact"/>
        <w:rPr>
          <w:rFonts w:ascii="Arial" w:cs="Arial" w:eastAsia="Arial" w:hAnsi="Arial"/>
          <w:sz w:val="20"/>
          <w:szCs w:val="20"/>
          <w:color w:val="auto"/>
        </w:rPr>
      </w:pPr>
    </w:p>
    <w:p>
      <w:pPr>
        <w:ind w:left="980" w:right="140" w:hanging="324"/>
        <w:spacing w:after="0" w:line="300" w:lineRule="auto"/>
        <w:tabs>
          <w:tab w:leader="none" w:pos="968" w:val="left"/>
        </w:tabs>
        <w:numPr>
          <w:ilvl w:val="0"/>
          <w:numId w:val="2"/>
        </w:numPr>
        <w:rPr>
          <w:rFonts w:ascii="Arial" w:cs="Arial" w:eastAsia="Arial" w:hAnsi="Arial"/>
          <w:sz w:val="20"/>
          <w:szCs w:val="20"/>
          <w:color w:val="auto"/>
        </w:rPr>
      </w:pPr>
      <w:r>
        <w:rPr>
          <w:rFonts w:ascii="Arial" w:cs="Arial" w:eastAsia="Arial" w:hAnsi="Arial"/>
          <w:sz w:val="20"/>
          <w:szCs w:val="20"/>
          <w:color w:val="auto"/>
        </w:rPr>
        <w:t>Enhanced AVISE CTD offering with commercial launch of new systemic lupus erythematosus (SLE) and rheumatoid arthritis (RA) biomarkers; expected reimbursement in line with initial estimates of $90 per test.</w:t>
      </w:r>
    </w:p>
    <w:p>
      <w:pPr>
        <w:spacing w:after="0" w:line="167" w:lineRule="exact"/>
        <w:rPr>
          <w:rFonts w:ascii="Arial" w:cs="Arial" w:eastAsia="Arial" w:hAnsi="Arial"/>
          <w:sz w:val="20"/>
          <w:szCs w:val="20"/>
          <w:color w:val="auto"/>
        </w:rPr>
      </w:pPr>
    </w:p>
    <w:p>
      <w:pPr>
        <w:ind w:left="980" w:right="260" w:hanging="324"/>
        <w:spacing w:after="0" w:line="269" w:lineRule="auto"/>
        <w:tabs>
          <w:tab w:leader="none" w:pos="941" w:val="left"/>
        </w:tabs>
        <w:numPr>
          <w:ilvl w:val="0"/>
          <w:numId w:val="2"/>
        </w:numPr>
        <w:rPr>
          <w:rFonts w:ascii="Arial" w:cs="Arial" w:eastAsia="Arial" w:hAnsi="Arial"/>
          <w:sz w:val="20"/>
          <w:szCs w:val="20"/>
          <w:color w:val="auto"/>
        </w:rPr>
      </w:pPr>
      <w:r>
        <w:rPr>
          <w:rFonts w:ascii="Arial" w:cs="Arial" w:eastAsia="Arial" w:hAnsi="Arial"/>
          <w:sz w:val="20"/>
          <w:szCs w:val="20"/>
          <w:color w:val="auto"/>
        </w:rPr>
        <w:t>Ended the first quarter of 2025 with cash, cash equivalents and restricted cash of $11.2 million, with an accounts receivable balance of $14.7 million, driven by the company's strategy to hold claims in the first quarter to maximize reimbursement. Following the initial release of held claims in April 2025, combined cash, cash equivalents and accounts receivable are projected to be approximately $28 million as of April 30, 2025.</w:t>
      </w:r>
    </w:p>
    <w:p>
      <w:pPr>
        <w:sectPr>
          <w:pgSz w:w="11900" w:h="16838" w:orient="portrait"/>
          <w:cols w:equalWidth="0" w:num="1">
            <w:col w:w="11240"/>
          </w:cols>
          <w:pgMar w:left="320" w:top="1440" w:right="339" w:bottom="1440" w:gutter="0" w:footer="0" w:header="0"/>
        </w:sectPr>
      </w:pPr>
    </w:p>
    <w:bookmarkStart w:id="4" w:name="page5"/>
    <w:bookmarkEnd w:id="4"/>
    <w:p>
      <w:pPr>
        <w:ind w:left="980" w:right="200" w:hanging="324"/>
        <w:spacing w:after="0" w:line="276" w:lineRule="auto"/>
        <w:tabs>
          <w:tab w:leader="none" w:pos="968" w:val="left"/>
        </w:tabs>
        <w:numPr>
          <w:ilvl w:val="0"/>
          <w:numId w:val="3"/>
        </w:numPr>
        <w:rPr>
          <w:rFonts w:ascii="Arial" w:cs="Arial" w:eastAsia="Arial" w:hAnsi="Arial"/>
          <w:sz w:val="20"/>
          <w:szCs w:val="20"/>
          <w:color w:val="auto"/>
        </w:rPr>
      </w:pPr>
      <w:r>
        <w:rPr>
          <w:rFonts w:ascii="Arial" w:cs="Arial" w:eastAsia="Arial" w:hAnsi="Arial"/>
          <w:sz w:val="20"/>
          <w:szCs w:val="20"/>
          <w:color w:val="auto"/>
        </w:rPr>
        <w:t>Closed a senior secured credit facility with Perceptive Advisors on April 25, 2025, with $25 million funded at closing to refinance existing debt and extend maturity; potential additional borrowing capacity for minimally dilutive growth capital available.</w:t>
      </w:r>
    </w:p>
    <w:p>
      <w:pPr>
        <w:spacing w:after="0" w:line="187" w:lineRule="exact"/>
        <w:rPr>
          <w:rFonts w:ascii="Arial" w:cs="Arial" w:eastAsia="Arial" w:hAnsi="Arial"/>
          <w:sz w:val="20"/>
          <w:szCs w:val="20"/>
          <w:color w:val="auto"/>
        </w:rPr>
      </w:pPr>
    </w:p>
    <w:p>
      <w:pPr>
        <w:ind w:left="980" w:right="320" w:hanging="324"/>
        <w:spacing w:after="0" w:line="295" w:lineRule="auto"/>
        <w:tabs>
          <w:tab w:leader="none" w:pos="948" w:val="left"/>
        </w:tabs>
        <w:numPr>
          <w:ilvl w:val="0"/>
          <w:numId w:val="3"/>
        </w:numPr>
        <w:rPr>
          <w:rFonts w:ascii="Arial" w:cs="Arial" w:eastAsia="Arial" w:hAnsi="Arial"/>
          <w:sz w:val="22"/>
          <w:szCs w:val="22"/>
          <w:color w:val="auto"/>
        </w:rPr>
      </w:pPr>
      <w:r>
        <w:rPr>
          <w:rFonts w:ascii="Arial" w:cs="Arial" w:eastAsia="Arial" w:hAnsi="Arial"/>
          <w:sz w:val="20"/>
          <w:szCs w:val="20"/>
          <w:color w:val="auto"/>
        </w:rPr>
        <w:t xml:space="preserve">Published T-cell manuscript in a peer-reviewed journal, </w:t>
      </w:r>
      <w:r>
        <w:rPr>
          <w:rFonts w:ascii="Arial" w:cs="Arial" w:eastAsia="Arial" w:hAnsi="Arial"/>
          <w:sz w:val="21"/>
          <w:szCs w:val="21"/>
          <w:i w:val="1"/>
          <w:iCs w:val="1"/>
          <w:color w:val="auto"/>
        </w:rPr>
        <w:t>Frontiers in Immunology,</w:t>
      </w:r>
      <w:r>
        <w:rPr>
          <w:rFonts w:ascii="Arial" w:cs="Arial" w:eastAsia="Arial" w:hAnsi="Arial"/>
          <w:sz w:val="20"/>
          <w:szCs w:val="20"/>
          <w:color w:val="auto"/>
        </w:rPr>
        <w:t xml:space="preserve"> detailing clinical benefit of new SLE biomarkers.</w:t>
      </w:r>
    </w:p>
    <w:p>
      <w:pPr>
        <w:spacing w:after="0" w:line="180" w:lineRule="exact"/>
        <w:rPr>
          <w:rFonts w:ascii="Arial" w:cs="Arial" w:eastAsia="Arial" w:hAnsi="Arial"/>
          <w:sz w:val="22"/>
          <w:szCs w:val="22"/>
          <w:color w:val="auto"/>
        </w:rPr>
      </w:pPr>
    </w:p>
    <w:p>
      <w:pPr>
        <w:ind w:left="980" w:right="240" w:hanging="324"/>
        <w:spacing w:after="0" w:line="276" w:lineRule="auto"/>
        <w:tabs>
          <w:tab w:leader="none" w:pos="975" w:val="left"/>
        </w:tabs>
        <w:numPr>
          <w:ilvl w:val="0"/>
          <w:numId w:val="3"/>
        </w:numPr>
        <w:rPr>
          <w:rFonts w:ascii="Arial" w:cs="Arial" w:eastAsia="Arial" w:hAnsi="Arial"/>
          <w:sz w:val="22"/>
          <w:szCs w:val="22"/>
          <w:color w:val="auto"/>
        </w:rPr>
      </w:pPr>
      <w:r>
        <w:rPr>
          <w:rFonts w:ascii="Arial" w:cs="Arial" w:eastAsia="Arial" w:hAnsi="Arial"/>
          <w:sz w:val="20"/>
          <w:szCs w:val="20"/>
          <w:color w:val="auto"/>
        </w:rPr>
        <w:t>Presented research on biomarkers for early detection of kidney damage at the 7th Annual Chronic Kidney Disease Drug Development Summit in Boston.</w:t>
      </w:r>
    </w:p>
    <w:p>
      <w:pPr>
        <w:spacing w:after="0" w:line="214" w:lineRule="exact"/>
        <w:rPr>
          <w:rFonts w:ascii="Arial" w:cs="Arial" w:eastAsia="Arial" w:hAnsi="Arial"/>
          <w:sz w:val="22"/>
          <w:szCs w:val="22"/>
          <w:color w:val="auto"/>
        </w:rPr>
      </w:pPr>
    </w:p>
    <w:p>
      <w:pPr>
        <w:ind w:left="980" w:hanging="324"/>
        <w:spacing w:after="0"/>
        <w:tabs>
          <w:tab w:leader="none" w:pos="980" w:val="left"/>
        </w:tabs>
        <w:numPr>
          <w:ilvl w:val="0"/>
          <w:numId w:val="3"/>
        </w:numPr>
        <w:rPr>
          <w:rFonts w:ascii="Arial" w:cs="Arial" w:eastAsia="Arial" w:hAnsi="Arial"/>
          <w:sz w:val="22"/>
          <w:szCs w:val="22"/>
          <w:color w:val="auto"/>
        </w:rPr>
      </w:pPr>
      <w:r>
        <w:rPr>
          <w:rFonts w:ascii="Arial" w:cs="Arial" w:eastAsia="Arial" w:hAnsi="Arial"/>
          <w:sz w:val="20"/>
          <w:szCs w:val="20"/>
          <w:color w:val="auto"/>
        </w:rPr>
        <w:t>Initiated commercial expansion with first wave of new sales territories identified.</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2025 Guidance</w:t>
      </w:r>
    </w:p>
    <w:p>
      <w:pPr>
        <w:spacing w:after="0" w:line="258" w:lineRule="exact"/>
        <w:rPr>
          <w:sz w:val="20"/>
          <w:szCs w:val="20"/>
          <w:color w:val="auto"/>
        </w:rPr>
      </w:pPr>
    </w:p>
    <w:p>
      <w:pPr>
        <w:ind w:right="260"/>
        <w:spacing w:after="0" w:line="286" w:lineRule="auto"/>
        <w:rPr>
          <w:sz w:val="20"/>
          <w:szCs w:val="20"/>
          <w:color w:val="auto"/>
        </w:rPr>
      </w:pPr>
      <w:r>
        <w:rPr>
          <w:rFonts w:ascii="Arial" w:cs="Arial" w:eastAsia="Arial" w:hAnsi="Arial"/>
          <w:sz w:val="20"/>
          <w:szCs w:val="20"/>
          <w:color w:val="auto"/>
        </w:rPr>
        <w:t>The company expects 2025 full-year revenue of at least $65 million and anticipates being on-track to deliver positive adjusted EBITDA in the fourth quarter of 2025.</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w:t>
      </w:r>
    </w:p>
    <w:p>
      <w:pPr>
        <w:spacing w:after="0" w:line="258" w:lineRule="exact"/>
        <w:rPr>
          <w:sz w:val="20"/>
          <w:szCs w:val="20"/>
          <w:color w:val="auto"/>
        </w:rPr>
      </w:pPr>
    </w:p>
    <w:p>
      <w:pPr>
        <w:ind w:right="240"/>
        <w:spacing w:after="0" w:line="276" w:lineRule="auto"/>
        <w:rPr>
          <w:sz w:val="20"/>
          <w:szCs w:val="20"/>
          <w:color w:val="auto"/>
        </w:rPr>
      </w:pPr>
      <w:r>
        <w:rPr>
          <w:rFonts w:ascii="Arial" w:cs="Arial" w:eastAsia="Arial" w:hAnsi="Arial"/>
          <w:sz w:val="19"/>
          <w:szCs w:val="19"/>
          <w:color w:val="auto"/>
        </w:rPr>
        <w:t>A conference call to review first quarter 2025 financial results and to provide a business update is scheduled for today, May 5, 2025 at 8:30 a.m. ET (5:30 a.m. PT). Interested parties may access the conference call by dialing (201) 389-0918 (U.S.) or</w:t>
      </w:r>
    </w:p>
    <w:p>
      <w:pPr>
        <w:spacing w:after="0" w:line="2" w:lineRule="exact"/>
        <w:rPr>
          <w:sz w:val="20"/>
          <w:szCs w:val="20"/>
          <w:color w:val="auto"/>
        </w:rPr>
      </w:pPr>
    </w:p>
    <w:p>
      <w:pPr>
        <w:ind w:right="200" w:firstLine="8"/>
        <w:spacing w:after="0" w:line="281" w:lineRule="auto"/>
        <w:tabs>
          <w:tab w:leader="none" w:pos="517" w:val="left"/>
        </w:tabs>
        <w:numPr>
          <w:ilvl w:val="0"/>
          <w:numId w:val="4"/>
        </w:numPr>
        <w:rPr>
          <w:rFonts w:ascii="Arial" w:cs="Arial" w:eastAsia="Arial" w:hAnsi="Arial"/>
          <w:sz w:val="20"/>
          <w:szCs w:val="20"/>
          <w:color w:val="auto"/>
        </w:rPr>
      </w:pPr>
      <w:r>
        <w:rPr>
          <w:rFonts w:ascii="Arial" w:cs="Arial" w:eastAsia="Arial" w:hAnsi="Arial"/>
          <w:sz w:val="20"/>
          <w:szCs w:val="20"/>
          <w:color w:val="auto"/>
        </w:rPr>
        <w:t>407-0890 (international). Additionally, a link to a live webcast of the call will be available in the Investor Relations section of Exagen's website at investors.exagen.com.</w:t>
      </w:r>
    </w:p>
    <w:p>
      <w:pPr>
        <w:spacing w:after="0" w:line="186" w:lineRule="exact"/>
        <w:rPr>
          <w:sz w:val="20"/>
          <w:szCs w:val="20"/>
          <w:color w:val="auto"/>
        </w:rPr>
      </w:pPr>
    </w:p>
    <w:p>
      <w:pPr>
        <w:jc w:val="both"/>
        <w:ind w:right="540"/>
        <w:spacing w:after="0" w:line="269" w:lineRule="auto"/>
        <w:rPr>
          <w:sz w:val="20"/>
          <w:szCs w:val="20"/>
          <w:color w:val="auto"/>
        </w:rPr>
      </w:pPr>
      <w:r>
        <w:rPr>
          <w:rFonts w:ascii="Arial" w:cs="Arial" w:eastAsia="Arial" w:hAnsi="Arial"/>
          <w:sz w:val="20"/>
          <w:szCs w:val="20"/>
          <w:color w:val="auto"/>
        </w:rPr>
        <w:t>Participants are asked to join a few minutes prior to the call to register for the event. A replay of the conference call will be available until May 19, 2025. Interested parties may access the replay by dialing (201) 612-7415 (U.S.) or (877) 660-6853 (international) using passcode 13753132. A link to the replay of the webcast will also be available in the Investor Relations section of Exagen's website.</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Use of Non-GAAP Financial Measures (UNAUDITED)</w:t>
      </w:r>
    </w:p>
    <w:p>
      <w:pPr>
        <w:spacing w:after="0" w:line="258" w:lineRule="exact"/>
        <w:rPr>
          <w:sz w:val="20"/>
          <w:szCs w:val="20"/>
          <w:color w:val="auto"/>
        </w:rPr>
      </w:pPr>
    </w:p>
    <w:p>
      <w:pPr>
        <w:spacing w:after="0" w:line="265" w:lineRule="auto"/>
        <w:rPr>
          <w:sz w:val="20"/>
          <w:szCs w:val="20"/>
          <w:color w:val="auto"/>
        </w:rPr>
      </w:pPr>
      <w:r>
        <w:rPr>
          <w:rFonts w:ascii="Arial" w:cs="Arial" w:eastAsia="Arial" w:hAnsi="Arial"/>
          <w:sz w:val="20"/>
          <w:szCs w:val="20"/>
          <w:color w:val="auto"/>
        </w:rPr>
        <w:t>In addition to the financial results prepared in accordance with generally accepted accounting principles in the United States (GAAP), this press release contains the metric adjusted EBITDA, which is not calculated in accordance with GAAP and is a non-GAAP financial measure. Adjusted EBITDA excludes from net loss interest income (expense), income tax expense (benefit), depreciation and amortization expense, stock-based compensation expense and other expenses or income that management believes are not representative of the company’s operations. Such items could have a significant impact on the calculation of GAAP net loss.</w:t>
      </w:r>
    </w:p>
    <w:p>
      <w:pPr>
        <w:spacing w:after="0" w:line="204" w:lineRule="exact"/>
        <w:rPr>
          <w:sz w:val="20"/>
          <w:szCs w:val="20"/>
          <w:color w:val="auto"/>
        </w:rPr>
      </w:pPr>
    </w:p>
    <w:p>
      <w:pPr>
        <w:ind w:right="100"/>
        <w:spacing w:after="0" w:line="265" w:lineRule="auto"/>
        <w:rPr>
          <w:sz w:val="20"/>
          <w:szCs w:val="20"/>
          <w:color w:val="auto"/>
        </w:rPr>
      </w:pPr>
      <w:r>
        <w:rPr>
          <w:rFonts w:ascii="Arial" w:cs="Arial" w:eastAsia="Arial" w:hAnsi="Arial"/>
          <w:sz w:val="20"/>
          <w:szCs w:val="20"/>
          <w:color w:val="auto"/>
        </w:rPr>
        <w:t>Exagen uses adjusted EBITDA internally because the company believes these metrics provide useful supplemental information in assessing its operating performance reported in accordance with GAAP. Exagen believes adjusted EBITDA may enhance an evaluation of our operating performance because it excludes the impact of prior decisions made about capital investment, financing, investing and certain expenses the company believes are not indicative of our ongoing performance. However, this non-GAAP</w:t>
      </w:r>
    </w:p>
    <w:p>
      <w:pPr>
        <w:sectPr>
          <w:pgSz w:w="11900" w:h="16838" w:orient="portrait"/>
          <w:cols w:equalWidth="0" w:num="1">
            <w:col w:w="11220"/>
          </w:cols>
          <w:pgMar w:left="320" w:top="1427" w:right="359" w:bottom="1440" w:gutter="0" w:footer="0" w:header="0"/>
        </w:sectPr>
      </w:pPr>
    </w:p>
    <w:bookmarkStart w:id="5" w:name="page6"/>
    <w:bookmarkEnd w:id="5"/>
    <w:p>
      <w:pPr>
        <w:ind w:right="600"/>
        <w:spacing w:after="0" w:line="286" w:lineRule="auto"/>
        <w:rPr>
          <w:sz w:val="20"/>
          <w:szCs w:val="20"/>
          <w:color w:val="auto"/>
        </w:rPr>
      </w:pPr>
      <w:r>
        <w:rPr>
          <w:rFonts w:ascii="Arial" w:cs="Arial" w:eastAsia="Arial" w:hAnsi="Arial"/>
          <w:sz w:val="20"/>
          <w:szCs w:val="20"/>
          <w:color w:val="auto"/>
        </w:rPr>
        <w:t>financial measure may be different from non-GAAP financial measures used by other companies, even when the same or similarly titled terms are used to identify such measures, limiting their usefulness for comparative purposes.</w:t>
      </w:r>
    </w:p>
    <w:p>
      <w:pPr>
        <w:spacing w:after="0" w:line="194" w:lineRule="exact"/>
        <w:rPr>
          <w:sz w:val="20"/>
          <w:szCs w:val="20"/>
          <w:color w:val="auto"/>
        </w:rPr>
      </w:pPr>
    </w:p>
    <w:p>
      <w:pPr>
        <w:spacing w:after="0" w:line="261" w:lineRule="auto"/>
        <w:rPr>
          <w:sz w:val="20"/>
          <w:szCs w:val="20"/>
          <w:color w:val="auto"/>
        </w:rPr>
      </w:pPr>
      <w:r>
        <w:rPr>
          <w:rFonts w:ascii="Arial" w:cs="Arial" w:eastAsia="Arial" w:hAnsi="Arial"/>
          <w:sz w:val="20"/>
          <w:szCs w:val="20"/>
          <w:color w:val="auto"/>
        </w:rPr>
        <w:t>This non-GAAP financial measure is not meant to be considered in isolation or used as a substitute for net loss reported in accordance with GAAP, should be considered in conjunction with our financial information presented in accordance with GAAP, has no standardized meaning prescribed by GAAP, is unaudited, and is not prepared under any comprehensive set of accounting rules or principles. In addition, from time to time in the future, there may be other items that Exagen may exclude for purposes of these non-GAAP financial measures, and the company may in the future cease to exclude items that it has historically excluded for purposes of these non-GAAP financial measures. Likewise, Exagen may determine to modify the nature of adjustments to arrive at these non-GAAP financial measures. Because of the non-standardized definitions of non-GAAP financial measures, the non-GAAP financial measure as used by the company in this press release and the accompanying reconciliation table have limits in their usefulness to investors and may be calculated differently from, and therefore may not be directly comparable to, similarly titled measures used by other companies. Accordingly, investors should not place undue reliance on non-GAAP financial measures.</w:t>
      </w:r>
    </w:p>
    <w:p>
      <w:pPr>
        <w:spacing w:after="0" w:line="205" w:lineRule="exact"/>
        <w:rPr>
          <w:sz w:val="20"/>
          <w:szCs w:val="20"/>
          <w:color w:val="auto"/>
        </w:rPr>
      </w:pPr>
    </w:p>
    <w:p>
      <w:pPr>
        <w:ind w:right="600"/>
        <w:spacing w:after="0" w:line="300" w:lineRule="auto"/>
        <w:rPr>
          <w:sz w:val="20"/>
          <w:szCs w:val="20"/>
          <w:color w:val="auto"/>
        </w:rPr>
      </w:pPr>
      <w:r>
        <w:rPr>
          <w:rFonts w:ascii="Arial" w:cs="Arial" w:eastAsia="Arial" w:hAnsi="Arial"/>
          <w:sz w:val="20"/>
          <w:szCs w:val="20"/>
          <w:color w:val="auto"/>
        </w:rPr>
        <w:t>A reconciliation of net loss to non-GAAP adjusted EBITDA is provided in the financial schedules that are part of this press release.</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Exagen</w:t>
      </w:r>
    </w:p>
    <w:p>
      <w:pPr>
        <w:spacing w:after="0" w:line="258" w:lineRule="exact"/>
        <w:rPr>
          <w:sz w:val="20"/>
          <w:szCs w:val="20"/>
          <w:color w:val="auto"/>
        </w:rPr>
      </w:pPr>
    </w:p>
    <w:p>
      <w:pPr>
        <w:ind w:right="80"/>
        <w:spacing w:after="0" w:line="264" w:lineRule="auto"/>
        <w:rPr>
          <w:sz w:val="20"/>
          <w:szCs w:val="20"/>
          <w:color w:val="auto"/>
        </w:rPr>
      </w:pPr>
      <w:r>
        <w:rPr>
          <w:rFonts w:ascii="Arial" w:cs="Arial" w:eastAsia="Arial" w:hAnsi="Arial"/>
          <w:sz w:val="20"/>
          <w:szCs w:val="20"/>
          <w:color w:val="auto"/>
        </w:rPr>
        <w:t>Exagen Inc. (Nasdaq: XGN) is a leading provider of autoimmune diagnostics, committed to transforming care for patients with chronic and debilitating autoimmune conditions. Based in San Diego County, California, Exagen’s mission is to provide clarity in autoimmune disease decision making and improve clinical outcomes through its innovative testing portfolio. The company’s flagship product, AVISE® CTD, enables clinicians to more effectively diagnose complex autoimmune conditions such as lupus, rheumatoid arthritis, and Sjögren’s syndrome earlier and with greater accuracy. Exagen’s laboratory specializes in the testing of rheumatic diseases, delivering precise and timely results, supported by a full suite of AVISE®-branded tests for disease diagnosis, prognosis, and monitoring. With a focus on research, innovation, education, and patient-centered care, Exagen is dedicated to addressing the ongoing challenges of autoimmune disease management.</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For more information, please visit Exagen.com or follow @ExagenInc on X.</w:t>
      </w: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 Looking Statements</w:t>
      </w:r>
    </w:p>
    <w:p>
      <w:pPr>
        <w:spacing w:after="0" w:line="272" w:lineRule="exact"/>
        <w:rPr>
          <w:sz w:val="20"/>
          <w:szCs w:val="20"/>
          <w:color w:val="auto"/>
        </w:rPr>
      </w:pPr>
    </w:p>
    <w:p>
      <w:pPr>
        <w:ind w:right="140"/>
        <w:spacing w:after="0" w:line="262" w:lineRule="auto"/>
        <w:rPr>
          <w:sz w:val="20"/>
          <w:szCs w:val="20"/>
          <w:color w:val="auto"/>
        </w:rPr>
      </w:pPr>
      <w:r>
        <w:rPr>
          <w:rFonts w:ascii="Arial" w:cs="Arial" w:eastAsia="Arial" w:hAnsi="Arial"/>
          <w:sz w:val="20"/>
          <w:szCs w:val="20"/>
          <w:color w:val="auto"/>
        </w:rPr>
        <w:t>Exagen cautions you that statements contained in this press release regarding matters that are not historical facts are forward-looking statements. These statements are based on Exagen’s current beliefs and expectations. Such forward-looking statements include, but are not limited to, statements regarding: Exagen’s goals, strategies, positioning, and ambitions; evaluations and judgments regarding financial results and the potential implications of those results, potential future financial and business performance, including any improvements to adjusted EBITDA, ASP, net loss and potential profitability and/or Exagen’s ability obtain additional funding pursuant to its secured credit facility with Perceptive Advisors (which is subject to milestones and conditions); the potential utility and effectiveness of Exagen’s services and testing solutions; potential shareholder value and growth and full-year 2025</w:t>
      </w:r>
    </w:p>
    <w:p>
      <w:pPr>
        <w:sectPr>
          <w:pgSz w:w="11900" w:h="16838" w:orient="portrait"/>
          <w:cols w:equalWidth="0" w:num="1">
            <w:col w:w="11220"/>
          </w:cols>
          <w:pgMar w:left="320" w:top="1427" w:right="359" w:bottom="1440" w:gutter="0" w:footer="0" w:header="0"/>
        </w:sectPr>
      </w:pPr>
    </w:p>
    <w:bookmarkStart w:id="6" w:name="page7"/>
    <w:bookmarkEnd w:id="6"/>
    <w:p>
      <w:pPr>
        <w:spacing w:after="0" w:line="260" w:lineRule="auto"/>
        <w:rPr>
          <w:sz w:val="20"/>
          <w:szCs w:val="20"/>
          <w:color w:val="auto"/>
        </w:rPr>
      </w:pPr>
      <w:r>
        <w:rPr>
          <w:rFonts w:ascii="Arial" w:cs="Arial" w:eastAsia="Arial" w:hAnsi="Arial"/>
          <w:sz w:val="20"/>
          <w:szCs w:val="20"/>
          <w:color w:val="auto"/>
        </w:rPr>
        <w:t>guidance. The inclusion of forward-looking statements should not be regarded as a representation by Exagen that any of its plans will be achieved. Actual results may differ from those set forth in this press release due to the risks and uncertainties inherent in Exagen’s business, including, without limitation: delays in reimbursement and coverage decisions from Medicare and third-party payors and interactions with regulatory authorities, and delays in ongoing and planned clinical trials involving its tests; the potential effects of inflation and tariffs on Exagen’s margins; and changes in laws and regulations related to Exagen’s regulatory requirements. Exagen’s commercial success depends upon attaining and maintaining significant market acceptance of its testing products among rheumatologists, patients, third-party payors and others in the medical community; Exagen’s ability to successfully execute on its business strategies; third-party payors not providing coverage and adequate reimbursement for Exagen’s testing products, including Exagen’s ability to collect on funds due; Exagen’s ability to obtain and maintain intellectual property protection for its testing products; regulatory developments affecting Exagen’s business; and other risks described in Exagen’s prior press releases and Exagen’s filings with the Securities and Exchange Commission (SEC), including under the heading “Risk Factors” in Exagen’s Annual Report on Form 10-K for the year ended December 31, 2024, filed with the SEC on March 11, 2025 and any subsequent filings with the SEC. You are cautioned not to place undue reliance on these forward-looking statements, which speak only as of the date hereof, and Exagen undertakes no obligation to update such statements to reflect events that occur or circumstances that exist after the date hereof. All forward-looking statements are qualified in their entirety by this cautionary statement, which is made under the safe harbor provisions of the Private Securities Litigation Reform Act of 1995.</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Ryan Douglas</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Exagen Inc.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ir@exagen.com</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760.560.1525</w:t>
      </w:r>
    </w:p>
    <w:p>
      <w:pPr>
        <w:sectPr>
          <w:pgSz w:w="11900" w:h="16838" w:orient="portrait"/>
          <w:cols w:equalWidth="0" w:num="1">
            <w:col w:w="11220"/>
          </w:cols>
          <w:pgMar w:left="320" w:top="1427" w:right="359" w:bottom="1440" w:gutter="0" w:footer="0" w:header="0"/>
        </w:sectPr>
      </w:pPr>
    </w:p>
    <w:bookmarkStart w:id="7" w:name="page8"/>
    <w:bookmarkEnd w:id="7"/>
    <w:p>
      <w:pPr>
        <w:ind w:left="4700"/>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Unaudited Condensed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9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gridSpan w:val="4"/>
          </w:tcPr>
          <w:p>
            <w:pPr>
              <w:jc w:val="right"/>
              <w:ind w:right="588"/>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96"/>
        </w:trPr>
        <w:tc>
          <w:tcPr>
            <w:tcW w:w="69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83"/>
        </w:trPr>
        <w:tc>
          <w:tcPr>
            <w:tcW w:w="69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15,498</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14,415</w:t>
            </w:r>
          </w:p>
        </w:tc>
        <w:tc>
          <w:tcPr>
            <w:tcW w:w="0" w:type="dxa"/>
            <w:vAlign w:val="bottom"/>
          </w:tcPr>
          <w:p>
            <w:pPr>
              <w:spacing w:after="0"/>
              <w:rPr>
                <w:sz w:val="1"/>
                <w:szCs w:val="1"/>
                <w:color w:val="auto"/>
              </w:rPr>
            </w:pPr>
          </w:p>
        </w:tc>
      </w:tr>
      <w:tr>
        <w:trPr>
          <w:trHeight w:val="198"/>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Cost of revenue</w:t>
            </w: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6,375</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5,817</w:t>
            </w:r>
          </w:p>
        </w:tc>
        <w:tc>
          <w:tcPr>
            <w:tcW w:w="0" w:type="dxa"/>
            <w:vAlign w:val="bottom"/>
          </w:tcPr>
          <w:p>
            <w:pPr>
              <w:spacing w:after="0"/>
              <w:rPr>
                <w:sz w:val="1"/>
                <w:szCs w:val="1"/>
                <w:color w:val="auto"/>
              </w:rPr>
            </w:pPr>
          </w:p>
        </w:tc>
      </w:tr>
      <w:tr>
        <w:trPr>
          <w:trHeight w:val="200"/>
        </w:trPr>
        <w:tc>
          <w:tcPr>
            <w:tcW w:w="6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margin</w:t>
            </w:r>
          </w:p>
        </w:tc>
        <w:tc>
          <w:tcPr>
            <w:tcW w:w="3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9,123</w:t>
            </w:r>
          </w:p>
        </w:tc>
        <w:tc>
          <w:tcPr>
            <w:tcW w:w="12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8,598</w:t>
            </w:r>
          </w:p>
        </w:tc>
        <w:tc>
          <w:tcPr>
            <w:tcW w:w="0" w:type="dxa"/>
            <w:vAlign w:val="bottom"/>
          </w:tcPr>
          <w:p>
            <w:pPr>
              <w:spacing w:after="0"/>
              <w:rPr>
                <w:sz w:val="1"/>
                <w:szCs w:val="1"/>
                <w:color w:val="auto"/>
              </w:rPr>
            </w:pPr>
          </w:p>
        </w:tc>
      </w:tr>
      <w:tr>
        <w:trPr>
          <w:trHeight w:val="179"/>
        </w:trPr>
        <w:tc>
          <w:tcPr>
            <w:tcW w:w="694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69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Selling, general and administrative expenses</w:t>
            </w: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11,204</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10,542</w:t>
            </w:r>
          </w:p>
        </w:tc>
        <w:tc>
          <w:tcPr>
            <w:tcW w:w="0" w:type="dxa"/>
            <w:vAlign w:val="bottom"/>
          </w:tcPr>
          <w:p>
            <w:pPr>
              <w:spacing w:after="0"/>
              <w:rPr>
                <w:sz w:val="1"/>
                <w:szCs w:val="1"/>
                <w:color w:val="auto"/>
              </w:rPr>
            </w:pPr>
          </w:p>
        </w:tc>
      </w:tr>
      <w:tr>
        <w:trPr>
          <w:trHeight w:val="199"/>
        </w:trPr>
        <w:tc>
          <w:tcPr>
            <w:tcW w:w="694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Research and development expenses</w:t>
            </w: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1,284</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1,059</w:t>
            </w:r>
          </w:p>
        </w:tc>
        <w:tc>
          <w:tcPr>
            <w:tcW w:w="0" w:type="dxa"/>
            <w:vAlign w:val="bottom"/>
          </w:tcPr>
          <w:p>
            <w:pPr>
              <w:spacing w:after="0"/>
              <w:rPr>
                <w:sz w:val="1"/>
                <w:szCs w:val="1"/>
                <w:color w:val="auto"/>
              </w:rPr>
            </w:pPr>
          </w:p>
        </w:tc>
      </w:tr>
      <w:tr>
        <w:trPr>
          <w:trHeight w:val="200"/>
        </w:trPr>
        <w:tc>
          <w:tcPr>
            <w:tcW w:w="6940" w:type="dxa"/>
            <w:vAlign w:val="bottom"/>
            <w:shd w:val="clear" w:color="auto" w:fill="CCEEFF"/>
          </w:tcPr>
          <w:p>
            <w:pPr>
              <w:ind w:left="680"/>
              <w:spacing w:after="0"/>
              <w:rPr>
                <w:sz w:val="20"/>
                <w:szCs w:val="20"/>
                <w:color w:val="auto"/>
              </w:rPr>
            </w:pPr>
            <w:r>
              <w:rPr>
                <w:rFonts w:ascii="Arial" w:cs="Arial" w:eastAsia="Arial" w:hAnsi="Arial"/>
                <w:sz w:val="14"/>
                <w:szCs w:val="14"/>
                <w:color w:val="auto"/>
              </w:rPr>
              <w:t>Total operating expenses</w:t>
            </w:r>
          </w:p>
        </w:tc>
        <w:tc>
          <w:tcPr>
            <w:tcW w:w="3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12,488</w:t>
            </w:r>
          </w:p>
        </w:tc>
        <w:tc>
          <w:tcPr>
            <w:tcW w:w="12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11,601</w:t>
            </w:r>
          </w:p>
        </w:tc>
        <w:tc>
          <w:tcPr>
            <w:tcW w:w="0" w:type="dxa"/>
            <w:vAlign w:val="bottom"/>
          </w:tcPr>
          <w:p>
            <w:pPr>
              <w:spacing w:after="0"/>
              <w:rPr>
                <w:sz w:val="1"/>
                <w:szCs w:val="1"/>
                <w:color w:val="auto"/>
              </w:rPr>
            </w:pPr>
          </w:p>
        </w:tc>
      </w:tr>
      <w:tr>
        <w:trPr>
          <w:trHeight w:val="192"/>
        </w:trPr>
        <w:tc>
          <w:tcPr>
            <w:tcW w:w="6940" w:type="dxa"/>
            <w:vAlign w:val="bottom"/>
          </w:tcPr>
          <w:p>
            <w:pPr>
              <w:ind w:left="20"/>
              <w:spacing w:after="0"/>
              <w:rPr>
                <w:sz w:val="20"/>
                <w:szCs w:val="20"/>
                <w:color w:val="auto"/>
              </w:rPr>
            </w:pPr>
            <w:r>
              <w:rPr>
                <w:rFonts w:ascii="Arial" w:cs="Arial" w:eastAsia="Arial" w:hAnsi="Arial"/>
                <w:sz w:val="14"/>
                <w:szCs w:val="14"/>
                <w:color w:val="auto"/>
              </w:rPr>
              <w:t>Loss from operations</w:t>
            </w: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(3,365)</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(3,003)</w:t>
            </w:r>
          </w:p>
        </w:tc>
        <w:tc>
          <w:tcPr>
            <w:tcW w:w="0" w:type="dxa"/>
            <w:vAlign w:val="bottom"/>
          </w:tcPr>
          <w:p>
            <w:pPr>
              <w:spacing w:after="0"/>
              <w:rPr>
                <w:sz w:val="1"/>
                <w:szCs w:val="1"/>
                <w:color w:val="auto"/>
              </w:rPr>
            </w:pPr>
          </w:p>
        </w:tc>
      </w:tr>
      <w:tr>
        <w:trPr>
          <w:trHeight w:val="207"/>
        </w:trPr>
        <w:tc>
          <w:tcPr>
            <w:tcW w:w="6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(545)</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(549)</w:t>
            </w:r>
          </w:p>
        </w:tc>
        <w:tc>
          <w:tcPr>
            <w:tcW w:w="0" w:type="dxa"/>
            <w:vAlign w:val="bottom"/>
          </w:tcPr>
          <w:p>
            <w:pPr>
              <w:spacing w:after="0"/>
              <w:rPr>
                <w:sz w:val="1"/>
                <w:szCs w:val="1"/>
                <w:color w:val="auto"/>
              </w:rPr>
            </w:pPr>
          </w:p>
        </w:tc>
      </w:tr>
      <w:tr>
        <w:trPr>
          <w:trHeight w:val="198"/>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income</w:t>
            </w: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158</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192</w:t>
            </w:r>
          </w:p>
        </w:tc>
        <w:tc>
          <w:tcPr>
            <w:tcW w:w="0" w:type="dxa"/>
            <w:vAlign w:val="bottom"/>
          </w:tcPr>
          <w:p>
            <w:pPr>
              <w:spacing w:after="0"/>
              <w:rPr>
                <w:sz w:val="1"/>
                <w:szCs w:val="1"/>
                <w:color w:val="auto"/>
              </w:rPr>
            </w:pPr>
          </w:p>
        </w:tc>
      </w:tr>
      <w:tr>
        <w:trPr>
          <w:trHeight w:val="221"/>
        </w:trPr>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(3,752)</w:t>
            </w:r>
          </w:p>
        </w:tc>
        <w:tc>
          <w:tcPr>
            <w:tcW w:w="1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(3,360)</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Net loss per share, basic and diluted</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940" w:type="dxa"/>
            <w:vAlign w:val="bottom"/>
            <w:vMerge w:val="continue"/>
          </w:tcPr>
          <w:p>
            <w:pPr>
              <w:spacing w:after="0"/>
              <w:rPr>
                <w:sz w:val="15"/>
                <w:szCs w:val="15"/>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(0.20)</w:t>
            </w:r>
          </w:p>
        </w:tc>
        <w:tc>
          <w:tcPr>
            <w:tcW w:w="120" w:type="dxa"/>
            <w:vAlign w:val="bottom"/>
          </w:tcPr>
          <w:p>
            <w:pPr>
              <w:spacing w:after="0"/>
              <w:rPr>
                <w:sz w:val="15"/>
                <w:szCs w:val="15"/>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(0.19)</w:t>
            </w:r>
          </w:p>
        </w:tc>
        <w:tc>
          <w:tcPr>
            <w:tcW w:w="0" w:type="dxa"/>
            <w:vAlign w:val="bottom"/>
          </w:tcPr>
          <w:p>
            <w:pPr>
              <w:spacing w:after="0"/>
              <w:rPr>
                <w:sz w:val="1"/>
                <w:szCs w:val="1"/>
                <w:color w:val="auto"/>
              </w:rPr>
            </w:pP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Weighted-average number of shares used to compute net loss per share, basic and diluted</w:t>
            </w: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18,557,390</w:t>
            </w:r>
          </w:p>
        </w:tc>
        <w:tc>
          <w:tcPr>
            <w:tcW w:w="1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17,944,438</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400"/>
          </w:cols>
          <w:pgMar w:left="740" w:top="1417" w:right="759" w:bottom="1440" w:gutter="0" w:footer="0" w:header="0"/>
        </w:sectPr>
      </w:pPr>
    </w:p>
    <w:bookmarkStart w:id="8" w:name="page9"/>
    <w:bookmarkEnd w:id="8"/>
    <w:p>
      <w:pPr>
        <w:ind w:left="5120"/>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Unaudited Condensed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80" w:type="dxa"/>
            <w:vAlign w:val="bottom"/>
          </w:tcPr>
          <w:p>
            <w:pPr>
              <w:spacing w:after="0"/>
              <w:rPr>
                <w:sz w:val="14"/>
                <w:szCs w:val="14"/>
                <w:color w:val="auto"/>
              </w:rPr>
            </w:pPr>
          </w:p>
        </w:tc>
        <w:tc>
          <w:tcPr>
            <w:tcW w:w="132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March 31, 2025</w:t>
            </w:r>
          </w:p>
        </w:tc>
        <w:tc>
          <w:tcPr>
            <w:tcW w:w="12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8680" w:type="dxa"/>
            <w:vAlign w:val="bottom"/>
          </w:tcPr>
          <w:p>
            <w:pPr>
              <w:spacing w:after="0"/>
              <w:rPr>
                <w:sz w:val="16"/>
                <w:szCs w:val="16"/>
                <w:color w:val="auto"/>
              </w:rPr>
            </w:pPr>
          </w:p>
        </w:tc>
        <w:tc>
          <w:tcPr>
            <w:tcW w:w="132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ind w:right="388"/>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83"/>
        </w:trPr>
        <w:tc>
          <w:tcPr>
            <w:tcW w:w="868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68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Cash and cash equivalents</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11,194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22,036</w:t>
            </w:r>
          </w:p>
        </w:tc>
        <w:tc>
          <w:tcPr>
            <w:tcW w:w="0" w:type="dxa"/>
            <w:vAlign w:val="bottom"/>
          </w:tcPr>
          <w:p>
            <w:pPr>
              <w:spacing w:after="0"/>
              <w:rPr>
                <w:sz w:val="1"/>
                <w:szCs w:val="1"/>
                <w:color w:val="auto"/>
              </w:rPr>
            </w:pPr>
          </w:p>
        </w:tc>
      </w:tr>
      <w:tr>
        <w:trPr>
          <w:trHeight w:val="198"/>
        </w:trPr>
        <w:tc>
          <w:tcPr>
            <w:tcW w:w="8680" w:type="dxa"/>
            <w:vAlign w:val="bottom"/>
          </w:tcPr>
          <w:p>
            <w:pPr>
              <w:ind w:left="360"/>
              <w:spacing w:after="0"/>
              <w:rPr>
                <w:sz w:val="20"/>
                <w:szCs w:val="20"/>
                <w:color w:val="auto"/>
              </w:rPr>
            </w:pPr>
            <w:r>
              <w:rPr>
                <w:rFonts w:ascii="Arial" w:cs="Arial" w:eastAsia="Arial" w:hAnsi="Arial"/>
                <w:sz w:val="14"/>
                <w:szCs w:val="14"/>
                <w:color w:val="auto"/>
              </w:rPr>
              <w:t>Accounts receivable, net</w:t>
            </w:r>
          </w:p>
        </w:tc>
        <w:tc>
          <w:tcPr>
            <w:tcW w:w="3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14,728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7,835</w:t>
            </w:r>
          </w:p>
        </w:tc>
        <w:tc>
          <w:tcPr>
            <w:tcW w:w="0" w:type="dxa"/>
            <w:vAlign w:val="bottom"/>
          </w:tcPr>
          <w:p>
            <w:pPr>
              <w:spacing w:after="0"/>
              <w:rPr>
                <w:sz w:val="1"/>
                <w:szCs w:val="1"/>
                <w:color w:val="auto"/>
              </w:rPr>
            </w:pPr>
          </w:p>
        </w:tc>
      </w:tr>
      <w:tr>
        <w:trPr>
          <w:trHeight w:val="207"/>
        </w:trPr>
        <w:tc>
          <w:tcPr>
            <w:tcW w:w="8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Prepaid expenses and other current assets</w:t>
            </w:r>
          </w:p>
        </w:tc>
        <w:tc>
          <w:tcPr>
            <w:tcW w:w="3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6,583</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6,584</w:t>
            </w:r>
          </w:p>
        </w:tc>
        <w:tc>
          <w:tcPr>
            <w:tcW w:w="0" w:type="dxa"/>
            <w:vAlign w:val="bottom"/>
          </w:tcPr>
          <w:p>
            <w:pPr>
              <w:spacing w:after="0"/>
              <w:rPr>
                <w:sz w:val="1"/>
                <w:szCs w:val="1"/>
                <w:color w:val="auto"/>
              </w:rPr>
            </w:pPr>
          </w:p>
        </w:tc>
      </w:tr>
      <w:tr>
        <w:trPr>
          <w:trHeight w:val="192"/>
        </w:trPr>
        <w:tc>
          <w:tcPr>
            <w:tcW w:w="8680" w:type="dxa"/>
            <w:vAlign w:val="bottom"/>
          </w:tcPr>
          <w:p>
            <w:pPr>
              <w:ind w:left="680"/>
              <w:spacing w:after="0"/>
              <w:rPr>
                <w:sz w:val="20"/>
                <w:szCs w:val="20"/>
                <w:color w:val="auto"/>
              </w:rPr>
            </w:pPr>
            <w:r>
              <w:rPr>
                <w:rFonts w:ascii="Arial" w:cs="Arial" w:eastAsia="Arial" w:hAnsi="Arial"/>
                <w:sz w:val="14"/>
                <w:szCs w:val="14"/>
                <w:color w:val="auto"/>
              </w:rPr>
              <w:t>Total current assets</w:t>
            </w:r>
          </w:p>
        </w:tc>
        <w:tc>
          <w:tcPr>
            <w:tcW w:w="3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32,505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36,455</w:t>
            </w:r>
          </w:p>
        </w:tc>
        <w:tc>
          <w:tcPr>
            <w:tcW w:w="0" w:type="dxa"/>
            <w:vAlign w:val="bottom"/>
          </w:tcPr>
          <w:p>
            <w:pPr>
              <w:spacing w:after="0"/>
              <w:rPr>
                <w:sz w:val="1"/>
                <w:szCs w:val="1"/>
                <w:color w:val="auto"/>
              </w:rPr>
            </w:pPr>
          </w:p>
        </w:tc>
      </w:tr>
      <w:tr>
        <w:trPr>
          <w:trHeight w:val="207"/>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and equipment, net</w:t>
            </w: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5,025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5,283</w:t>
            </w:r>
          </w:p>
        </w:tc>
        <w:tc>
          <w:tcPr>
            <w:tcW w:w="0" w:type="dxa"/>
            <w:vAlign w:val="bottom"/>
          </w:tcPr>
          <w:p>
            <w:pPr>
              <w:spacing w:after="0"/>
              <w:rPr>
                <w:sz w:val="1"/>
                <w:szCs w:val="1"/>
                <w:color w:val="auto"/>
              </w:rPr>
            </w:pPr>
          </w:p>
        </w:tc>
      </w:tr>
      <w:tr>
        <w:trPr>
          <w:trHeight w:val="198"/>
        </w:trPr>
        <w:tc>
          <w:tcPr>
            <w:tcW w:w="8680" w:type="dxa"/>
            <w:vAlign w:val="bottom"/>
          </w:tcPr>
          <w:p>
            <w:pPr>
              <w:ind w:left="20"/>
              <w:spacing w:after="0"/>
              <w:rPr>
                <w:sz w:val="20"/>
                <w:szCs w:val="20"/>
                <w:color w:val="auto"/>
              </w:rPr>
            </w:pPr>
            <w:r>
              <w:rPr>
                <w:rFonts w:ascii="Arial" w:cs="Arial" w:eastAsia="Arial" w:hAnsi="Arial"/>
                <w:sz w:val="14"/>
                <w:szCs w:val="14"/>
                <w:color w:val="auto"/>
              </w:rPr>
              <w:t>Operating lease right-of-use assets</w:t>
            </w:r>
          </w:p>
        </w:tc>
        <w:tc>
          <w:tcPr>
            <w:tcW w:w="3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2,168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2,401</w:t>
            </w:r>
          </w:p>
        </w:tc>
        <w:tc>
          <w:tcPr>
            <w:tcW w:w="0" w:type="dxa"/>
            <w:vAlign w:val="bottom"/>
          </w:tcPr>
          <w:p>
            <w:pPr>
              <w:spacing w:after="0"/>
              <w:rPr>
                <w:sz w:val="1"/>
                <w:szCs w:val="1"/>
                <w:color w:val="auto"/>
              </w:rPr>
            </w:pPr>
          </w:p>
        </w:tc>
      </w:tr>
      <w:tr>
        <w:trPr>
          <w:trHeight w:val="207"/>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3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596</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550</w:t>
            </w:r>
          </w:p>
        </w:tc>
        <w:tc>
          <w:tcPr>
            <w:tcW w:w="0" w:type="dxa"/>
            <w:vAlign w:val="bottom"/>
          </w:tcPr>
          <w:p>
            <w:pPr>
              <w:spacing w:after="0"/>
              <w:rPr>
                <w:sz w:val="1"/>
                <w:szCs w:val="1"/>
                <w:color w:val="auto"/>
              </w:rPr>
            </w:pPr>
          </w:p>
        </w:tc>
      </w:tr>
      <w:tr>
        <w:trPr>
          <w:trHeight w:val="192"/>
        </w:trPr>
        <w:tc>
          <w:tcPr>
            <w:tcW w:w="8680" w:type="dxa"/>
            <w:vAlign w:val="bottom"/>
          </w:tcPr>
          <w:p>
            <w:pPr>
              <w:ind w:left="680"/>
              <w:spacing w:after="0"/>
              <w:rPr>
                <w:sz w:val="20"/>
                <w:szCs w:val="20"/>
                <w:color w:val="auto"/>
              </w:rPr>
            </w:pPr>
            <w:r>
              <w:rPr>
                <w:rFonts w:ascii="Arial" w:cs="Arial" w:eastAsia="Arial" w:hAnsi="Arial"/>
                <w:sz w:val="14"/>
                <w:szCs w:val="14"/>
                <w:color w:val="auto"/>
              </w:rPr>
              <w:t>Total assets</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40,294</w:t>
            </w:r>
          </w:p>
        </w:tc>
        <w:tc>
          <w:tcPr>
            <w:tcW w:w="12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44,689</w:t>
            </w:r>
          </w:p>
        </w:tc>
        <w:tc>
          <w:tcPr>
            <w:tcW w:w="0" w:type="dxa"/>
            <w:vAlign w:val="bottom"/>
          </w:tcPr>
          <w:p>
            <w:pPr>
              <w:spacing w:after="0"/>
              <w:rPr>
                <w:sz w:val="1"/>
                <w:szCs w:val="1"/>
                <w:color w:val="auto"/>
              </w:rPr>
            </w:pPr>
          </w:p>
        </w:tc>
      </w:tr>
      <w:tr>
        <w:trPr>
          <w:trHeight w:val="20"/>
        </w:trPr>
        <w:tc>
          <w:tcPr>
            <w:tcW w:w="86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3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868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Accounts payable</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4,509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4,137</w:t>
            </w:r>
          </w:p>
        </w:tc>
        <w:tc>
          <w:tcPr>
            <w:tcW w:w="0" w:type="dxa"/>
            <w:vAlign w:val="bottom"/>
          </w:tcPr>
          <w:p>
            <w:pPr>
              <w:spacing w:after="0"/>
              <w:rPr>
                <w:sz w:val="1"/>
                <w:szCs w:val="1"/>
                <w:color w:val="auto"/>
              </w:rPr>
            </w:pPr>
          </w:p>
        </w:tc>
      </w:tr>
      <w:tr>
        <w:trPr>
          <w:trHeight w:val="198"/>
        </w:trPr>
        <w:tc>
          <w:tcPr>
            <w:tcW w:w="8680" w:type="dxa"/>
            <w:vAlign w:val="bottom"/>
          </w:tcPr>
          <w:p>
            <w:pPr>
              <w:ind w:left="360"/>
              <w:spacing w:after="0"/>
              <w:rPr>
                <w:sz w:val="20"/>
                <w:szCs w:val="20"/>
                <w:color w:val="auto"/>
              </w:rPr>
            </w:pPr>
            <w:r>
              <w:rPr>
                <w:rFonts w:ascii="Arial" w:cs="Arial" w:eastAsia="Arial" w:hAnsi="Arial"/>
                <w:sz w:val="14"/>
                <w:szCs w:val="14"/>
                <w:color w:val="auto"/>
              </w:rPr>
              <w:t>Accrued and other current liabilities</w:t>
            </w:r>
          </w:p>
        </w:tc>
        <w:tc>
          <w:tcPr>
            <w:tcW w:w="3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4,948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7,117</w:t>
            </w:r>
          </w:p>
        </w:tc>
        <w:tc>
          <w:tcPr>
            <w:tcW w:w="0" w:type="dxa"/>
            <w:vAlign w:val="bottom"/>
          </w:tcPr>
          <w:p>
            <w:pPr>
              <w:spacing w:after="0"/>
              <w:rPr>
                <w:sz w:val="1"/>
                <w:szCs w:val="1"/>
                <w:color w:val="auto"/>
              </w:rPr>
            </w:pPr>
          </w:p>
        </w:tc>
      </w:tr>
      <w:tr>
        <w:trPr>
          <w:trHeight w:val="207"/>
        </w:trPr>
        <w:tc>
          <w:tcPr>
            <w:tcW w:w="8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Deferred revenue</w:t>
            </w: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733</w:t>
            </w:r>
          </w:p>
        </w:tc>
        <w:tc>
          <w:tcPr>
            <w:tcW w:w="0" w:type="dxa"/>
            <w:vAlign w:val="bottom"/>
          </w:tcPr>
          <w:p>
            <w:pPr>
              <w:spacing w:after="0"/>
              <w:rPr>
                <w:sz w:val="1"/>
                <w:szCs w:val="1"/>
                <w:color w:val="auto"/>
              </w:rPr>
            </w:pPr>
          </w:p>
        </w:tc>
      </w:tr>
      <w:tr>
        <w:trPr>
          <w:trHeight w:val="198"/>
        </w:trPr>
        <w:tc>
          <w:tcPr>
            <w:tcW w:w="8680" w:type="dxa"/>
            <w:vAlign w:val="bottom"/>
          </w:tcPr>
          <w:p>
            <w:pPr>
              <w:ind w:left="360"/>
              <w:spacing w:after="0"/>
              <w:rPr>
                <w:sz w:val="20"/>
                <w:szCs w:val="20"/>
                <w:color w:val="auto"/>
              </w:rPr>
            </w:pPr>
            <w:r>
              <w:rPr>
                <w:rFonts w:ascii="Arial" w:cs="Arial" w:eastAsia="Arial" w:hAnsi="Arial"/>
                <w:sz w:val="14"/>
                <w:szCs w:val="14"/>
                <w:color w:val="auto"/>
              </w:rPr>
              <w:t>Operating lease liabilities, current</w:t>
            </w:r>
          </w:p>
        </w:tc>
        <w:tc>
          <w:tcPr>
            <w:tcW w:w="3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1,127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1,096</w:t>
            </w:r>
          </w:p>
        </w:tc>
        <w:tc>
          <w:tcPr>
            <w:tcW w:w="0" w:type="dxa"/>
            <w:vAlign w:val="bottom"/>
          </w:tcPr>
          <w:p>
            <w:pPr>
              <w:spacing w:after="0"/>
              <w:rPr>
                <w:sz w:val="1"/>
                <w:szCs w:val="1"/>
                <w:color w:val="auto"/>
              </w:rPr>
            </w:pPr>
          </w:p>
        </w:tc>
      </w:tr>
      <w:tr>
        <w:trPr>
          <w:trHeight w:val="207"/>
        </w:trPr>
        <w:tc>
          <w:tcPr>
            <w:tcW w:w="8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Borrowings, current</w:t>
            </w:r>
          </w:p>
        </w:tc>
        <w:tc>
          <w:tcPr>
            <w:tcW w:w="3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2,535</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423</w:t>
            </w:r>
          </w:p>
        </w:tc>
        <w:tc>
          <w:tcPr>
            <w:tcW w:w="0" w:type="dxa"/>
            <w:vAlign w:val="bottom"/>
          </w:tcPr>
          <w:p>
            <w:pPr>
              <w:spacing w:after="0"/>
              <w:rPr>
                <w:sz w:val="1"/>
                <w:szCs w:val="1"/>
                <w:color w:val="auto"/>
              </w:rPr>
            </w:pPr>
          </w:p>
        </w:tc>
      </w:tr>
      <w:tr>
        <w:trPr>
          <w:trHeight w:val="192"/>
        </w:trPr>
        <w:tc>
          <w:tcPr>
            <w:tcW w:w="8680" w:type="dxa"/>
            <w:vAlign w:val="bottom"/>
          </w:tcPr>
          <w:p>
            <w:pPr>
              <w:ind w:left="680"/>
              <w:spacing w:after="0"/>
              <w:rPr>
                <w:sz w:val="20"/>
                <w:szCs w:val="20"/>
                <w:color w:val="auto"/>
              </w:rPr>
            </w:pPr>
            <w:r>
              <w:rPr>
                <w:rFonts w:ascii="Arial" w:cs="Arial" w:eastAsia="Arial" w:hAnsi="Arial"/>
                <w:sz w:val="14"/>
                <w:szCs w:val="14"/>
                <w:color w:val="auto"/>
              </w:rPr>
              <w:t>Total current liabilities</w:t>
            </w:r>
          </w:p>
        </w:tc>
        <w:tc>
          <w:tcPr>
            <w:tcW w:w="3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13,995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13,506</w:t>
            </w:r>
          </w:p>
        </w:tc>
        <w:tc>
          <w:tcPr>
            <w:tcW w:w="0" w:type="dxa"/>
            <w:vAlign w:val="bottom"/>
          </w:tcPr>
          <w:p>
            <w:pPr>
              <w:spacing w:after="0"/>
              <w:rPr>
                <w:sz w:val="1"/>
                <w:szCs w:val="1"/>
                <w:color w:val="auto"/>
              </w:rPr>
            </w:pPr>
          </w:p>
        </w:tc>
      </w:tr>
      <w:tr>
        <w:trPr>
          <w:trHeight w:val="207"/>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Borrowings, non-current, net of discounts and debt issuance costs</w:t>
            </w: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18,405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19,822</w:t>
            </w:r>
          </w:p>
        </w:tc>
        <w:tc>
          <w:tcPr>
            <w:tcW w:w="0" w:type="dxa"/>
            <w:vAlign w:val="bottom"/>
          </w:tcPr>
          <w:p>
            <w:pPr>
              <w:spacing w:after="0"/>
              <w:rPr>
                <w:sz w:val="1"/>
                <w:szCs w:val="1"/>
                <w:color w:val="auto"/>
              </w:rPr>
            </w:pPr>
          </w:p>
        </w:tc>
      </w:tr>
      <w:tr>
        <w:trPr>
          <w:trHeight w:val="198"/>
        </w:trPr>
        <w:tc>
          <w:tcPr>
            <w:tcW w:w="8680" w:type="dxa"/>
            <w:vAlign w:val="bottom"/>
          </w:tcPr>
          <w:p>
            <w:pPr>
              <w:ind w:left="20"/>
              <w:spacing w:after="0"/>
              <w:rPr>
                <w:sz w:val="20"/>
                <w:szCs w:val="20"/>
                <w:color w:val="auto"/>
              </w:rPr>
            </w:pPr>
            <w:r>
              <w:rPr>
                <w:rFonts w:ascii="Arial" w:cs="Arial" w:eastAsia="Arial" w:hAnsi="Arial"/>
                <w:sz w:val="14"/>
                <w:szCs w:val="14"/>
                <w:color w:val="auto"/>
              </w:rPr>
              <w:t>Operating lease liabilities, non-current</w:t>
            </w:r>
          </w:p>
        </w:tc>
        <w:tc>
          <w:tcPr>
            <w:tcW w:w="3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1,369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1,664</w:t>
            </w:r>
          </w:p>
        </w:tc>
        <w:tc>
          <w:tcPr>
            <w:tcW w:w="0" w:type="dxa"/>
            <w:vAlign w:val="bottom"/>
          </w:tcPr>
          <w:p>
            <w:pPr>
              <w:spacing w:after="0"/>
              <w:rPr>
                <w:sz w:val="1"/>
                <w:szCs w:val="1"/>
                <w:color w:val="auto"/>
              </w:rPr>
            </w:pPr>
          </w:p>
        </w:tc>
      </w:tr>
      <w:tr>
        <w:trPr>
          <w:trHeight w:val="206"/>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liabilities, non-current</w:t>
            </w:r>
          </w:p>
        </w:tc>
        <w:tc>
          <w:tcPr>
            <w:tcW w:w="3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157</w:t>
            </w:r>
          </w:p>
        </w:tc>
        <w:tc>
          <w:tcPr>
            <w:tcW w:w="0" w:type="dxa"/>
            <w:vAlign w:val="bottom"/>
          </w:tcPr>
          <w:p>
            <w:pPr>
              <w:spacing w:after="0"/>
              <w:rPr>
                <w:sz w:val="1"/>
                <w:szCs w:val="1"/>
                <w:color w:val="auto"/>
              </w:rPr>
            </w:pPr>
          </w:p>
        </w:tc>
      </w:tr>
      <w:tr>
        <w:trPr>
          <w:trHeight w:val="192"/>
        </w:trPr>
        <w:tc>
          <w:tcPr>
            <w:tcW w:w="8680" w:type="dxa"/>
            <w:vAlign w:val="bottom"/>
          </w:tcPr>
          <w:p>
            <w:pPr>
              <w:ind w:left="680"/>
              <w:spacing w:after="0"/>
              <w:rPr>
                <w:sz w:val="20"/>
                <w:szCs w:val="20"/>
                <w:color w:val="auto"/>
              </w:rPr>
            </w:pPr>
            <w:r>
              <w:rPr>
                <w:rFonts w:ascii="Arial" w:cs="Arial" w:eastAsia="Arial" w:hAnsi="Arial"/>
                <w:sz w:val="14"/>
                <w:szCs w:val="14"/>
                <w:color w:val="auto"/>
              </w:rPr>
              <w:t>Total liabilities</w:t>
            </w:r>
          </w:p>
        </w:tc>
        <w:tc>
          <w:tcPr>
            <w:tcW w:w="3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33,891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35,149</w:t>
            </w:r>
          </w:p>
        </w:tc>
        <w:tc>
          <w:tcPr>
            <w:tcW w:w="0" w:type="dxa"/>
            <w:vAlign w:val="bottom"/>
          </w:tcPr>
          <w:p>
            <w:pPr>
              <w:spacing w:after="0"/>
              <w:rPr>
                <w:sz w:val="1"/>
                <w:szCs w:val="1"/>
                <w:color w:val="auto"/>
              </w:rPr>
            </w:pPr>
          </w:p>
        </w:tc>
      </w:tr>
      <w:tr>
        <w:trPr>
          <w:trHeight w:val="207"/>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Commitments and contingencies (Note 5)</w:t>
            </w: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680" w:type="dxa"/>
            <w:vAlign w:val="bottom"/>
          </w:tcPr>
          <w:p>
            <w:pPr>
              <w:ind w:left="20"/>
              <w:spacing w:after="0"/>
              <w:rPr>
                <w:sz w:val="20"/>
                <w:szCs w:val="20"/>
                <w:color w:val="auto"/>
              </w:rPr>
            </w:pPr>
            <w:r>
              <w:rPr>
                <w:rFonts w:ascii="Arial" w:cs="Arial" w:eastAsia="Arial" w:hAnsi="Arial"/>
                <w:sz w:val="14"/>
                <w:szCs w:val="14"/>
                <w:color w:val="auto"/>
              </w:rPr>
              <w:t>Stockholders' equity:</w:t>
            </w: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8680" w:type="dxa"/>
            <w:vAlign w:val="bottom"/>
            <w:shd w:val="clear" w:color="auto" w:fill="CCEEFF"/>
          </w:tcPr>
          <w:p>
            <w:pPr>
              <w:ind w:left="360"/>
              <w:spacing w:after="0" w:line="157" w:lineRule="exact"/>
              <w:rPr>
                <w:sz w:val="20"/>
                <w:szCs w:val="20"/>
                <w:color w:val="auto"/>
              </w:rPr>
            </w:pPr>
            <w:r>
              <w:rPr>
                <w:rFonts w:ascii="Arial" w:cs="Arial" w:eastAsia="Arial" w:hAnsi="Arial"/>
                <w:sz w:val="14"/>
                <w:szCs w:val="14"/>
                <w:color w:val="auto"/>
              </w:rPr>
              <w:t>Preferred stock, $0.001 par value; 10,000,000 shares authorized, no shares issued or outstanding as of March 31, 2025 and</w:t>
            </w:r>
          </w:p>
        </w:tc>
        <w:tc>
          <w:tcPr>
            <w:tcW w:w="34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8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December 31, 2024</w:t>
            </w:r>
          </w:p>
        </w:tc>
        <w:tc>
          <w:tcPr>
            <w:tcW w:w="34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8680" w:type="dxa"/>
            <w:vAlign w:val="bottom"/>
          </w:tcPr>
          <w:p>
            <w:pPr>
              <w:ind w:left="360"/>
              <w:spacing w:after="0" w:line="153" w:lineRule="exact"/>
              <w:rPr>
                <w:sz w:val="20"/>
                <w:szCs w:val="20"/>
                <w:color w:val="auto"/>
              </w:rPr>
            </w:pPr>
            <w:r>
              <w:rPr>
                <w:rFonts w:ascii="Arial" w:cs="Arial" w:eastAsia="Arial" w:hAnsi="Arial"/>
                <w:sz w:val="14"/>
                <w:szCs w:val="14"/>
                <w:color w:val="auto"/>
              </w:rPr>
              <w:t>Common stock, $0.001 par value; 200,000,000 shares authorized as of March 31, 2025 and December 31, 2024; 17,950,033</w:t>
            </w:r>
          </w:p>
        </w:tc>
        <w:tc>
          <w:tcPr>
            <w:tcW w:w="34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85"/>
        </w:trPr>
        <w:tc>
          <w:tcPr>
            <w:tcW w:w="8680" w:type="dxa"/>
            <w:vAlign w:val="bottom"/>
          </w:tcPr>
          <w:p>
            <w:pPr>
              <w:ind w:left="360"/>
              <w:spacing w:after="0"/>
              <w:rPr>
                <w:sz w:val="20"/>
                <w:szCs w:val="20"/>
                <w:color w:val="auto"/>
              </w:rPr>
            </w:pPr>
            <w:r>
              <w:rPr>
                <w:rFonts w:ascii="Arial" w:cs="Arial" w:eastAsia="Arial" w:hAnsi="Arial"/>
                <w:sz w:val="14"/>
                <w:szCs w:val="14"/>
                <w:color w:val="auto"/>
              </w:rPr>
              <w:t>and 17,640,328 shares issued and outstanding as of March 31, 2025 and December 31, 2024, respectively</w:t>
            </w:r>
          </w:p>
        </w:tc>
        <w:tc>
          <w:tcPr>
            <w:tcW w:w="3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Additional paid-in capital</w:t>
            </w: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304,468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303,853</w:t>
            </w:r>
          </w:p>
        </w:tc>
        <w:tc>
          <w:tcPr>
            <w:tcW w:w="0" w:type="dxa"/>
            <w:vAlign w:val="bottom"/>
          </w:tcPr>
          <w:p>
            <w:pPr>
              <w:spacing w:after="0"/>
              <w:rPr>
                <w:sz w:val="1"/>
                <w:szCs w:val="1"/>
                <w:color w:val="auto"/>
              </w:rPr>
            </w:pPr>
          </w:p>
        </w:tc>
      </w:tr>
      <w:tr>
        <w:trPr>
          <w:trHeight w:val="198"/>
        </w:trPr>
        <w:tc>
          <w:tcPr>
            <w:tcW w:w="868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Accumulated deficit</w:t>
            </w: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(298,083)</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(294,331)</w:t>
            </w:r>
          </w:p>
        </w:tc>
        <w:tc>
          <w:tcPr>
            <w:tcW w:w="0" w:type="dxa"/>
            <w:vAlign w:val="bottom"/>
          </w:tcPr>
          <w:p>
            <w:pPr>
              <w:spacing w:after="0"/>
              <w:rPr>
                <w:sz w:val="1"/>
                <w:szCs w:val="1"/>
                <w:color w:val="auto"/>
              </w:rPr>
            </w:pPr>
          </w:p>
        </w:tc>
      </w:tr>
      <w:tr>
        <w:trPr>
          <w:trHeight w:val="200"/>
        </w:trPr>
        <w:tc>
          <w:tcPr>
            <w:tcW w:w="8680" w:type="dxa"/>
            <w:vAlign w:val="bottom"/>
            <w:shd w:val="clear" w:color="auto" w:fill="CCEEFF"/>
          </w:tcPr>
          <w:p>
            <w:pPr>
              <w:ind w:left="680"/>
              <w:spacing w:after="0"/>
              <w:rPr>
                <w:sz w:val="20"/>
                <w:szCs w:val="20"/>
                <w:color w:val="auto"/>
              </w:rPr>
            </w:pPr>
            <w:r>
              <w:rPr>
                <w:rFonts w:ascii="Arial" w:cs="Arial" w:eastAsia="Arial" w:hAnsi="Arial"/>
                <w:sz w:val="14"/>
                <w:szCs w:val="14"/>
                <w:color w:val="auto"/>
              </w:rPr>
              <w:t>Total stockholders' equity</w:t>
            </w:r>
          </w:p>
        </w:tc>
        <w:tc>
          <w:tcPr>
            <w:tcW w:w="3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6,403</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9,540</w:t>
            </w:r>
          </w:p>
        </w:tc>
        <w:tc>
          <w:tcPr>
            <w:tcW w:w="0" w:type="dxa"/>
            <w:vAlign w:val="bottom"/>
          </w:tcPr>
          <w:p>
            <w:pPr>
              <w:spacing w:after="0"/>
              <w:rPr>
                <w:sz w:val="1"/>
                <w:szCs w:val="1"/>
                <w:color w:val="auto"/>
              </w:rPr>
            </w:pPr>
          </w:p>
        </w:tc>
      </w:tr>
      <w:tr>
        <w:trPr>
          <w:trHeight w:val="192"/>
        </w:trPr>
        <w:tc>
          <w:tcPr>
            <w:tcW w:w="8680" w:type="dxa"/>
            <w:vAlign w:val="bottom"/>
          </w:tcPr>
          <w:p>
            <w:pPr>
              <w:ind w:left="20"/>
              <w:spacing w:after="0"/>
              <w:rPr>
                <w:sz w:val="20"/>
                <w:szCs w:val="20"/>
                <w:color w:val="auto"/>
              </w:rPr>
            </w:pPr>
            <w:r>
              <w:rPr>
                <w:rFonts w:ascii="Arial" w:cs="Arial" w:eastAsia="Arial" w:hAnsi="Arial"/>
                <w:sz w:val="14"/>
                <w:szCs w:val="14"/>
                <w:color w:val="auto"/>
              </w:rPr>
              <w:t>Total liabilities and stockholders' equity</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40,294</w:t>
            </w:r>
          </w:p>
        </w:tc>
        <w:tc>
          <w:tcPr>
            <w:tcW w:w="12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44,689</w:t>
            </w:r>
          </w:p>
        </w:tc>
        <w:tc>
          <w:tcPr>
            <w:tcW w:w="0" w:type="dxa"/>
            <w:vAlign w:val="bottom"/>
          </w:tcPr>
          <w:p>
            <w:pPr>
              <w:spacing w:after="0"/>
              <w:rPr>
                <w:sz w:val="1"/>
                <w:szCs w:val="1"/>
                <w:color w:val="auto"/>
              </w:rPr>
            </w:pPr>
          </w:p>
        </w:tc>
      </w:tr>
      <w:tr>
        <w:trPr>
          <w:trHeight w:val="25"/>
        </w:trPr>
        <w:tc>
          <w:tcPr>
            <w:tcW w:w="86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17" w:right="339" w:bottom="1440" w:gutter="0" w:footer="0" w:header="0"/>
        </w:sectPr>
      </w:pPr>
    </w:p>
    <w:bookmarkStart w:id="9" w:name="page10"/>
    <w:bookmarkEnd w:id="9"/>
    <w:p>
      <w:pPr>
        <w:jc w:val="center"/>
        <w:ind w:right="-379"/>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Reconciliation of Non-GAAP Financial Measures (UNAUDITED)</w:t>
      </w:r>
    </w:p>
    <w:p>
      <w:pPr>
        <w:spacing w:after="0" w:line="168"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The table below presents the reconciliation of adjusted EBITDA, which is a non-GAAP financial measure. See "Use of Non-GAAP Financial Measures (UNAUDITED)" above for further information regarding the company's use of non-GAAP financial measures.</w:t>
      </w:r>
    </w:p>
    <w:p>
      <w:pPr>
        <w:spacing w:after="0" w:line="15" w:lineRule="exact"/>
        <w:rPr>
          <w:sz w:val="20"/>
          <w:szCs w:val="20"/>
          <w:color w:val="auto"/>
        </w:rPr>
      </w:pPr>
    </w:p>
    <w:tbl>
      <w:tblPr>
        <w:tblLayout w:type="fixed"/>
        <w:tblInd w:w="66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2860" w:type="dxa"/>
            <w:vAlign w:val="bottom"/>
            <w:tcBorders>
              <w:bottom w:val="single" w:sz="8" w:color="auto"/>
            </w:tcBorders>
            <w:gridSpan w:val="4"/>
          </w:tcPr>
          <w:p>
            <w:pPr>
              <w:jc w:val="right"/>
              <w:ind w:right="8"/>
              <w:spacing w:after="0"/>
              <w:rPr>
                <w:sz w:val="20"/>
                <w:szCs w:val="20"/>
                <w:color w:val="auto"/>
              </w:rPr>
            </w:pPr>
            <w:r>
              <w:rPr>
                <w:rFonts w:ascii="Arial" w:cs="Arial" w:eastAsia="Arial" w:hAnsi="Arial"/>
                <w:sz w:val="14"/>
                <w:szCs w:val="14"/>
                <w:b w:val="1"/>
                <w:bCs w:val="1"/>
                <w:color w:val="auto"/>
              </w:rPr>
              <w:t>Three Months Ended March 31,</w:t>
            </w:r>
          </w:p>
        </w:tc>
        <w:tc>
          <w:tcPr>
            <w:tcW w:w="580" w:type="dxa"/>
            <w:vAlign w:val="bottom"/>
            <w:tcBorders>
              <w:bottom w:val="single" w:sz="8" w:color="auto"/>
            </w:tcBorders>
          </w:tcPr>
          <w:p>
            <w:pPr>
              <w:spacing w:after="0"/>
              <w:rPr>
                <w:sz w:val="17"/>
                <w:szCs w:val="17"/>
                <w:color w:val="auto"/>
              </w:rPr>
            </w:pPr>
          </w:p>
        </w:tc>
      </w:tr>
      <w:tr>
        <w:trPr>
          <w:trHeight w:val="195"/>
        </w:trPr>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260" w:type="dxa"/>
            <w:vAlign w:val="bottom"/>
          </w:tcPr>
          <w:p>
            <w:pPr>
              <w:spacing w:after="0"/>
              <w:rPr>
                <w:sz w:val="16"/>
                <w:szCs w:val="16"/>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2025</w:t>
            </w: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2024</w:t>
            </w:r>
          </w:p>
        </w:tc>
        <w:tc>
          <w:tcPr>
            <w:tcW w:w="580" w:type="dxa"/>
            <w:vAlign w:val="bottom"/>
            <w:tcBorders>
              <w:bottom w:val="single" w:sz="8" w:color="auto"/>
            </w:tcBorders>
          </w:tcPr>
          <w:p>
            <w:pPr>
              <w:spacing w:after="0"/>
              <w:rPr>
                <w:sz w:val="16"/>
                <w:szCs w:val="16"/>
                <w:color w:val="auto"/>
              </w:rPr>
            </w:pPr>
          </w:p>
        </w:tc>
      </w:tr>
      <w:tr>
        <w:trPr>
          <w:trHeight w:val="181"/>
        </w:trPr>
        <w:tc>
          <w:tcPr>
            <w:tcW w:w="6480" w:type="dxa"/>
            <w:vAlign w:val="bottom"/>
            <w:gridSpan w:val="3"/>
          </w:tcPr>
          <w:p>
            <w:pPr>
              <w:ind w:left="20"/>
              <w:spacing w:after="0"/>
              <w:rPr>
                <w:sz w:val="20"/>
                <w:szCs w:val="20"/>
                <w:color w:val="auto"/>
              </w:rPr>
            </w:pPr>
            <w:r>
              <w:rPr>
                <w:rFonts w:ascii="Arial" w:cs="Arial" w:eastAsia="Arial" w:hAnsi="Arial"/>
                <w:sz w:val="14"/>
                <w:szCs w:val="14"/>
                <w:i w:val="1"/>
                <w:iCs w:val="1"/>
                <w:color w:val="auto"/>
              </w:rPr>
              <w:t>(in thousands)</w:t>
            </w: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87"/>
        </w:trPr>
        <w:tc>
          <w:tcPr>
            <w:tcW w:w="2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Adjusted EBITDA</w:t>
            </w:r>
          </w:p>
        </w:tc>
        <w:tc>
          <w:tcPr>
            <w:tcW w:w="526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r>
      <w:tr>
        <w:trPr>
          <w:trHeight w:val="198"/>
        </w:trPr>
        <w:tc>
          <w:tcPr>
            <w:tcW w:w="6480" w:type="dxa"/>
            <w:vAlign w:val="bottom"/>
            <w:gridSpan w:val="3"/>
          </w:tcPr>
          <w:p>
            <w:pPr>
              <w:ind w:left="20"/>
              <w:spacing w:after="0"/>
              <w:rPr>
                <w:sz w:val="20"/>
                <w:szCs w:val="20"/>
                <w:color w:val="auto"/>
              </w:rPr>
            </w:pPr>
            <w:r>
              <w:rPr>
                <w:rFonts w:ascii="Arial" w:cs="Arial" w:eastAsia="Arial" w:hAnsi="Arial"/>
                <w:sz w:val="14"/>
                <w:szCs w:val="14"/>
                <w:color w:val="auto"/>
              </w:rPr>
              <w:t>Net loss</w:t>
            </w:r>
          </w:p>
        </w:tc>
        <w:tc>
          <w:tcPr>
            <w:tcW w:w="1080" w:type="dxa"/>
            <w:vAlign w:val="bottom"/>
          </w:tcPr>
          <w:p>
            <w:pPr>
              <w:jc w:val="right"/>
              <w:ind w:right="908"/>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(3,752)</w:t>
            </w:r>
          </w:p>
        </w:tc>
        <w:tc>
          <w:tcPr>
            <w:tcW w:w="120" w:type="dxa"/>
            <w:vAlign w:val="bottom"/>
          </w:tcPr>
          <w:p>
            <w:pPr>
              <w:spacing w:after="0"/>
              <w:rPr>
                <w:sz w:val="17"/>
                <w:szCs w:val="17"/>
                <w:color w:val="auto"/>
              </w:rPr>
            </w:pPr>
          </w:p>
        </w:tc>
        <w:tc>
          <w:tcPr>
            <w:tcW w:w="1080" w:type="dxa"/>
            <w:vAlign w:val="bottom"/>
          </w:tcPr>
          <w:p>
            <w:pPr>
              <w:jc w:val="right"/>
              <w:ind w:right="908"/>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(3,360)</w:t>
            </w:r>
          </w:p>
        </w:tc>
      </w:tr>
      <w:tr>
        <w:trPr>
          <w:trHeight w:val="207"/>
        </w:trPr>
        <w:tc>
          <w:tcPr>
            <w:tcW w:w="20" w:type="dxa"/>
            <w:vAlign w:val="bottom"/>
            <w:shd w:val="clear" w:color="auto" w:fill="CCEEFF"/>
          </w:tcPr>
          <w:p>
            <w:pPr>
              <w:spacing w:after="0"/>
              <w:rPr>
                <w:sz w:val="17"/>
                <w:szCs w:val="17"/>
                <w:color w:val="auto"/>
              </w:rPr>
            </w:pPr>
          </w:p>
        </w:tc>
        <w:tc>
          <w:tcPr>
            <w:tcW w:w="646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Other (income) expense</w:t>
            </w:r>
          </w:p>
        </w:tc>
        <w:tc>
          <w:tcPr>
            <w:tcW w:w="10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w:t>
            </w:r>
          </w:p>
        </w:tc>
      </w:tr>
      <w:tr>
        <w:trPr>
          <w:trHeight w:val="198"/>
        </w:trPr>
        <w:tc>
          <w:tcPr>
            <w:tcW w:w="20" w:type="dxa"/>
            <w:vAlign w:val="bottom"/>
          </w:tcPr>
          <w:p>
            <w:pPr>
              <w:spacing w:after="0"/>
              <w:rPr>
                <w:sz w:val="17"/>
                <w:szCs w:val="17"/>
                <w:color w:val="auto"/>
              </w:rPr>
            </w:pPr>
          </w:p>
        </w:tc>
        <w:tc>
          <w:tcPr>
            <w:tcW w:w="6460" w:type="dxa"/>
            <w:vAlign w:val="bottom"/>
            <w:gridSpan w:val="2"/>
          </w:tcPr>
          <w:p>
            <w:pPr>
              <w:ind w:left="340"/>
              <w:spacing w:after="0"/>
              <w:rPr>
                <w:sz w:val="20"/>
                <w:szCs w:val="20"/>
                <w:color w:val="auto"/>
              </w:rPr>
            </w:pPr>
            <w:r>
              <w:rPr>
                <w:rFonts w:ascii="Arial" w:cs="Arial" w:eastAsia="Arial" w:hAnsi="Arial"/>
                <w:sz w:val="14"/>
                <w:szCs w:val="14"/>
                <w:color w:val="auto"/>
              </w:rPr>
              <w:t>Interest expense</w:t>
            </w:r>
          </w:p>
        </w:tc>
        <w:tc>
          <w:tcPr>
            <w:tcW w:w="1080" w:type="dxa"/>
            <w:vAlign w:val="bottom"/>
          </w:tcPr>
          <w:p>
            <w:pPr>
              <w:spacing w:after="0"/>
              <w:rPr>
                <w:sz w:val="17"/>
                <w:szCs w:val="17"/>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545</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549</w:t>
            </w:r>
          </w:p>
        </w:tc>
      </w:tr>
      <w:tr>
        <w:trPr>
          <w:trHeight w:val="207"/>
        </w:trPr>
        <w:tc>
          <w:tcPr>
            <w:tcW w:w="20" w:type="dxa"/>
            <w:vAlign w:val="bottom"/>
            <w:shd w:val="clear" w:color="auto" w:fill="CCEEFF"/>
          </w:tcPr>
          <w:p>
            <w:pPr>
              <w:spacing w:after="0"/>
              <w:rPr>
                <w:sz w:val="17"/>
                <w:szCs w:val="17"/>
                <w:color w:val="auto"/>
              </w:rPr>
            </w:pPr>
          </w:p>
        </w:tc>
        <w:tc>
          <w:tcPr>
            <w:tcW w:w="646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Depreciation and amortization expense</w:t>
            </w:r>
          </w:p>
        </w:tc>
        <w:tc>
          <w:tcPr>
            <w:tcW w:w="108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440</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458</w:t>
            </w:r>
          </w:p>
        </w:tc>
      </w:tr>
      <w:tr>
        <w:trPr>
          <w:trHeight w:val="198"/>
        </w:trPr>
        <w:tc>
          <w:tcPr>
            <w:tcW w:w="20" w:type="dxa"/>
            <w:vAlign w:val="bottom"/>
            <w:tcBorders>
              <w:bottom w:val="single" w:sz="8" w:color="CCEEFF"/>
            </w:tcBorders>
          </w:tcPr>
          <w:p>
            <w:pPr>
              <w:spacing w:after="0"/>
              <w:rPr>
                <w:sz w:val="17"/>
                <w:szCs w:val="17"/>
                <w:color w:val="auto"/>
              </w:rPr>
            </w:pPr>
          </w:p>
        </w:tc>
        <w:tc>
          <w:tcPr>
            <w:tcW w:w="6460" w:type="dxa"/>
            <w:vAlign w:val="bottom"/>
            <w:tcBorders>
              <w:bottom w:val="single" w:sz="8" w:color="CCEEFF"/>
            </w:tcBorders>
            <w:gridSpan w:val="2"/>
          </w:tcPr>
          <w:p>
            <w:pPr>
              <w:ind w:left="340"/>
              <w:spacing w:after="0"/>
              <w:rPr>
                <w:sz w:val="20"/>
                <w:szCs w:val="20"/>
                <w:color w:val="auto"/>
              </w:rPr>
            </w:pPr>
            <w:r>
              <w:rPr>
                <w:rFonts w:ascii="Arial" w:cs="Arial" w:eastAsia="Arial" w:hAnsi="Arial"/>
                <w:sz w:val="14"/>
                <w:szCs w:val="14"/>
                <w:color w:val="auto"/>
              </w:rPr>
              <w:t>Stock-based compensation expense</w:t>
            </w:r>
          </w:p>
        </w:tc>
        <w:tc>
          <w:tcPr>
            <w:tcW w:w="10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417</w:t>
            </w:r>
          </w:p>
        </w:tc>
        <w:tc>
          <w:tcPr>
            <w:tcW w:w="12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553</w:t>
            </w:r>
          </w:p>
        </w:tc>
      </w:tr>
      <w:tr>
        <w:trPr>
          <w:trHeight w:val="221"/>
        </w:trPr>
        <w:tc>
          <w:tcPr>
            <w:tcW w:w="64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Adjusted EBITDA (Non-GAAP)</w:t>
            </w:r>
          </w:p>
        </w:tc>
        <w:tc>
          <w:tcPr>
            <w:tcW w:w="1080" w:type="dxa"/>
            <w:vAlign w:val="bottom"/>
            <w:tcBorders>
              <w:bottom w:val="single" w:sz="8" w:color="auto"/>
            </w:tcBorders>
            <w:shd w:val="clear" w:color="auto" w:fill="CCEEFF"/>
          </w:tcPr>
          <w:p>
            <w:pPr>
              <w:jc w:val="right"/>
              <w:ind w:right="90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(2,508)</w:t>
            </w:r>
          </w:p>
        </w:tc>
        <w:tc>
          <w:tcPr>
            <w:tcW w:w="1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90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(1,992)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52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0880"/>
      </w:cols>
      <w:pgMar w:left="320" w:top="1417" w:right="6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877"/>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2025-05-05T07:09:37Z</dcterms:created>
  <dcterms:modified xsi:type="dcterms:W3CDTF">2025-05-05T07:09:37Z</dcterms:modified>
</cp:coreProperties>
</file>