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5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16, 2022</w:t>
      </w:r>
    </w:p>
    <w:p>
      <w:pPr>
        <w:spacing w:after="0" w:line="17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EXAGEN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240"/>
          </w:cols>
          <w:pgMar w:left="320" w:top="1253" w:right="339" w:bottom="1440" w:gutter="0" w:footer="0" w:header="0"/>
        </w:sectPr>
      </w:pPr>
    </w:p>
    <w:p>
      <w:pPr>
        <w:spacing w:after="0" w:line="296" w:lineRule="exact"/>
        <w:rPr>
          <w:sz w:val="24"/>
          <w:szCs w:val="24"/>
          <w:color w:val="auto"/>
        </w:rPr>
      </w:pPr>
    </w:p>
    <w:p>
      <w:pPr>
        <w:ind w:left="188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76"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7"/>
          <w:szCs w:val="17"/>
          <w:b w:val="1"/>
          <w:bCs w:val="1"/>
          <w:color w:val="auto"/>
        </w:rPr>
        <w:t>001-39049</w:t>
      </w:r>
    </w:p>
    <w:p>
      <w:pPr>
        <w:spacing w:after="0" w:line="20" w:lineRule="exact"/>
        <w:rPr>
          <w:sz w:val="24"/>
          <w:szCs w:val="24"/>
          <w:color w:val="auto"/>
        </w:rPr>
      </w:pPr>
      <w:r>
        <w:rPr>
          <w:sz w:val="24"/>
          <w:szCs w:val="24"/>
          <w:color w:val="auto"/>
        </w:rPr>
        <w:br w:type="column"/>
      </w:r>
    </w:p>
    <w:p>
      <w:pPr>
        <w:spacing w:after="0" w:line="27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20-0434866</w:t>
      </w:r>
    </w:p>
    <w:p>
      <w:pPr>
        <w:spacing w:after="0" w:line="47" w:lineRule="exact"/>
        <w:rPr>
          <w:sz w:val="24"/>
          <w:szCs w:val="24"/>
          <w:color w:val="auto"/>
        </w:rPr>
      </w:pPr>
    </w:p>
    <w:p>
      <w:pPr>
        <w:sectPr>
          <w:pgSz w:w="11900" w:h="16838" w:orient="portrait"/>
          <w:cols w:equalWidth="0" w:num="3">
            <w:col w:w="4620" w:space="720"/>
            <w:col w:w="2620" w:space="720"/>
            <w:col w:w="2560"/>
          </w:cols>
          <w:pgMar w:left="320" w:top="1253" w:right="339" w:bottom="1440" w:gutter="0" w:footer="0" w:header="0"/>
          <w:type w:val="continuous"/>
        </w:sectPr>
      </w:pPr>
    </w:p>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spacing w:after="0" w:line="29"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5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line="29" w:lineRule="exact"/>
        <w:rPr>
          <w:sz w:val="24"/>
          <w:szCs w:val="24"/>
          <w:color w:val="auto"/>
        </w:rPr>
      </w:pPr>
    </w:p>
    <w:p>
      <w:pPr>
        <w:jc w:val="center"/>
        <w:ind w:right="156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600" w:space="720"/>
            <w:col w:w="2520" w:space="720"/>
            <w:col w:w="2680"/>
          </w:cols>
          <w:pgMar w:left="320" w:top="1253" w:right="339" w:bottom="1440" w:gutter="0" w:footer="0" w:header="0"/>
          <w:type w:val="continuous"/>
        </w:sectPr>
      </w:pPr>
    </w:p>
    <w:p>
      <w:pPr>
        <w:spacing w:after="0" w:line="1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1261 Liberty Way</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Vista, CA 92081</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1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(760) 560-1501</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8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ectPr>
          <w:pgSz w:w="11900" w:h="16838" w:orient="portrait"/>
          <w:cols w:equalWidth="0" w:num="1">
            <w:col w:w="11240"/>
          </w:cols>
          <w:pgMar w:left="320" w:top="1253" w:right="339" w:bottom="1440" w:gutter="0" w:footer="0" w:header="0"/>
          <w:type w:val="continuous"/>
        </w:sectPr>
      </w:pPr>
    </w:p>
    <w:p>
      <w:pPr>
        <w:spacing w:after="0" w:line="18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46"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58"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40"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40"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27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318" w:lineRule="exact"/>
        <w:rPr>
          <w:sz w:val="24"/>
          <w:szCs w:val="24"/>
          <w:color w:val="auto"/>
        </w:rPr>
      </w:pPr>
    </w:p>
    <w:tbl>
      <w:tblPr>
        <w:tblLayout w:type="fixed"/>
        <w:tblInd w:w="0" w:type="dxa"/>
        <w:tblCellMar>
          <w:top w:w="0" w:type="dxa"/>
          <w:left w:w="0" w:type="dxa"/>
          <w:bottom w:w="0" w:type="dxa"/>
          <w:right w:w="0" w:type="dxa"/>
        </w:tblCellMar>
      </w:tblPr>
      <w:tr>
        <w:trPr>
          <w:trHeight w:val="175"/>
        </w:trPr>
        <w:tc>
          <w:tcPr>
            <w:tcW w:w="3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5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r>
      <w:tr>
        <w:trPr>
          <w:trHeight w:val="217"/>
        </w:trPr>
        <w:tc>
          <w:tcPr>
            <w:tcW w:w="39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5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r>
      <w:tr>
        <w:trPr>
          <w:trHeight w:val="23"/>
        </w:trPr>
        <w:tc>
          <w:tcPr>
            <w:tcW w:w="3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r>
      <w:tr>
        <w:trPr>
          <w:trHeight w:val="232"/>
        </w:trPr>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$0.001 per share</w:t>
            </w:r>
          </w:p>
        </w:tc>
        <w:tc>
          <w:tcPr>
            <w:tcW w:w="160" w:type="dxa"/>
            <w:vAlign w:val="bottom"/>
          </w:tcPr>
          <w:p>
            <w:pPr>
              <w:spacing w:after="0"/>
              <w:rPr>
                <w:sz w:val="20"/>
                <w:szCs w:val="20"/>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XGN</w:t>
            </w:r>
          </w:p>
        </w:tc>
        <w:tc>
          <w:tcPr>
            <w:tcW w:w="160" w:type="dxa"/>
            <w:vAlign w:val="bottom"/>
          </w:tcPr>
          <w:p>
            <w:pPr>
              <w:spacing w:after="0"/>
              <w:rPr>
                <w:sz w:val="20"/>
                <w:szCs w:val="20"/>
                <w:color w:val="auto"/>
              </w:rPr>
            </w:pPr>
          </w:p>
        </w:tc>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Global Market</w:t>
            </w:r>
          </w:p>
        </w:tc>
      </w:tr>
    </w:tbl>
    <w:p>
      <w:pPr>
        <w:spacing w:after="0" w:line="247" w:lineRule="exact"/>
        <w:rPr>
          <w:sz w:val="24"/>
          <w:szCs w:val="24"/>
          <w:color w:val="auto"/>
        </w:rPr>
      </w:pPr>
    </w:p>
    <w:p>
      <w:pPr>
        <w:ind w:right="60"/>
        <w:spacing w:after="0" w:line="22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7"/>
          <w:szCs w:val="17"/>
          <w:color w:val="auto"/>
        </w:rPr>
        <w:t>☒</w:t>
      </w:r>
    </w:p>
    <w:p>
      <w:pPr>
        <w:spacing w:after="0" w:line="142" w:lineRule="exact"/>
        <w:rPr>
          <w:sz w:val="24"/>
          <w:szCs w:val="24"/>
          <w:color w:val="auto"/>
        </w:rPr>
      </w:pPr>
    </w:p>
    <w:p>
      <w:pPr>
        <w:ind w:right="580"/>
        <w:spacing w:after="0" w:line="227"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814705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3"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1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Exagen Inc. (the "Company") held its 2022 annual meeting of stockholders (the "Annual Meeting") on June 16, 2022. At the Annual Meeting, the Company's stockholders voted on two proposals, as described below. Each of the proposals was described in detail in the Company's definitive proxy statement on Schedule 14A filed with the U.S. Securities and Exchange Commission on April 28, 2022. The vote totals noted below are final voting results from the Annual Meeting.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Proposal 1</w:t>
      </w:r>
    </w:p>
    <w:p>
      <w:pPr>
        <w:spacing w:after="0" w:line="17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Company's stockholders elected the following three Class III directors for a three-year term of office expiring at the Company's 2025 annual meeting of stockholders and until their successors are duly elected and qualified or until such director's earlier death, resignation or removal.</w:t>
      </w:r>
    </w:p>
    <w:p>
      <w:pPr>
        <w:spacing w:after="0" w:line="135"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620" w:type="dxa"/>
            <w:vAlign w:val="bottom"/>
          </w:tcPr>
          <w:p>
            <w:pPr>
              <w:spacing w:after="0"/>
              <w:rPr>
                <w:sz w:val="17"/>
                <w:szCs w:val="17"/>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338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Votes Withheld</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Broker Non-Votes</w:t>
            </w:r>
          </w:p>
        </w:tc>
      </w:tr>
      <w:tr>
        <w:trPr>
          <w:trHeight w:val="20"/>
        </w:trPr>
        <w:tc>
          <w:tcPr>
            <w:tcW w:w="6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r>
      <w:tr>
        <w:trPr>
          <w:trHeight w:val="245"/>
        </w:trPr>
        <w:tc>
          <w:tcPr>
            <w:tcW w:w="2660" w:type="dxa"/>
            <w:vAlign w:val="bottom"/>
            <w:gridSpan w:val="3"/>
          </w:tcPr>
          <w:p>
            <w:pPr>
              <w:jc w:val="center"/>
              <w:ind w:right="940"/>
              <w:spacing w:after="0"/>
              <w:rPr>
                <w:sz w:val="20"/>
                <w:szCs w:val="20"/>
                <w:color w:val="auto"/>
              </w:rPr>
            </w:pPr>
            <w:r>
              <w:rPr>
                <w:rFonts w:ascii="Times New Roman" w:cs="Times New Roman" w:eastAsia="Times New Roman" w:hAnsi="Times New Roman"/>
                <w:sz w:val="18"/>
                <w:szCs w:val="18"/>
                <w:color w:val="auto"/>
              </w:rPr>
              <w:t>Bruce Robertson, Ph.D.</w:t>
            </w:r>
          </w:p>
        </w:tc>
        <w:tc>
          <w:tcPr>
            <w:tcW w:w="168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w w:val="97"/>
              </w:rPr>
              <w:t>8,145,198</w:t>
            </w:r>
          </w:p>
        </w:tc>
        <w:tc>
          <w:tcPr>
            <w:tcW w:w="940" w:type="dxa"/>
            <w:vAlign w:val="bottom"/>
          </w:tcPr>
          <w:p>
            <w:pPr>
              <w:spacing w:after="0"/>
              <w:rPr>
                <w:sz w:val="21"/>
                <w:szCs w:val="21"/>
                <w:color w:val="auto"/>
              </w:rPr>
            </w:pPr>
          </w:p>
        </w:tc>
        <w:tc>
          <w:tcPr>
            <w:tcW w:w="2120" w:type="dxa"/>
            <w:vAlign w:val="bottom"/>
            <w:gridSpan w:val="2"/>
          </w:tcPr>
          <w:p>
            <w:pPr>
              <w:jc w:val="center"/>
              <w:ind w:left="850"/>
              <w:spacing w:after="0"/>
              <w:rPr>
                <w:sz w:val="20"/>
                <w:szCs w:val="20"/>
                <w:color w:val="auto"/>
              </w:rPr>
            </w:pPr>
            <w:r>
              <w:rPr>
                <w:rFonts w:ascii="Times New Roman" w:cs="Times New Roman" w:eastAsia="Times New Roman" w:hAnsi="Times New Roman"/>
                <w:sz w:val="18"/>
                <w:szCs w:val="18"/>
                <w:color w:val="auto"/>
                <w:w w:val="99"/>
              </w:rPr>
              <w:t>521,211</w:t>
            </w:r>
          </w:p>
        </w:tc>
        <w:tc>
          <w:tcPr>
            <w:tcW w:w="1260" w:type="dxa"/>
            <w:vAlign w:val="bottom"/>
          </w:tcPr>
          <w:p>
            <w:pPr>
              <w:spacing w:after="0"/>
              <w:rPr>
                <w:sz w:val="21"/>
                <w:szCs w:val="21"/>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1,414,253</w:t>
            </w:r>
          </w:p>
        </w:tc>
      </w:tr>
      <w:tr>
        <w:trPr>
          <w:trHeight w:val="230"/>
        </w:trPr>
        <w:tc>
          <w:tcPr>
            <w:tcW w:w="2660" w:type="dxa"/>
            <w:vAlign w:val="bottom"/>
            <w:gridSpan w:val="3"/>
          </w:tcPr>
          <w:p>
            <w:pPr>
              <w:jc w:val="center"/>
              <w:ind w:right="960"/>
              <w:spacing w:after="0"/>
              <w:rPr>
                <w:sz w:val="20"/>
                <w:szCs w:val="20"/>
                <w:color w:val="auto"/>
              </w:rPr>
            </w:pPr>
            <w:r>
              <w:rPr>
                <w:rFonts w:ascii="Times New Roman" w:cs="Times New Roman" w:eastAsia="Times New Roman" w:hAnsi="Times New Roman"/>
                <w:sz w:val="18"/>
                <w:szCs w:val="18"/>
                <w:color w:val="auto"/>
                <w:w w:val="98"/>
              </w:rPr>
              <w:t>Wendy Johnson</w:t>
            </w:r>
          </w:p>
        </w:tc>
        <w:tc>
          <w:tcPr>
            <w:tcW w:w="168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w w:val="97"/>
              </w:rPr>
              <w:t>8,153,429</w:t>
            </w:r>
          </w:p>
        </w:tc>
        <w:tc>
          <w:tcPr>
            <w:tcW w:w="940" w:type="dxa"/>
            <w:vAlign w:val="bottom"/>
          </w:tcPr>
          <w:p>
            <w:pPr>
              <w:spacing w:after="0"/>
              <w:rPr>
                <w:sz w:val="19"/>
                <w:szCs w:val="19"/>
                <w:color w:val="auto"/>
              </w:rPr>
            </w:pPr>
          </w:p>
        </w:tc>
        <w:tc>
          <w:tcPr>
            <w:tcW w:w="2120" w:type="dxa"/>
            <w:vAlign w:val="bottom"/>
            <w:gridSpan w:val="2"/>
          </w:tcPr>
          <w:p>
            <w:pPr>
              <w:jc w:val="center"/>
              <w:ind w:left="850"/>
              <w:spacing w:after="0"/>
              <w:rPr>
                <w:sz w:val="20"/>
                <w:szCs w:val="20"/>
                <w:color w:val="auto"/>
              </w:rPr>
            </w:pPr>
            <w:r>
              <w:rPr>
                <w:rFonts w:ascii="Times New Roman" w:cs="Times New Roman" w:eastAsia="Times New Roman" w:hAnsi="Times New Roman"/>
                <w:sz w:val="18"/>
                <w:szCs w:val="18"/>
                <w:color w:val="auto"/>
                <w:w w:val="99"/>
              </w:rPr>
              <w:t>512,980</w:t>
            </w:r>
          </w:p>
        </w:tc>
        <w:tc>
          <w:tcPr>
            <w:tcW w:w="126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1,414,253</w:t>
            </w:r>
          </w:p>
        </w:tc>
      </w:tr>
      <w:tr>
        <w:trPr>
          <w:trHeight w:val="234"/>
        </w:trPr>
        <w:tc>
          <w:tcPr>
            <w:tcW w:w="2660" w:type="dxa"/>
            <w:vAlign w:val="bottom"/>
            <w:gridSpan w:val="3"/>
          </w:tcPr>
          <w:p>
            <w:pPr>
              <w:jc w:val="center"/>
              <w:ind w:right="960"/>
              <w:spacing w:after="0"/>
              <w:rPr>
                <w:sz w:val="20"/>
                <w:szCs w:val="20"/>
                <w:color w:val="auto"/>
              </w:rPr>
            </w:pPr>
            <w:r>
              <w:rPr>
                <w:rFonts w:ascii="Times New Roman" w:cs="Times New Roman" w:eastAsia="Times New Roman" w:hAnsi="Times New Roman"/>
                <w:sz w:val="18"/>
                <w:szCs w:val="18"/>
                <w:color w:val="auto"/>
                <w:w w:val="99"/>
              </w:rPr>
              <w:t>Fortunato Ron Rocca</w:t>
            </w:r>
          </w:p>
        </w:tc>
        <w:tc>
          <w:tcPr>
            <w:tcW w:w="168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w w:val="97"/>
              </w:rPr>
              <w:t>8,142,243</w:t>
            </w:r>
          </w:p>
        </w:tc>
        <w:tc>
          <w:tcPr>
            <w:tcW w:w="940" w:type="dxa"/>
            <w:vAlign w:val="bottom"/>
          </w:tcPr>
          <w:p>
            <w:pPr>
              <w:spacing w:after="0"/>
              <w:rPr>
                <w:sz w:val="20"/>
                <w:szCs w:val="20"/>
                <w:color w:val="auto"/>
              </w:rPr>
            </w:pPr>
          </w:p>
        </w:tc>
        <w:tc>
          <w:tcPr>
            <w:tcW w:w="2120" w:type="dxa"/>
            <w:vAlign w:val="bottom"/>
            <w:gridSpan w:val="2"/>
          </w:tcPr>
          <w:p>
            <w:pPr>
              <w:jc w:val="center"/>
              <w:ind w:left="850"/>
              <w:spacing w:after="0"/>
              <w:rPr>
                <w:sz w:val="20"/>
                <w:szCs w:val="20"/>
                <w:color w:val="auto"/>
              </w:rPr>
            </w:pPr>
            <w:r>
              <w:rPr>
                <w:rFonts w:ascii="Times New Roman" w:cs="Times New Roman" w:eastAsia="Times New Roman" w:hAnsi="Times New Roman"/>
                <w:sz w:val="18"/>
                <w:szCs w:val="18"/>
                <w:color w:val="auto"/>
                <w:w w:val="99"/>
              </w:rPr>
              <w:t>524,166</w:t>
            </w:r>
          </w:p>
        </w:tc>
        <w:tc>
          <w:tcPr>
            <w:tcW w:w="1260" w:type="dxa"/>
            <w:vAlign w:val="bottom"/>
          </w:tcPr>
          <w:p>
            <w:pPr>
              <w:spacing w:after="0"/>
              <w:rPr>
                <w:sz w:val="20"/>
                <w:szCs w:val="20"/>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1,414,253</w:t>
            </w:r>
          </w:p>
        </w:tc>
      </w:tr>
    </w:tbl>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Proposal 2</w:t>
      </w:r>
    </w:p>
    <w:p>
      <w:pPr>
        <w:spacing w:after="0" w:line="175"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Company's stockholders ratified the appointment of BDO USA, LLP as the Company's independent registered public accounting firm for the fiscal year ending December 31, 2022.</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60" w:type="dxa"/>
            <w:vAlign w:val="bottom"/>
          </w:tcPr>
          <w:p>
            <w:pPr>
              <w:spacing w:after="0"/>
              <w:rPr>
                <w:sz w:val="17"/>
                <w:szCs w:val="17"/>
                <w:color w:val="auto"/>
              </w:rPr>
            </w:pPr>
          </w:p>
        </w:tc>
        <w:tc>
          <w:tcPr>
            <w:tcW w:w="1860" w:type="dxa"/>
            <w:vAlign w:val="bottom"/>
            <w:gridSpan w:val="2"/>
          </w:tcPr>
          <w:p>
            <w:pPr>
              <w:jc w:val="center"/>
              <w:ind w:right="1140"/>
              <w:spacing w:after="0"/>
              <w:rPr>
                <w:sz w:val="20"/>
                <w:szCs w:val="20"/>
                <w:color w:val="auto"/>
              </w:rPr>
            </w:pPr>
            <w:r>
              <w:rPr>
                <w:rFonts w:ascii="Times New Roman" w:cs="Times New Roman" w:eastAsia="Times New Roman" w:hAnsi="Times New Roman"/>
                <w:sz w:val="18"/>
                <w:szCs w:val="18"/>
                <w:b w:val="1"/>
                <w:bCs w:val="1"/>
                <w:color w:val="auto"/>
                <w:w w:val="95"/>
              </w:rPr>
              <w:t>Votes For</w:t>
            </w:r>
          </w:p>
        </w:tc>
        <w:tc>
          <w:tcPr>
            <w:tcW w:w="3080" w:type="dxa"/>
            <w:vAlign w:val="bottom"/>
            <w:gridSpan w:val="3"/>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1840" w:type="dxa"/>
            <w:vAlign w:val="bottom"/>
            <w:gridSpan w:val="2"/>
          </w:tcPr>
          <w:p>
            <w:pPr>
              <w:jc w:val="center"/>
              <w:ind w:left="830"/>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1400" w:type="dxa"/>
            <w:vAlign w:val="bottom"/>
          </w:tcPr>
          <w:p>
            <w:pPr>
              <w:spacing w:after="0"/>
              <w:rPr>
                <w:sz w:val="17"/>
                <w:szCs w:val="17"/>
                <w:color w:val="auto"/>
              </w:rPr>
            </w:pPr>
          </w:p>
        </w:tc>
        <w:tc>
          <w:tcPr>
            <w:tcW w:w="190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0"/>
        </w:trPr>
        <w:tc>
          <w:tcPr>
            <w:tcW w:w="1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50"/>
        </w:trPr>
        <w:tc>
          <w:tcPr>
            <w:tcW w:w="3020" w:type="dxa"/>
            <w:vAlign w:val="bottom"/>
            <w:gridSpan w:val="3"/>
          </w:tcPr>
          <w:p>
            <w:pPr>
              <w:jc w:val="right"/>
              <w:ind w:right="1100"/>
              <w:spacing w:after="0"/>
              <w:rPr>
                <w:sz w:val="20"/>
                <w:szCs w:val="20"/>
                <w:color w:val="auto"/>
              </w:rPr>
            </w:pPr>
            <w:r>
              <w:rPr>
                <w:rFonts w:ascii="Times New Roman" w:cs="Times New Roman" w:eastAsia="Times New Roman" w:hAnsi="Times New Roman"/>
                <w:sz w:val="18"/>
                <w:szCs w:val="18"/>
                <w:color w:val="auto"/>
              </w:rPr>
              <w:t>10,044,739</w:t>
            </w:r>
          </w:p>
        </w:tc>
        <w:tc>
          <w:tcPr>
            <w:tcW w:w="21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3,120</w:t>
            </w:r>
          </w:p>
        </w:tc>
        <w:tc>
          <w:tcPr>
            <w:tcW w:w="940" w:type="dxa"/>
            <w:vAlign w:val="bottom"/>
          </w:tcPr>
          <w:p>
            <w:pPr>
              <w:spacing w:after="0"/>
              <w:rPr>
                <w:sz w:val="21"/>
                <w:szCs w:val="21"/>
                <w:color w:val="auto"/>
              </w:rPr>
            </w:pPr>
          </w:p>
        </w:tc>
        <w:tc>
          <w:tcPr>
            <w:tcW w:w="1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32,803</w:t>
            </w:r>
          </w:p>
        </w:tc>
        <w:tc>
          <w:tcPr>
            <w:tcW w:w="1400" w:type="dxa"/>
            <w:vAlign w:val="bottom"/>
          </w:tcPr>
          <w:p>
            <w:pPr>
              <w:spacing w:after="0"/>
              <w:rPr>
                <w:sz w:val="21"/>
                <w:szCs w:val="21"/>
                <w:color w:val="auto"/>
              </w:rPr>
            </w:pPr>
          </w:p>
        </w:tc>
        <w:tc>
          <w:tcPr>
            <w:tcW w:w="190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auto"/>
                <w:w w:val="99"/>
              </w:rPr>
              <w:t>—</w:t>
            </w:r>
          </w:p>
        </w:tc>
      </w:tr>
      <w:tr>
        <w:trPr>
          <w:trHeight w:val="1573"/>
        </w:trPr>
        <w:tc>
          <w:tcPr>
            <w:tcW w:w="11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56"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EXAGEN INC.</w:t>
      </w:r>
    </w:p>
    <w:p>
      <w:pPr>
        <w:spacing w:after="0" w:line="279" w:lineRule="exact"/>
        <w:rPr>
          <w:sz w:val="20"/>
          <w:szCs w:val="20"/>
          <w:color w:val="auto"/>
        </w:rPr>
      </w:pPr>
    </w:p>
    <w:p>
      <w:pPr>
        <w:ind w:left="20"/>
        <w:spacing w:after="0"/>
        <w:tabs>
          <w:tab w:leader="none" w:pos="5200" w:val="left"/>
          <w:tab w:leader="none" w:pos="5780" w:val="left"/>
        </w:tabs>
        <w:rPr>
          <w:sz w:val="20"/>
          <w:szCs w:val="20"/>
          <w:color w:val="auto"/>
        </w:rPr>
      </w:pPr>
      <w:r>
        <w:rPr>
          <w:rFonts w:ascii="Times New Roman" w:cs="Times New Roman" w:eastAsia="Times New Roman" w:hAnsi="Times New Roman"/>
          <w:sz w:val="18"/>
          <w:szCs w:val="18"/>
          <w:color w:val="auto"/>
        </w:rPr>
        <w:t>Date: June 21,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Kamal Adawi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26035</wp:posOffset>
            </wp:positionV>
            <wp:extent cx="28371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spacing w:after="0" w:line="30"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Kamal Adawi</w:t>
      </w:r>
    </w:p>
    <w:p>
      <w:pPr>
        <w:spacing w:after="0" w:line="27"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1200"/>
      </w:cols>
      <w:pgMar w:left="320" w:top="1093"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2022-06-21T07:32:14Z</dcterms:created>
  <dcterms:modified xsi:type="dcterms:W3CDTF">2022-06-21T07:32:14Z</dcterms:modified>
</cp:coreProperties>
</file>