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-233045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5280025</wp:posOffset>
            </wp:positionH>
            <wp:positionV relativeFrom="paragraph">
              <wp:posOffset>-596900</wp:posOffset>
            </wp:positionV>
            <wp:extent cx="8255" cy="5975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597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3971290</wp:posOffset>
            </wp:positionH>
            <wp:positionV relativeFrom="paragraph">
              <wp:posOffset>-605155</wp:posOffset>
            </wp:positionV>
            <wp:extent cx="8255" cy="6057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3995420</wp:posOffset>
            </wp:positionH>
            <wp:positionV relativeFrom="paragraph">
              <wp:posOffset>-581025</wp:posOffset>
            </wp:positionV>
            <wp:extent cx="1268095" cy="557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8095" cy="557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-1649095</wp:posOffset>
            </wp:positionH>
            <wp:positionV relativeFrom="paragraph">
              <wp:posOffset>26670</wp:posOffset>
            </wp:positionV>
            <wp:extent cx="6969760" cy="17202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760" cy="17202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Zack Debra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EXAGEN INC.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1261 LIBERTY WAY, SUITE C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EXAGEN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XGN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03/24/2020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5" w:right="660" w:hanging="5"/>
        <w:spacing w:after="0" w:line="235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84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Medical Officer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20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</w:tcPr>
          <w:p>
            <w:pPr>
              <w:ind w:left="1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1"/>
          </w:tcPr>
          <w:p>
            <w:pPr>
              <w:ind w:left="3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11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VISA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92081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13.44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03/24/2020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03/23/2030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100,000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1270</wp:posOffset>
            </wp:positionH>
            <wp:positionV relativeFrom="paragraph">
              <wp:posOffset>-2552065</wp:posOffset>
            </wp:positionV>
            <wp:extent cx="7034530" cy="26892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4530" cy="2689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 w:right="180"/>
        <w:spacing w:after="0" w:line="243" w:lineRule="auto"/>
        <w:tabs>
          <w:tab w:leader="none" w:pos="167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is exercisable as it vests. 25% of the shares subject to the option vest on March 24, 2021, and 1/48th of the total number of shares subject to the option vest monthly thereafter, subject to the Reporting Person's continued service to the Issuer through each such vesting date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/s/ Kamal Adawi, as attorney-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03/26/2020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1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28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07743" TargetMode="External"/><Relationship Id="rId14" Type="http://schemas.openxmlformats.org/officeDocument/2006/relationships/hyperlink" Target="http://www.sec.gov/cgi-bin/browse-edgar?action=getcompany&amp;CIK=00012747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2020-03-26T18:19:07Z</dcterms:created>
  <dcterms:modified xsi:type="dcterms:W3CDTF">2020-03-26T18:19:07Z</dcterms:modified>
</cp:coreProperties>
</file>