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11, 2022</w:t>
      </w:r>
    </w:p>
    <w:p>
      <w:pPr>
        <w:spacing w:after="0" w:line="2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276860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25" w:lineRule="exact"/>
        <w:rPr>
          <w:sz w:val="24"/>
          <w:szCs w:val="24"/>
          <w:color w:val="auto"/>
        </w:rPr>
      </w:pPr>
    </w:p>
    <w:tbl>
      <w:tblPr>
        <w:tblLayout w:type="fixed"/>
        <w:tblInd w:w="1360" w:type="dxa"/>
        <w:tblCellMar>
          <w:top w:w="0" w:type="dxa"/>
          <w:left w:w="0" w:type="dxa"/>
          <w:bottom w:w="0" w:type="dxa"/>
          <w:right w:w="0" w:type="dxa"/>
        </w:tblCellMar>
      </w:tblPr>
      <w:tr>
        <w:trPr>
          <w:trHeight w:val="400"/>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32"/>
                <w:szCs w:val="32"/>
                <w:b w:val="1"/>
                <w:bCs w:val="1"/>
                <w:color w:val="auto"/>
                <w:w w:val="99"/>
              </w:rPr>
              <w:t>FORM S-8</w:t>
            </w:r>
          </w:p>
        </w:tc>
      </w:tr>
      <w:tr>
        <w:trPr>
          <w:trHeight w:val="252"/>
        </w:trPr>
        <w:tc>
          <w:tcPr>
            <w:tcW w:w="2100" w:type="dxa"/>
            <w:vAlign w:val="bottom"/>
          </w:tcPr>
          <w:p>
            <w:pPr>
              <w:spacing w:after="0"/>
              <w:rPr>
                <w:sz w:val="21"/>
                <w:szCs w:val="21"/>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21"/>
                <w:szCs w:val="21"/>
                <w:b w:val="1"/>
                <w:bCs w:val="1"/>
                <w:color w:val="auto"/>
                <w:w w:val="99"/>
              </w:rPr>
              <w:t>REGISTRATION STATEMENT UNDER</w:t>
            </w:r>
          </w:p>
        </w:tc>
      </w:tr>
      <w:tr>
        <w:trPr>
          <w:trHeight w:val="281"/>
        </w:trPr>
        <w:tc>
          <w:tcPr>
            <w:tcW w:w="2100" w:type="dxa"/>
            <w:vAlign w:val="bottom"/>
          </w:tcPr>
          <w:p>
            <w:pPr>
              <w:spacing w:after="0"/>
              <w:rPr>
                <w:sz w:val="24"/>
                <w:szCs w:val="24"/>
                <w:color w:val="auto"/>
              </w:rPr>
            </w:pPr>
          </w:p>
        </w:tc>
        <w:tc>
          <w:tcPr>
            <w:tcW w:w="6140" w:type="dxa"/>
            <w:vAlign w:val="bottom"/>
          </w:tcPr>
          <w:p>
            <w:pPr>
              <w:jc w:val="center"/>
              <w:ind w:right="1822"/>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tc>
      </w:tr>
      <w:tr>
        <w:trPr>
          <w:trHeight w:val="509"/>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32"/>
                <w:szCs w:val="32"/>
                <w:b w:val="1"/>
                <w:bCs w:val="1"/>
                <w:color w:val="auto"/>
                <w:w w:val="99"/>
              </w:rPr>
              <w:t>EXAGEN INC.</w:t>
            </w:r>
          </w:p>
        </w:tc>
      </w:tr>
      <w:tr>
        <w:trPr>
          <w:trHeight w:val="250"/>
        </w:trPr>
        <w:tc>
          <w:tcPr>
            <w:tcW w:w="2100" w:type="dxa"/>
            <w:vAlign w:val="bottom"/>
          </w:tcPr>
          <w:p>
            <w:pPr>
              <w:spacing w:after="0"/>
              <w:rPr>
                <w:sz w:val="21"/>
                <w:szCs w:val="21"/>
                <w:color w:val="auto"/>
              </w:rPr>
            </w:pPr>
          </w:p>
        </w:tc>
        <w:tc>
          <w:tcPr>
            <w:tcW w:w="6140" w:type="dxa"/>
            <w:vAlign w:val="bottom"/>
          </w:tcPr>
          <w:p>
            <w:pPr>
              <w:jc w:val="center"/>
              <w:ind w:right="180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r>
      <w:tr>
        <w:trPr>
          <w:trHeight w:val="570"/>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200"/>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4"/>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7"/>
              </w:rPr>
              <w:t>1261 Liberty Way</w:t>
            </w:r>
          </w:p>
        </w:tc>
      </w:tr>
      <w:tr>
        <w:trPr>
          <w:trHeight w:val="233"/>
        </w:trPr>
        <w:tc>
          <w:tcPr>
            <w:tcW w:w="2100" w:type="dxa"/>
            <w:vAlign w:val="bottom"/>
          </w:tcPr>
          <w:p>
            <w:pPr>
              <w:spacing w:after="0"/>
              <w:rPr>
                <w:sz w:val="20"/>
                <w:szCs w:val="20"/>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8"/>
              </w:rPr>
              <w:t>Vista, California 92081</w:t>
            </w:r>
          </w:p>
        </w:tc>
      </w:tr>
      <w:tr>
        <w:trPr>
          <w:trHeight w:val="278"/>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r>
      <w:tr>
        <w:trPr>
          <w:trHeight w:val="323"/>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7"/>
              </w:rPr>
              <w:t>Exagen Inc. 2019 Incentive Award Plan</w:t>
            </w:r>
          </w:p>
        </w:tc>
      </w:tr>
      <w:tr>
        <w:trPr>
          <w:trHeight w:val="214"/>
        </w:trPr>
        <w:tc>
          <w:tcPr>
            <w:tcW w:w="2100" w:type="dxa"/>
            <w:vAlign w:val="bottom"/>
          </w:tcPr>
          <w:p>
            <w:pPr>
              <w:spacing w:after="0"/>
              <w:rPr>
                <w:sz w:val="18"/>
                <w:szCs w:val="18"/>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8"/>
              </w:rPr>
              <w:t>Exagen Inc. 2019 Employee Stock Purchase Plan</w:t>
            </w:r>
          </w:p>
        </w:tc>
      </w:tr>
      <w:tr>
        <w:trPr>
          <w:trHeight w:val="231"/>
        </w:trPr>
        <w:tc>
          <w:tcPr>
            <w:tcW w:w="2100" w:type="dxa"/>
            <w:vAlign w:val="bottom"/>
          </w:tcPr>
          <w:p>
            <w:pPr>
              <w:spacing w:after="0"/>
              <w:rPr>
                <w:sz w:val="20"/>
                <w:szCs w:val="20"/>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color w:val="auto"/>
                <w:w w:val="98"/>
              </w:rPr>
              <w:t>(Full title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117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Fortunato Ron Rocca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 California 92081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131"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1" w:lineRule="exact"/>
        <w:rPr>
          <w:sz w:val="24"/>
          <w:szCs w:val="24"/>
          <w:color w:val="auto"/>
        </w:rPr>
      </w:pPr>
    </w:p>
    <w:tbl>
      <w:tblPr>
        <w:tblLayout w:type="fixed"/>
        <w:tblInd w:w="460" w:type="dxa"/>
        <w:tblCellMar>
          <w:top w:w="0" w:type="dxa"/>
          <w:left w:w="0" w:type="dxa"/>
          <w:bottom w:w="0" w:type="dxa"/>
          <w:right w:w="0" w:type="dxa"/>
        </w:tblCellMar>
      </w:tblPr>
      <w:tr>
        <w:trPr>
          <w:trHeight w:val="27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8" w:lineRule="exact"/>
        <w:rPr>
          <w:sz w:val="24"/>
          <w:szCs w:val="24"/>
          <w:color w:val="auto"/>
        </w:rPr>
      </w:pPr>
    </w:p>
    <w:p>
      <w:pPr>
        <w:ind w:right="18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00" w:right="339" w:bottom="1440" w:gutter="0" w:footer="0" w:header="0"/>
        </w:sectPr>
      </w:pPr>
    </w:p>
    <w:bookmarkStart w:id="1" w:name="page2"/>
    <w:bookmarkEnd w:id="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9"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This Registration Statement on Form S-8 is being filed with the Securities and Exchange Commission for the purpose of registering an additional 808,248 shares of common stock of Exagen Inc. (the "Registrant") issuable or which may become issuable under the Exagen Inc. 2019 Incentive Award Plan (the "2019 Plan") and the Exagen Inc. 2019 Employee Stock Purchase Plan (the "2019 ESPP") pursuant to the evergreen provision of such plans.</w:t>
      </w:r>
    </w:p>
    <w:p>
      <w:pPr>
        <w:spacing w:after="0" w:line="178" w:lineRule="exact"/>
        <w:rPr>
          <w:sz w:val="20"/>
          <w:szCs w:val="20"/>
          <w:color w:val="auto"/>
        </w:rPr>
      </w:pPr>
    </w:p>
    <w:p>
      <w:pPr>
        <w:jc w:val="both"/>
        <w:ind w:right="400" w:firstLine="318"/>
        <w:spacing w:after="0" w:line="259" w:lineRule="auto"/>
        <w:rPr>
          <w:sz w:val="20"/>
          <w:szCs w:val="20"/>
          <w:color w:val="auto"/>
        </w:rPr>
      </w:pPr>
      <w:r>
        <w:rPr>
          <w:rFonts w:ascii="Times New Roman" w:cs="Times New Roman" w:eastAsia="Times New Roman" w:hAnsi="Times New Roman"/>
          <w:sz w:val="18"/>
          <w:szCs w:val="18"/>
          <w:color w:val="auto"/>
        </w:rPr>
        <w:t>Pursuant to General Instruction E on Form S-8, the contents of the prior registration statements on Form S-8, File Nos. 333-233878 and 333-256014, previously filed with respect to the 2019 Plan and 2019 ESPP, are incorporated into this Registration Statement by reference to the extent not modified or superseded hereby or by any subsequently filed document, which is incorporated by reference herein or therein.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 this Registration Statement, Exagen Inc. is sometimes referred to as "Registrant," "we," "us" or "our."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19"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74" w:lineRule="exact"/>
        <w:rPr>
          <w:sz w:val="20"/>
          <w:szCs w:val="20"/>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2021, filed with the SEC on March 22, 2022;</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 on Form 8-K filed with the SEC on April 28, 2022;</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2022, filed with the SEC on May 11, 2022;</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Definitive Proxy Statement on Schedule 14A, filed with the SEC on April 28, 2022; and</w:t>
      </w:r>
    </w:p>
    <w:p>
      <w:pPr>
        <w:spacing w:after="0" w:line="111"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set forth in the Registrant's registration statement on Form 8-A12B (Registration No. 001-39049), filed by the Registrant with the SEC under Section 12(b) of the Securities Exchange Act of 1934, as amended (the "Exchange Act"), on September 13, 2019, including any amendments or reports filed for the purpose of updating such description.</w:t>
      </w:r>
    </w:p>
    <w:p>
      <w:pPr>
        <w:spacing w:after="0" w:line="178"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 13(a), 13(c), 14 or 15(d) of the Exchange Act subsequent to the filing of this registration statement and prior to the filing of a post-effective amendment which</w:t>
      </w:r>
    </w:p>
    <w:p>
      <w:pPr>
        <w:sectPr>
          <w:pgSz w:w="11900" w:h="16838" w:orient="portrait"/>
          <w:cols w:equalWidth="0" w:num="1">
            <w:col w:w="11240"/>
          </w:cols>
          <w:pgMar w:left="320" w:top="1440" w:right="339" w:bottom="1440" w:gutter="0" w:footer="0" w:header="0"/>
        </w:sectPr>
      </w:pPr>
    </w:p>
    <w:bookmarkStart w:id="2" w:name="page3"/>
    <w:bookmarkEnd w:id="2"/>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90"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7.01 of Form 8-K be deemed incorporated herein by reference unless such Form 8-K expressly provides to the contrary.</w:t>
      </w:r>
    </w:p>
    <w:p>
      <w:pPr>
        <w:sectPr>
          <w:pgSz w:w="11900" w:h="16838" w:orient="portrait"/>
          <w:cols w:equalWidth="0" w:num="1">
            <w:col w:w="11200"/>
          </w:cols>
          <w:pgMar w:left="320" w:top="1440" w:right="37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54"/>
        </w:trPr>
        <w:tc>
          <w:tcPr>
            <w:tcW w:w="9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Filing Date  Herewith</w:t>
            </w:r>
          </w:p>
        </w:tc>
        <w:tc>
          <w:tcPr>
            <w:tcW w:w="0" w:type="dxa"/>
            <w:vAlign w:val="bottom"/>
          </w:tcPr>
          <w:p>
            <w:pPr>
              <w:spacing w:after="0"/>
              <w:rPr>
                <w:sz w:val="1"/>
                <w:szCs w:val="1"/>
                <w:color w:val="auto"/>
              </w:rPr>
            </w:pPr>
          </w:p>
        </w:tc>
      </w:tr>
      <w:tr>
        <w:trPr>
          <w:trHeight w:val="38"/>
        </w:trPr>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2940" w:type="dxa"/>
            <w:vAlign w:val="bottom"/>
            <w:tcBorders>
              <w:bottom w:val="single" w:sz="8" w:color="0000FF"/>
            </w:tcBorders>
            <w:gridSpan w:val="10"/>
          </w:tcPr>
          <w:p>
            <w:pPr>
              <w:spacing w:after="0" w:line="152" w:lineRule="exact"/>
              <w:rPr>
                <w:rFonts w:ascii="Times New Roman" w:cs="Times New Roman" w:eastAsia="Times New Roman" w:hAnsi="Times New Roman"/>
                <w:sz w:val="14"/>
                <w:szCs w:val="14"/>
                <w:color w:val="0000FF"/>
              </w:rPr>
            </w:pPr>
            <w:hyperlink r:id="rId10">
              <w:r>
                <w:rPr>
                  <w:rFonts w:ascii="Times New Roman" w:cs="Times New Roman" w:eastAsia="Times New Roman" w:hAnsi="Times New Roman"/>
                  <w:sz w:val="14"/>
                  <w:szCs w:val="14"/>
                  <w:color w:val="0000FF"/>
                </w:rPr>
                <w:t>Amended and Restated Certificate of Incorporation.</w:t>
              </w:r>
            </w:hyperlink>
          </w:p>
        </w:tc>
        <w:tc>
          <w:tcPr>
            <w:tcW w:w="800" w:type="dxa"/>
            <w:vAlign w:val="bottom"/>
            <w:gridSpan w:val="6"/>
          </w:tcPr>
          <w:p>
            <w:pPr>
              <w:spacing w:after="0"/>
              <w:rPr>
                <w:sz w:val="13"/>
                <w:szCs w:val="13"/>
                <w:color w:val="auto"/>
              </w:rPr>
            </w:pPr>
          </w:p>
        </w:tc>
        <w:tc>
          <w:tcPr>
            <w:tcW w:w="920" w:type="dxa"/>
            <w:vAlign w:val="bottom"/>
          </w:tcPr>
          <w:p>
            <w:pPr>
              <w:jc w:val="center"/>
              <w:ind w:left="109"/>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500" w:type="dxa"/>
            <w:vAlign w:val="bottom"/>
          </w:tcPr>
          <w:p>
            <w:pPr>
              <w:jc w:val="center"/>
              <w:ind w:left="329"/>
              <w:spacing w:after="0" w:line="152" w:lineRule="exact"/>
              <w:rPr>
                <w:sz w:val="20"/>
                <w:szCs w:val="20"/>
                <w:color w:val="auto"/>
              </w:rPr>
            </w:pPr>
            <w:r>
              <w:rPr>
                <w:rFonts w:ascii="Times New Roman" w:cs="Times New Roman" w:eastAsia="Times New Roman" w:hAnsi="Times New Roman"/>
                <w:sz w:val="14"/>
                <w:szCs w:val="14"/>
                <w:color w:val="auto"/>
              </w:rPr>
              <w:t>001-39049</w:t>
            </w:r>
          </w:p>
        </w:tc>
        <w:tc>
          <w:tcPr>
            <w:tcW w:w="1060" w:type="dxa"/>
            <w:vAlign w:val="bottom"/>
          </w:tcPr>
          <w:p>
            <w:pPr>
              <w:jc w:val="center"/>
              <w:ind w:left="329"/>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480" w:type="dxa"/>
            <w:vAlign w:val="bottom"/>
          </w:tcPr>
          <w:p>
            <w:pPr>
              <w:jc w:val="center"/>
              <w:ind w:left="109"/>
              <w:spacing w:after="0" w:line="152" w:lineRule="exact"/>
              <w:rPr>
                <w:sz w:val="20"/>
                <w:szCs w:val="20"/>
                <w:color w:val="auto"/>
              </w:rPr>
            </w:pPr>
            <w:r>
              <w:rPr>
                <w:rFonts w:ascii="Times New Roman" w:cs="Times New Roman" w:eastAsia="Times New Roman" w:hAnsi="Times New Roman"/>
                <w:sz w:val="14"/>
                <w:szCs w:val="14"/>
                <w:color w:val="auto"/>
              </w:rPr>
              <w:t>9/23/2019</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1">
              <w:r>
                <w:rPr>
                  <w:rFonts w:ascii="Times New Roman" w:cs="Times New Roman" w:eastAsia="Times New Roman" w:hAnsi="Times New Roman"/>
                  <w:sz w:val="14"/>
                  <w:szCs w:val="14"/>
                  <w:color w:val="0000FF"/>
                </w:rPr>
                <w:t>Amended Restated Bylaws.</w:t>
              </w:r>
            </w:hyperlink>
          </w:p>
        </w:tc>
        <w:tc>
          <w:tcPr>
            <w:tcW w:w="92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8-K</w:t>
            </w:r>
          </w:p>
        </w:tc>
        <w:tc>
          <w:tcPr>
            <w:tcW w:w="150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001-39049</w:t>
            </w:r>
          </w:p>
        </w:tc>
        <w:tc>
          <w:tcPr>
            <w:tcW w:w="1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3.1</w:t>
            </w:r>
          </w:p>
        </w:tc>
        <w:tc>
          <w:tcPr>
            <w:tcW w:w="14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3/22/2021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2">
              <w:r>
                <w:rPr>
                  <w:rFonts w:ascii="Times New Roman" w:cs="Times New Roman" w:eastAsia="Times New Roman" w:hAnsi="Times New Roman"/>
                  <w:sz w:val="14"/>
                  <w:szCs w:val="14"/>
                  <w:color w:val="0000FF"/>
                </w:rPr>
                <w:t>Specimen stock certificate evidencing the shares of common</w:t>
              </w:r>
            </w:hyperlink>
          </w:p>
        </w:tc>
        <w:tc>
          <w:tcPr>
            <w:tcW w:w="92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S-1/A</w:t>
            </w:r>
          </w:p>
        </w:tc>
        <w:tc>
          <w:tcPr>
            <w:tcW w:w="150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color w:val="auto"/>
              </w:rPr>
              <w:t>333-233446</w:t>
            </w:r>
          </w:p>
        </w:tc>
        <w:tc>
          <w:tcPr>
            <w:tcW w:w="106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color w:val="auto"/>
              </w:rPr>
              <w:t>4.1</w:t>
            </w:r>
          </w:p>
        </w:tc>
        <w:tc>
          <w:tcPr>
            <w:tcW w:w="148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4"/>
                <w:szCs w:val="14"/>
                <w:color w:val="0000FF"/>
                <w:w w:val="96"/>
              </w:rPr>
            </w:pPr>
            <w:hyperlink r:id="rId12">
              <w:r>
                <w:rPr>
                  <w:rFonts w:ascii="Times New Roman" w:cs="Times New Roman" w:eastAsia="Times New Roman" w:hAnsi="Times New Roman"/>
                  <w:sz w:val="14"/>
                  <w:szCs w:val="14"/>
                  <w:color w:val="0000FF"/>
                  <w:w w:val="96"/>
                </w:rPr>
                <w:t>stock.</w:t>
              </w:r>
            </w:hyperlink>
          </w:p>
        </w:tc>
        <w:tc>
          <w:tcPr>
            <w:tcW w:w="3080" w:type="dxa"/>
            <w:vAlign w:val="bottom"/>
            <w:tcBorders>
              <w:top w:val="single" w:sz="8" w:color="0000FF"/>
            </w:tcBorders>
            <w:gridSpan w:val="11"/>
          </w:tcPr>
          <w:p>
            <w:pPr>
              <w:spacing w:after="0"/>
              <w:rPr>
                <w:sz w:val="13"/>
                <w:szCs w:val="13"/>
                <w:color w:val="auto"/>
              </w:rPr>
            </w:pPr>
          </w:p>
        </w:tc>
        <w:tc>
          <w:tcPr>
            <w:tcW w:w="320" w:type="dxa"/>
            <w:vAlign w:val="bottom"/>
            <w:gridSpan w:val="4"/>
          </w:tcPr>
          <w:p>
            <w:pPr>
              <w:spacing w:after="0"/>
              <w:rPr>
                <w:sz w:val="13"/>
                <w:szCs w:val="13"/>
                <w:color w:val="auto"/>
              </w:rPr>
            </w:pPr>
          </w:p>
        </w:tc>
        <w:tc>
          <w:tcPr>
            <w:tcW w:w="9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Opinion of Mintz, Levin, Cohn, Ferris, Glovsky and Popeo, P.C.</w:t>
            </w: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Consent of BDO USA, LLP, independent registered public</w:t>
            </w:r>
          </w:p>
        </w:tc>
        <w:tc>
          <w:tcPr>
            <w:tcW w:w="320" w:type="dxa"/>
            <w:vAlign w:val="bottom"/>
            <w:tcBorders>
              <w:top w:val="single" w:sz="8" w:color="0000FF"/>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96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w w:val="99"/>
              </w:rPr>
              <w:t>accounting firm.</w:t>
            </w:r>
          </w:p>
        </w:tc>
        <w:tc>
          <w:tcPr>
            <w:tcW w:w="2780" w:type="dxa"/>
            <w:vAlign w:val="bottom"/>
            <w:gridSpan w:val="13"/>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Consent of Mintz, Levin, Cohn, Ferris, Glovsky and Popeo, P.C.</w:t>
            </w: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640" w:type="dxa"/>
            <w:vAlign w:val="bottom"/>
            <w:tcBorders>
              <w:top w:val="single" w:sz="8" w:color="0000FF"/>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(included in Exhibit 5.1).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2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Power of Attorney (see signature page)</w:t>
            </w:r>
          </w:p>
        </w:tc>
        <w:tc>
          <w:tcPr>
            <w:tcW w:w="15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3">
              <w:r>
                <w:rPr>
                  <w:rFonts w:ascii="Times New Roman" w:cs="Times New Roman" w:eastAsia="Times New Roman" w:hAnsi="Times New Roman"/>
                  <w:sz w:val="14"/>
                  <w:szCs w:val="14"/>
                  <w:color w:val="0000FF"/>
                </w:rPr>
                <w:t>Exagen Inc. 2019 Incentive Award Plan.</w:t>
              </w:r>
            </w:hyperlink>
          </w:p>
        </w:tc>
        <w:tc>
          <w:tcPr>
            <w:tcW w:w="92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S-1/A</w:t>
            </w:r>
          </w:p>
        </w:tc>
        <w:tc>
          <w:tcPr>
            <w:tcW w:w="15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333-233446</w:t>
            </w:r>
          </w:p>
        </w:tc>
        <w:tc>
          <w:tcPr>
            <w:tcW w:w="1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99.2</w:t>
            </w:r>
          </w:p>
        </w:tc>
        <w:tc>
          <w:tcPr>
            <w:tcW w:w="35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
              <w:r>
                <w:rPr>
                  <w:rFonts w:ascii="Times New Roman" w:cs="Times New Roman" w:eastAsia="Times New Roman" w:hAnsi="Times New Roman"/>
                  <w:sz w:val="14"/>
                  <w:szCs w:val="14"/>
                  <w:color w:val="0000FF"/>
                </w:rPr>
                <w:t>Form of Option Agreement under Exagen Inc. 2019 Incentive</w:t>
              </w:r>
            </w:hyperlink>
          </w:p>
        </w:tc>
        <w:tc>
          <w:tcPr>
            <w:tcW w:w="240" w:type="dxa"/>
            <w:vAlign w:val="bottom"/>
            <w:gridSpan w:val="2"/>
          </w:tcPr>
          <w:p>
            <w:pPr>
              <w:spacing w:after="0"/>
              <w:rPr>
                <w:sz w:val="17"/>
                <w:szCs w:val="17"/>
                <w:color w:val="auto"/>
              </w:rPr>
            </w:pPr>
          </w:p>
        </w:tc>
        <w:tc>
          <w:tcPr>
            <w:tcW w:w="92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S-1/A</w:t>
            </w:r>
          </w:p>
        </w:tc>
        <w:tc>
          <w:tcPr>
            <w:tcW w:w="150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color w:val="auto"/>
              </w:rPr>
              <w:t>333-233446</w:t>
            </w:r>
          </w:p>
        </w:tc>
        <w:tc>
          <w:tcPr>
            <w:tcW w:w="106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700" w:type="dxa"/>
            <w:vAlign w:val="bottom"/>
            <w:tcBorders>
              <w:bottom w:val="single" w:sz="8" w:color="0000FF"/>
            </w:tcBorders>
            <w:gridSpan w:val="2"/>
          </w:tcPr>
          <w:p>
            <w:pPr>
              <w:spacing w:after="0" w:line="152" w:lineRule="exact"/>
              <w:rPr>
                <w:rFonts w:ascii="Times New Roman" w:cs="Times New Roman" w:eastAsia="Times New Roman" w:hAnsi="Times New Roman"/>
                <w:sz w:val="14"/>
                <w:szCs w:val="14"/>
                <w:color w:val="0000FF"/>
                <w:w w:val="97"/>
              </w:rPr>
            </w:pPr>
            <w:hyperlink r:id="rId14">
              <w:r>
                <w:rPr>
                  <w:rFonts w:ascii="Times New Roman" w:cs="Times New Roman" w:eastAsia="Times New Roman" w:hAnsi="Times New Roman"/>
                  <w:sz w:val="14"/>
                  <w:szCs w:val="14"/>
                  <w:color w:val="0000FF"/>
                  <w:w w:val="97"/>
                </w:rPr>
                <w:t>Award Plan.</w:t>
              </w:r>
            </w:hyperlink>
          </w:p>
        </w:tc>
        <w:tc>
          <w:tcPr>
            <w:tcW w:w="3040" w:type="dxa"/>
            <w:vAlign w:val="bottom"/>
            <w:gridSpan w:val="14"/>
          </w:tcPr>
          <w:p>
            <w:pPr>
              <w:spacing w:after="0"/>
              <w:rPr>
                <w:sz w:val="13"/>
                <w:szCs w:val="13"/>
                <w:color w:val="auto"/>
              </w:rPr>
            </w:pPr>
          </w:p>
        </w:tc>
        <w:tc>
          <w:tcPr>
            <w:tcW w:w="9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99.3</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5">
              <w:r>
                <w:rPr>
                  <w:rFonts w:ascii="Times New Roman" w:cs="Times New Roman" w:eastAsia="Times New Roman" w:hAnsi="Times New Roman"/>
                  <w:sz w:val="14"/>
                  <w:szCs w:val="14"/>
                  <w:color w:val="0000FF"/>
                </w:rPr>
                <w:t>Form of Restricted Stock Unit Agreement under Exagen Inc.</w:t>
              </w:r>
            </w:hyperlink>
          </w:p>
        </w:tc>
        <w:tc>
          <w:tcPr>
            <w:tcW w:w="92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10-K</w:t>
            </w:r>
          </w:p>
        </w:tc>
        <w:tc>
          <w:tcPr>
            <w:tcW w:w="150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color w:val="auto"/>
              </w:rPr>
              <w:t>001-39049</w:t>
            </w:r>
          </w:p>
        </w:tc>
        <w:tc>
          <w:tcPr>
            <w:tcW w:w="106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color w:val="auto"/>
              </w:rPr>
              <w:t>10.5</w:t>
            </w:r>
          </w:p>
        </w:tc>
        <w:tc>
          <w:tcPr>
            <w:tcW w:w="148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3/16/2021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15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4"/>
                <w:szCs w:val="14"/>
                <w:color w:val="0000FF"/>
                <w:w w:val="99"/>
              </w:rPr>
            </w:pPr>
            <w:hyperlink r:id="rId15">
              <w:r>
                <w:rPr>
                  <w:rFonts w:ascii="Times New Roman" w:cs="Times New Roman" w:eastAsia="Times New Roman" w:hAnsi="Times New Roman"/>
                  <w:sz w:val="14"/>
                  <w:szCs w:val="14"/>
                  <w:color w:val="0000FF"/>
                  <w:w w:val="99"/>
                </w:rPr>
                <w:t>2019 Incentive Award Plan.</w:t>
              </w:r>
            </w:hyperlink>
          </w:p>
        </w:tc>
        <w:tc>
          <w:tcPr>
            <w:tcW w:w="1860" w:type="dxa"/>
            <w:vAlign w:val="bottom"/>
            <w:tcBorders>
              <w:top w:val="single" w:sz="8" w:color="0000FF"/>
            </w:tcBorders>
            <w:gridSpan w:val="7"/>
          </w:tcPr>
          <w:p>
            <w:pPr>
              <w:spacing w:after="0"/>
              <w:rPr>
                <w:sz w:val="13"/>
                <w:szCs w:val="13"/>
                <w:color w:val="auto"/>
              </w:rPr>
            </w:pPr>
          </w:p>
        </w:tc>
        <w:tc>
          <w:tcPr>
            <w:tcW w:w="300" w:type="dxa"/>
            <w:vAlign w:val="bottom"/>
            <w:gridSpan w:val="3"/>
          </w:tcPr>
          <w:p>
            <w:pPr>
              <w:spacing w:after="0"/>
              <w:rPr>
                <w:sz w:val="13"/>
                <w:szCs w:val="13"/>
                <w:color w:val="auto"/>
              </w:rPr>
            </w:pPr>
          </w:p>
        </w:tc>
        <w:tc>
          <w:tcPr>
            <w:tcW w:w="9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99.4</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6">
              <w:r>
                <w:rPr>
                  <w:rFonts w:ascii="Times New Roman" w:cs="Times New Roman" w:eastAsia="Times New Roman" w:hAnsi="Times New Roman"/>
                  <w:sz w:val="14"/>
                  <w:szCs w:val="14"/>
                  <w:color w:val="0000FF"/>
                </w:rPr>
                <w:t>Exagen Inc. 2019 Employee Stock Purchase Plan.</w:t>
              </w:r>
            </w:hyperlink>
          </w:p>
        </w:tc>
        <w:tc>
          <w:tcPr>
            <w:tcW w:w="92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S-1/A</w:t>
            </w:r>
          </w:p>
        </w:tc>
        <w:tc>
          <w:tcPr>
            <w:tcW w:w="15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333-233446</w:t>
            </w:r>
          </w:p>
        </w:tc>
        <w:tc>
          <w:tcPr>
            <w:tcW w:w="1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10.5</w:t>
            </w:r>
          </w:p>
        </w:tc>
        <w:tc>
          <w:tcPr>
            <w:tcW w:w="14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92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Vista, State of California, on May 11, 2022.</w:t>
      </w:r>
    </w:p>
    <w:p>
      <w:pPr>
        <w:spacing w:after="0" w:line="25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325" w:lineRule="exact"/>
        <w:rPr>
          <w:sz w:val="20"/>
          <w:szCs w:val="20"/>
          <w:color w:val="auto"/>
        </w:rPr>
      </w:pPr>
    </w:p>
    <w:p>
      <w:pPr>
        <w:ind w:left="65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31750</wp:posOffset>
            </wp:positionV>
            <wp:extent cx="2583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5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Fortunato Ron Rocca</w:t>
      </w:r>
    </w:p>
    <w:p>
      <w:pPr>
        <w:spacing w:after="0" w:line="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3"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Fortunato Ron Rocca and Kamal Adawi,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6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1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Fortunato Ron Rocca</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Fortunato Ron Rocca</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Kamal Adawi</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Chief Financial Officer and Corporate Secretary</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Kamal Adawi</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Brian Birk</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Birk</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Ana Hooker</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Ana Hooker</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Wendy S. Johnson</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Wendy S. Johnson</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Tina S. Nova,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Tina S. Nova,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Ebetuel Pallares,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Ebetuel Pallares,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Bruce C. Robertson,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Bruce C. Robertson,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Frank Stokes</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Frank Stokes</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James L.L. Tullis</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11, 2022</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L.L. Tullis</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ectPr>
          <w:pgSz w:w="11900" w:h="16838" w:orient="portrait"/>
          <w:cols w:equalWidth="0" w:num="1">
            <w:col w:w="11020"/>
          </w:cols>
          <w:pgMar w:left="640" w:top="1440"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S-8</w:t>
      </w: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Exagen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1: Newly Registered</w:t>
      </w:r>
    </w:p>
    <w:p>
      <w:pPr>
        <w:spacing w:after="0" w:line="23" w:lineRule="exact"/>
        <w:rPr>
          <w:sz w:val="20"/>
          <w:szCs w:val="20"/>
          <w:color w:val="auto"/>
        </w:rPr>
      </w:pPr>
    </w:p>
    <w:tbl>
      <w:tblPr>
        <w:tblLayout w:type="fixed"/>
        <w:tblInd w:w="30" w:type="dxa"/>
        <w:tblCellMar>
          <w:top w:w="0" w:type="dxa"/>
          <w:left w:w="0" w:type="dxa"/>
          <w:bottom w:w="0" w:type="dxa"/>
          <w:right w:w="0" w:type="dxa"/>
        </w:tblCellMar>
      </w:tblPr>
      <w:tr>
        <w:trPr>
          <w:trHeight w:val="119"/>
        </w:trPr>
        <w:tc>
          <w:tcPr>
            <w:tcW w:w="1000" w:type="dxa"/>
            <w:vAlign w:val="bottom"/>
            <w:tcBorders>
              <w:top w:val="single" w:sz="8" w:color="auto"/>
              <w:left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1360" w:type="dxa"/>
            <w:vAlign w:val="bottom"/>
            <w:tcBorders>
              <w:top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 Aggregate</w:t>
            </w:r>
          </w:p>
        </w:tc>
        <w:tc>
          <w:tcPr>
            <w:tcW w:w="1420" w:type="dxa"/>
            <w:vAlign w:val="bottom"/>
            <w:tcBorders>
              <w:top w:val="single" w:sz="8" w:color="auto"/>
              <w:right w:val="single" w:sz="8" w:color="auto"/>
            </w:tcBorders>
          </w:tcPr>
          <w:p>
            <w:pPr>
              <w:spacing w:after="0"/>
              <w:rPr>
                <w:sz w:val="10"/>
                <w:szCs w:val="10"/>
                <w:color w:val="auto"/>
              </w:rPr>
            </w:pPr>
          </w:p>
        </w:tc>
        <w:tc>
          <w:tcPr>
            <w:tcW w:w="17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80" w:type="dxa"/>
            <w:vAlign w:val="bottom"/>
          </w:tcPr>
          <w:p>
            <w:pPr>
              <w:spacing w:after="0"/>
              <w:rPr>
                <w:sz w:val="10"/>
                <w:szCs w:val="10"/>
                <w:color w:val="auto"/>
              </w:rPr>
            </w:pPr>
          </w:p>
        </w:tc>
        <w:tc>
          <w:tcPr>
            <w:tcW w:w="11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w w:val="99"/>
              </w:rPr>
              <w:t>Security Class Title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Calculation Rule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Registered(1)</w:t>
            </w:r>
          </w:p>
        </w:tc>
        <w:tc>
          <w:tcPr>
            <w:tcW w:w="13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Offering Price Per</w:t>
            </w:r>
          </w:p>
        </w:tc>
        <w:tc>
          <w:tcPr>
            <w:tcW w:w="186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Amount of Registration Fee</w:t>
            </w:r>
          </w:p>
        </w:tc>
        <w:tc>
          <w:tcPr>
            <w:tcW w:w="0" w:type="dxa"/>
            <w:vAlign w:val="bottom"/>
          </w:tcPr>
          <w:p>
            <w:pPr>
              <w:spacing w:after="0"/>
              <w:rPr>
                <w:sz w:val="1"/>
                <w:szCs w:val="1"/>
                <w:color w:val="auto"/>
              </w:rPr>
            </w:pPr>
          </w:p>
        </w:tc>
      </w:tr>
      <w:tr>
        <w:trPr>
          <w:trHeight w:val="167"/>
        </w:trPr>
        <w:tc>
          <w:tcPr>
            <w:tcW w:w="10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Unit(4)</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w:t>
            </w: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1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000" w:type="dxa"/>
            <w:vAlign w:val="bottom"/>
            <w:tcBorders>
              <w:left w:val="single" w:sz="8" w:color="auto"/>
              <w:right w:val="single" w:sz="8" w:color="auto"/>
            </w:tcBorders>
          </w:tcPr>
          <w:p>
            <w:pPr>
              <w:ind w:left="260"/>
              <w:spacing w:after="0" w:line="197"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7"/>
                <w:szCs w:val="17"/>
                <w:color w:val="auto"/>
              </w:rPr>
            </w:pPr>
          </w:p>
        </w:tc>
        <w:tc>
          <w:tcPr>
            <w:tcW w:w="1140" w:type="dxa"/>
            <w:vAlign w:val="bottom"/>
            <w:tcBorders>
              <w:right w:val="single" w:sz="8" w:color="auto"/>
            </w:tcBorders>
          </w:tcPr>
          <w:p>
            <w:pPr>
              <w:jc w:val="right"/>
              <w:ind w:right="15"/>
              <w:spacing w:after="0" w:line="197" w:lineRule="exact"/>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457(c)</w:t>
            </w:r>
          </w:p>
        </w:tc>
        <w:tc>
          <w:tcPr>
            <w:tcW w:w="13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646,599 (2)</w:t>
            </w:r>
          </w:p>
        </w:tc>
        <w:tc>
          <w:tcPr>
            <w:tcW w:w="13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$5.91</w:t>
            </w:r>
          </w:p>
        </w:tc>
        <w:tc>
          <w:tcPr>
            <w:tcW w:w="18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6"/>
              </w:rPr>
              <w:t>$3,821,400.09</w:t>
            </w:r>
          </w:p>
        </w:tc>
        <w:tc>
          <w:tcPr>
            <w:tcW w:w="14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$0.0000927</w:t>
            </w:r>
          </w:p>
        </w:tc>
        <w:tc>
          <w:tcPr>
            <w:tcW w:w="17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$354.24</w:t>
            </w:r>
          </w:p>
        </w:tc>
        <w:tc>
          <w:tcPr>
            <w:tcW w:w="0" w:type="dxa"/>
            <w:vAlign w:val="bottom"/>
          </w:tcPr>
          <w:p>
            <w:pPr>
              <w:spacing w:after="0"/>
              <w:rPr>
                <w:sz w:val="1"/>
                <w:szCs w:val="1"/>
                <w:color w:val="auto"/>
              </w:rPr>
            </w:pPr>
          </w:p>
        </w:tc>
      </w:tr>
      <w:tr>
        <w:trPr>
          <w:trHeight w:val="159"/>
        </w:trPr>
        <w:tc>
          <w:tcPr>
            <w:tcW w:w="10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right w:val="single" w:sz="8" w:color="auto"/>
            </w:tcBorders>
          </w:tcPr>
          <w:p>
            <w:pPr>
              <w:jc w:val="right"/>
              <w:ind w:right="15"/>
              <w:spacing w:after="0" w:line="159" w:lineRule="exact"/>
              <w:rPr>
                <w:sz w:val="20"/>
                <w:szCs w:val="20"/>
                <w:color w:val="auto"/>
              </w:rPr>
            </w:pPr>
            <w:r>
              <w:rPr>
                <w:rFonts w:ascii="Times New Roman" w:cs="Times New Roman" w:eastAsia="Times New Roman" w:hAnsi="Times New Roman"/>
                <w:sz w:val="18"/>
                <w:szCs w:val="18"/>
                <w:color w:val="auto"/>
              </w:rPr>
              <w:t>Stock, par</w:t>
            </w:r>
          </w:p>
        </w:tc>
        <w:tc>
          <w:tcPr>
            <w:tcW w:w="13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w w:val="99"/>
              </w:rPr>
              <w:t>and</w:t>
            </w:r>
          </w:p>
        </w:tc>
        <w:tc>
          <w:tcPr>
            <w:tcW w:w="13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right w:val="single" w:sz="8" w:color="auto"/>
            </w:tcBorders>
          </w:tcPr>
          <w:p>
            <w:pPr>
              <w:jc w:val="right"/>
              <w:ind w:right="15"/>
              <w:spacing w:after="0" w:line="172" w:lineRule="exact"/>
              <w:rPr>
                <w:sz w:val="20"/>
                <w:szCs w:val="20"/>
                <w:color w:val="auto"/>
              </w:rPr>
            </w:pPr>
            <w:r>
              <w:rPr>
                <w:rFonts w:ascii="Times New Roman" w:cs="Times New Roman" w:eastAsia="Times New Roman" w:hAnsi="Times New Roman"/>
                <w:sz w:val="18"/>
                <w:szCs w:val="18"/>
                <w:color w:val="auto"/>
              </w:rPr>
              <w:t>value $0.001</w:t>
            </w:r>
          </w:p>
        </w:tc>
        <w:tc>
          <w:tcPr>
            <w:tcW w:w="13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457(h)</w:t>
            </w:r>
          </w:p>
        </w:tc>
        <w:tc>
          <w:tcPr>
            <w:tcW w:w="1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per share</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000" w:type="dxa"/>
            <w:vAlign w:val="bottom"/>
            <w:tcBorders>
              <w:left w:val="single" w:sz="8" w:color="auto"/>
              <w:right w:val="single" w:sz="8" w:color="auto"/>
            </w:tcBorders>
          </w:tcPr>
          <w:p>
            <w:pPr>
              <w:ind w:left="260"/>
              <w:spacing w:after="0" w:line="192"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6"/>
                <w:szCs w:val="16"/>
                <w:color w:val="auto"/>
              </w:rPr>
            </w:pPr>
          </w:p>
        </w:tc>
        <w:tc>
          <w:tcPr>
            <w:tcW w:w="1140" w:type="dxa"/>
            <w:vAlign w:val="bottom"/>
            <w:tcBorders>
              <w:right w:val="single" w:sz="8" w:color="auto"/>
            </w:tcBorders>
          </w:tcPr>
          <w:p>
            <w:pPr>
              <w:jc w:val="right"/>
              <w:ind w:right="15"/>
              <w:spacing w:after="0" w:line="192" w:lineRule="exact"/>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457(c)</w:t>
            </w:r>
          </w:p>
        </w:tc>
        <w:tc>
          <w:tcPr>
            <w:tcW w:w="13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161,649 (3)</w:t>
            </w:r>
          </w:p>
        </w:tc>
        <w:tc>
          <w:tcPr>
            <w:tcW w:w="136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$5.91</w:t>
            </w:r>
          </w:p>
        </w:tc>
        <w:tc>
          <w:tcPr>
            <w:tcW w:w="186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$955,345.59</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$0.0000927</w:t>
            </w:r>
          </w:p>
        </w:tc>
        <w:tc>
          <w:tcPr>
            <w:tcW w:w="17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$88.56</w:t>
            </w:r>
          </w:p>
        </w:tc>
        <w:tc>
          <w:tcPr>
            <w:tcW w:w="0" w:type="dxa"/>
            <w:vAlign w:val="bottom"/>
          </w:tcPr>
          <w:p>
            <w:pPr>
              <w:spacing w:after="0"/>
              <w:rPr>
                <w:sz w:val="1"/>
                <w:szCs w:val="1"/>
                <w:color w:val="auto"/>
              </w:rPr>
            </w:pPr>
          </w:p>
        </w:tc>
      </w:tr>
      <w:tr>
        <w:trPr>
          <w:trHeight w:val="159"/>
        </w:trPr>
        <w:tc>
          <w:tcPr>
            <w:tcW w:w="10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right w:val="single" w:sz="8" w:color="auto"/>
            </w:tcBorders>
          </w:tcPr>
          <w:p>
            <w:pPr>
              <w:jc w:val="right"/>
              <w:ind w:right="15"/>
              <w:spacing w:after="0" w:line="159" w:lineRule="exact"/>
              <w:rPr>
                <w:sz w:val="20"/>
                <w:szCs w:val="20"/>
                <w:color w:val="auto"/>
              </w:rPr>
            </w:pPr>
            <w:r>
              <w:rPr>
                <w:rFonts w:ascii="Times New Roman" w:cs="Times New Roman" w:eastAsia="Times New Roman" w:hAnsi="Times New Roman"/>
                <w:sz w:val="18"/>
                <w:szCs w:val="18"/>
                <w:color w:val="auto"/>
              </w:rPr>
              <w:t>Stock, par</w:t>
            </w:r>
          </w:p>
        </w:tc>
        <w:tc>
          <w:tcPr>
            <w:tcW w:w="13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w w:val="99"/>
              </w:rPr>
              <w:t>and</w:t>
            </w:r>
          </w:p>
        </w:tc>
        <w:tc>
          <w:tcPr>
            <w:tcW w:w="13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right w:val="single" w:sz="8" w:color="auto"/>
            </w:tcBorders>
          </w:tcPr>
          <w:p>
            <w:pPr>
              <w:jc w:val="right"/>
              <w:ind w:right="15"/>
              <w:spacing w:after="0" w:line="172" w:lineRule="exact"/>
              <w:rPr>
                <w:sz w:val="20"/>
                <w:szCs w:val="20"/>
                <w:color w:val="auto"/>
              </w:rPr>
            </w:pPr>
            <w:r>
              <w:rPr>
                <w:rFonts w:ascii="Times New Roman" w:cs="Times New Roman" w:eastAsia="Times New Roman" w:hAnsi="Times New Roman"/>
                <w:sz w:val="18"/>
                <w:szCs w:val="18"/>
                <w:color w:val="auto"/>
              </w:rPr>
              <w:t>value $0.001</w:t>
            </w:r>
          </w:p>
        </w:tc>
        <w:tc>
          <w:tcPr>
            <w:tcW w:w="13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457(h)</w:t>
            </w:r>
          </w:p>
        </w:tc>
        <w:tc>
          <w:tcPr>
            <w:tcW w:w="1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per share</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22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Offering Amount</w:t>
            </w: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$4,776,745.68</w:t>
            </w: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$442.80</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22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22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08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Net Fee Due</w:t>
            </w: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$442.80</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60" w:right="100" w:hanging="456"/>
        <w:spacing w:after="0" w:line="22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also covers an indeterminate number of additional shares of common stock, par value $0.001 per share (“Common Stock”), of Exagen Inc. (the “Registrant”), which may be subject to grant or otherwise issuable after the operation of any anti-dilution and other provisions of the Registrant’s 2019 Incentive Award Plan (the “2019 Plan”), or the Registrant’s 2019 Employee Stock Purchase Plan (the “2019 ESPP”).</w:t>
      </w:r>
    </w:p>
    <w:p>
      <w:pPr>
        <w:spacing w:after="0" w:line="142" w:lineRule="exact"/>
        <w:rPr>
          <w:rFonts w:ascii="Times New Roman" w:cs="Times New Roman" w:eastAsia="Times New Roman" w:hAnsi="Times New Roman"/>
          <w:sz w:val="18"/>
          <w:szCs w:val="18"/>
          <w:color w:val="auto"/>
        </w:rPr>
      </w:pPr>
    </w:p>
    <w:p>
      <w:pPr>
        <w:ind w:left="460" w:right="300" w:hanging="456"/>
        <w:spacing w:after="0" w:line="23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646,599 shares of Common Stock of the Registrant authorized for issuance for compensatory purposes only, as previously authorized under the 2019 Plan as of January 1, 2022, in connection with an “evergreen” provision in the 2019 Plan.</w:t>
      </w:r>
    </w:p>
    <w:p>
      <w:pPr>
        <w:spacing w:after="0" w:line="152" w:lineRule="exact"/>
        <w:rPr>
          <w:rFonts w:ascii="Times New Roman" w:cs="Times New Roman" w:eastAsia="Times New Roman" w:hAnsi="Times New Roman"/>
          <w:sz w:val="18"/>
          <w:szCs w:val="18"/>
          <w:color w:val="auto"/>
        </w:rPr>
      </w:pPr>
    </w:p>
    <w:p>
      <w:pPr>
        <w:ind w:left="460" w:right="300" w:hanging="456"/>
        <w:spacing w:after="0" w:line="23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161,649 shares of Common Stock of the Registrant authorized for issuance for compensatory purposes only, as previously authorized under the 2019 ESPP as of January 1, 2022, in connection with an “evergreen” provision in the 2019 ESPP.</w:t>
      </w:r>
    </w:p>
    <w:p>
      <w:pPr>
        <w:spacing w:after="0" w:line="152" w:lineRule="exact"/>
        <w:rPr>
          <w:rFonts w:ascii="Times New Roman" w:cs="Times New Roman" w:eastAsia="Times New Roman" w:hAnsi="Times New Roman"/>
          <w:sz w:val="18"/>
          <w:szCs w:val="18"/>
          <w:color w:val="auto"/>
        </w:rPr>
      </w:pPr>
    </w:p>
    <w:p>
      <w:pPr>
        <w:ind w:left="460" w:right="220" w:hanging="456"/>
        <w:spacing w:after="0" w:line="22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The offering price per share and the aggregate offering price are based on the average of the high and the low price of the Registrant’s Common Stock as reported on The Nasdaq Global Select Market as of a date (May 6, 2022) within five business days prior to filing this Registration Statement.</w:t>
      </w:r>
    </w:p>
    <w:p>
      <w:pPr>
        <w:sectPr>
          <w:pgSz w:w="11900" w:h="16838" w:orient="portrait"/>
          <w:cols w:equalWidth="0" w:num="1">
            <w:col w:w="11220"/>
          </w:cols>
          <w:pgMar w:left="340" w:top="137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3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3580 Carmel Mountain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-107315</wp:posOffset>
            </wp:positionV>
            <wp:extent cx="706755" cy="89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706755" cy="891540"/>
                    </a:xfrm>
                    <a:prstGeom prst="rect">
                      <a:avLst/>
                    </a:prstGeom>
                    <a:noFill/>
                  </pic:spPr>
                </pic:pic>
              </a:graphicData>
            </a:graphic>
          </wp:anchor>
        </w:drawing>
      </w:r>
    </w:p>
    <w:p>
      <w:pPr>
        <w:jc w:val="right"/>
        <w:ind w:right="20"/>
        <w:spacing w:after="0" w:line="232" w:lineRule="auto"/>
        <w:rPr>
          <w:sz w:val="20"/>
          <w:szCs w:val="20"/>
          <w:color w:val="auto"/>
        </w:rPr>
      </w:pPr>
      <w:r>
        <w:rPr>
          <w:rFonts w:ascii="Times New Roman" w:cs="Times New Roman" w:eastAsia="Times New Roman" w:hAnsi="Times New Roman"/>
          <w:sz w:val="16"/>
          <w:szCs w:val="16"/>
          <w:color w:val="auto"/>
        </w:rPr>
        <w:t>Suite 300</w:t>
      </w:r>
    </w:p>
    <w:p>
      <w:pPr>
        <w:jc w:val="right"/>
        <w:ind w:right="20"/>
        <w:spacing w:after="0" w:line="225" w:lineRule="auto"/>
        <w:rPr>
          <w:sz w:val="20"/>
          <w:szCs w:val="20"/>
          <w:color w:val="auto"/>
        </w:rPr>
      </w:pPr>
      <w:r>
        <w:rPr>
          <w:rFonts w:ascii="Times New Roman" w:cs="Times New Roman" w:eastAsia="Times New Roman" w:hAnsi="Times New Roman"/>
          <w:sz w:val="16"/>
          <w:szCs w:val="16"/>
          <w:color w:val="auto"/>
        </w:rPr>
        <w:t>San Diego, CA 92130</w:t>
      </w:r>
    </w:p>
    <w:p>
      <w:pPr>
        <w:jc w:val="right"/>
        <w:ind w:right="20"/>
        <w:spacing w:after="0"/>
        <w:rPr>
          <w:sz w:val="20"/>
          <w:szCs w:val="20"/>
          <w:color w:val="auto"/>
        </w:rPr>
      </w:pPr>
      <w:r>
        <w:rPr>
          <w:rFonts w:ascii="Times New Roman" w:cs="Times New Roman" w:eastAsia="Times New Roman" w:hAnsi="Times New Roman"/>
          <w:sz w:val="16"/>
          <w:szCs w:val="16"/>
          <w:color w:val="auto"/>
        </w:rPr>
        <w:t>858 314 1500</w:t>
      </w:r>
    </w:p>
    <w:p>
      <w:pPr>
        <w:spacing w:after="0" w:line="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May 11,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Exagen Inc.</w:t>
      </w:r>
    </w:p>
    <w:p>
      <w:pPr>
        <w:spacing w:after="0" w:line="218" w:lineRule="auto"/>
        <w:rPr>
          <w:sz w:val="20"/>
          <w:szCs w:val="20"/>
          <w:color w:val="auto"/>
        </w:rPr>
      </w:pPr>
      <w:r>
        <w:rPr>
          <w:rFonts w:ascii="Times New Roman" w:cs="Times New Roman" w:eastAsia="Times New Roman" w:hAnsi="Times New Roman"/>
          <w:sz w:val="19"/>
          <w:szCs w:val="19"/>
          <w:color w:val="auto"/>
        </w:rPr>
        <w:t>1261 Liberty Way</w:t>
      </w:r>
    </w:p>
    <w:p>
      <w:pPr>
        <w:spacing w:after="0"/>
        <w:rPr>
          <w:sz w:val="20"/>
          <w:szCs w:val="20"/>
          <w:color w:val="auto"/>
        </w:rPr>
      </w:pPr>
      <w:r>
        <w:rPr>
          <w:rFonts w:ascii="Times New Roman" w:cs="Times New Roman" w:eastAsia="Times New Roman" w:hAnsi="Times New Roman"/>
          <w:sz w:val="19"/>
          <w:szCs w:val="19"/>
          <w:color w:val="auto"/>
        </w:rPr>
        <w:t>Vista, CA 92081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179" w:lineRule="exact"/>
        <w:rPr>
          <w:sz w:val="20"/>
          <w:szCs w:val="20"/>
          <w:color w:val="auto"/>
        </w:rPr>
      </w:pPr>
    </w:p>
    <w:p>
      <w:pPr>
        <w:jc w:val="both"/>
        <w:ind w:firstLine="831"/>
        <w:spacing w:after="0" w:line="230" w:lineRule="auto"/>
        <w:rPr>
          <w:sz w:val="20"/>
          <w:szCs w:val="20"/>
          <w:color w:val="auto"/>
        </w:rPr>
      </w:pPr>
      <w:r>
        <w:rPr>
          <w:rFonts w:ascii="Times New Roman" w:cs="Times New Roman" w:eastAsia="Times New Roman" w:hAnsi="Times New Roman"/>
          <w:sz w:val="19"/>
          <w:szCs w:val="19"/>
          <w:color w:val="auto"/>
        </w:rPr>
        <w:t>We have acted as legal counsel to Exagen Inc., a Delaware corporation (the “Company”), in connection with the preparation and filing with the Securities and Exchange Commission (the “Commission”) of a Registration Statement on Form S-8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“Registration Statement”), pursuant to which the Company is registering the issuance under the Securities Act of 1933, as amended (the “Securities Act”), of an aggregate of 808,248 shares (the “Shares”) of the Company’s common stock, $0.001 par value per share, in accordance</w:t>
      </w:r>
    </w:p>
    <w:p>
      <w:pPr>
        <w:jc w:val="both"/>
        <w:spacing w:after="0" w:line="236" w:lineRule="auto"/>
        <w:rPr>
          <w:sz w:val="20"/>
          <w:szCs w:val="20"/>
          <w:color w:val="auto"/>
        </w:rPr>
      </w:pPr>
      <w:r>
        <w:rPr>
          <w:rFonts w:ascii="Times New Roman" w:cs="Times New Roman" w:eastAsia="Times New Roman" w:hAnsi="Times New Roman"/>
          <w:sz w:val="19"/>
          <w:szCs w:val="19"/>
          <w:color w:val="auto"/>
        </w:rPr>
        <w:t>with the terms of the Exagen Inc. 2019 Incentive Award Plan and the Exagen Inc. 2019 Employee Stock Purchase Plan (together, the “Plans”). This opinion is being rendered in connection with the filing of the Registration Statement with the Commission.</w:t>
      </w:r>
    </w:p>
    <w:p>
      <w:pPr>
        <w:spacing w:after="0" w:line="145" w:lineRule="exact"/>
        <w:rPr>
          <w:sz w:val="20"/>
          <w:szCs w:val="20"/>
          <w:color w:val="auto"/>
        </w:rPr>
      </w:pPr>
    </w:p>
    <w:p>
      <w:pPr>
        <w:jc w:val="both"/>
        <w:ind w:firstLine="831"/>
        <w:spacing w:after="0" w:line="238" w:lineRule="auto"/>
        <w:rPr>
          <w:sz w:val="20"/>
          <w:szCs w:val="20"/>
          <w:color w:val="auto"/>
        </w:rPr>
      </w:pPr>
      <w:r>
        <w:rPr>
          <w:rFonts w:ascii="Times New Roman" w:cs="Times New Roman" w:eastAsia="Times New Roman" w:hAnsi="Times New Roman"/>
          <w:sz w:val="19"/>
          <w:szCs w:val="19"/>
          <w:color w:val="auto"/>
        </w:rPr>
        <w:t>In connection with this opinion, we have examined the Company’s Amended and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45" w:lineRule="exact"/>
        <w:rPr>
          <w:sz w:val="20"/>
          <w:szCs w:val="20"/>
          <w:color w:val="auto"/>
        </w:rPr>
      </w:pPr>
    </w:p>
    <w:p>
      <w:pPr>
        <w:jc w:val="both"/>
        <w:ind w:firstLine="831"/>
        <w:spacing w:after="0" w:line="230" w:lineRule="auto"/>
        <w:rPr>
          <w:sz w:val="20"/>
          <w:szCs w:val="20"/>
          <w:color w:val="auto"/>
        </w:rPr>
      </w:pPr>
      <w:r>
        <w:rPr>
          <w:rFonts w:ascii="Times New Roman" w:cs="Times New Roman" w:eastAsia="Times New Roman" w:hAnsi="Times New Roman"/>
          <w:sz w:val="19"/>
          <w:szCs w:val="19"/>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originals of such copies, and the truth and correctness of any representations and warranties contained therein. In addition, we have assumed that the Company will receive any required consideration in accordance with the terms of the Plans.</w:t>
      </w:r>
    </w:p>
    <w:p>
      <w:pPr>
        <w:spacing w:after="0" w:line="159" w:lineRule="exact"/>
        <w:rPr>
          <w:sz w:val="20"/>
          <w:szCs w:val="20"/>
          <w:color w:val="auto"/>
        </w:rPr>
      </w:pPr>
    </w:p>
    <w:p>
      <w:pPr>
        <w:jc w:val="both"/>
        <w:ind w:firstLine="831"/>
        <w:spacing w:after="0" w:line="223" w:lineRule="auto"/>
        <w:rPr>
          <w:sz w:val="20"/>
          <w:szCs w:val="20"/>
          <w:color w:val="auto"/>
        </w:rPr>
      </w:pPr>
      <w:r>
        <w:rPr>
          <w:rFonts w:ascii="Times New Roman" w:cs="Times New Roman" w:eastAsia="Times New Roman" w:hAnsi="Times New Roman"/>
          <w:sz w:val="19"/>
          <w:szCs w:val="19"/>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w:t>
      </w:r>
    </w:p>
    <w:p>
      <w:pPr>
        <w:spacing w:after="0"/>
        <w:rPr>
          <w:sz w:val="20"/>
          <w:szCs w:val="20"/>
          <w:color w:val="auto"/>
        </w:rPr>
      </w:pPr>
      <w:r>
        <w:rPr>
          <w:rFonts w:ascii="Times New Roman" w:cs="Times New Roman" w:eastAsia="Times New Roman" w:hAnsi="Times New Roman"/>
          <w:sz w:val="19"/>
          <w:szCs w:val="19"/>
          <w:color w:val="auto"/>
        </w:rPr>
        <w:t>or blue sky laws of any state or any foreign jurisdiction.</w:t>
      </w:r>
    </w:p>
    <w:p>
      <w:pPr>
        <w:spacing w:after="0" w:line="170" w:lineRule="exact"/>
        <w:rPr>
          <w:sz w:val="20"/>
          <w:szCs w:val="20"/>
          <w:color w:val="auto"/>
        </w:rPr>
      </w:pPr>
    </w:p>
    <w:p>
      <w:pPr>
        <w:jc w:val="both"/>
        <w:ind w:firstLine="831"/>
        <w:spacing w:after="0" w:line="223" w:lineRule="auto"/>
        <w:rPr>
          <w:sz w:val="20"/>
          <w:szCs w:val="20"/>
          <w:color w:val="auto"/>
        </w:rPr>
      </w:pPr>
      <w:r>
        <w:rPr>
          <w:rFonts w:ascii="Times New Roman" w:cs="Times New Roman" w:eastAsia="Times New Roman" w:hAnsi="Times New Roman"/>
          <w:sz w:val="19"/>
          <w:szCs w:val="19"/>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w:t>
      </w:r>
    </w:p>
    <w:p>
      <w:pPr>
        <w:jc w:val="both"/>
        <w:spacing w:after="0" w:line="236" w:lineRule="auto"/>
        <w:rPr>
          <w:sz w:val="20"/>
          <w:szCs w:val="20"/>
          <w:color w:val="auto"/>
        </w:rPr>
      </w:pPr>
      <w:r>
        <w:rPr>
          <w:rFonts w:ascii="Times New Roman" w:cs="Times New Roman" w:eastAsia="Times New Roman" w:hAnsi="Times New Roman"/>
          <w:sz w:val="19"/>
          <w:szCs w:val="19"/>
          <w:color w:val="auto"/>
        </w:rPr>
        <w:t>advise you of any change in any of these sources of law or subsequent legal or factual developments which might affect any matters or opinions set forth herein.</w:t>
      </w:r>
    </w:p>
    <w:p>
      <w:pPr>
        <w:spacing w:after="0" w:line="145" w:lineRule="exact"/>
        <w:rPr>
          <w:sz w:val="20"/>
          <w:szCs w:val="20"/>
          <w:color w:val="auto"/>
        </w:rPr>
      </w:pPr>
    </w:p>
    <w:p>
      <w:pPr>
        <w:jc w:val="both"/>
        <w:ind w:firstLine="831"/>
        <w:spacing w:after="0" w:line="256" w:lineRule="auto"/>
        <w:rPr>
          <w:sz w:val="20"/>
          <w:szCs w:val="20"/>
          <w:color w:val="auto"/>
        </w:rPr>
      </w:pPr>
      <w:r>
        <w:rPr>
          <w:rFonts w:ascii="Times New Roman" w:cs="Times New Roman" w:eastAsia="Times New Roman" w:hAnsi="Times New Roman"/>
          <w:sz w:val="19"/>
          <w:szCs w:val="19"/>
          <w:color w:val="auto"/>
        </w:rPr>
        <w:t>Based upon the foregoing, we are of the opinion that the Shares, when issued and delivered in accordance with the terms of the Plans, will be validly issued, fully paid and non-assessable.</w:t>
      </w:r>
    </w:p>
    <w:p>
      <w:pPr>
        <w:spacing w:after="0" w:line="143" w:lineRule="exact"/>
        <w:rPr>
          <w:sz w:val="20"/>
          <w:szCs w:val="20"/>
          <w:color w:val="auto"/>
        </w:rPr>
      </w:pPr>
    </w:p>
    <w:p>
      <w:pPr>
        <w:jc w:val="both"/>
        <w:ind w:firstLine="831"/>
        <w:spacing w:after="0" w:line="241" w:lineRule="auto"/>
        <w:rPr>
          <w:sz w:val="20"/>
          <w:szCs w:val="20"/>
          <w:color w:val="auto"/>
        </w:rPr>
      </w:pPr>
      <w:r>
        <w:rPr>
          <w:rFonts w:ascii="Times New Roman" w:cs="Times New Roman" w:eastAsia="Times New Roman" w:hAnsi="Times New Roman"/>
          <w:sz w:val="19"/>
          <w:szCs w:val="19"/>
          <w:color w:val="auto"/>
        </w:rPr>
        <w:t>We understand that you wish to file this opinion with the Commission as an exhibit to the Registration Statement in accordance with the requirements of Item 601(b)(5)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720090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tabs>
          <w:tab w:leader="none" w:pos="260" w:val="left"/>
          <w:tab w:leader="none" w:pos="260" w:val="left"/>
          <w:tab w:leader="none" w:pos="260" w:val="left"/>
          <w:tab w:leader="none" w:pos="260" w:val="left"/>
          <w:tab w:leader="none" w:pos="260" w:val="left"/>
          <w:tab w:leader="none" w:pos="22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3"/>
          <w:szCs w:val="13"/>
          <w:color w:val="auto"/>
        </w:rPr>
        <w:t>WASHINGTON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MINTZ</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May 11, 2022</w:t>
      </w: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6776720</wp:posOffset>
            </wp:positionH>
            <wp:positionV relativeFrom="paragraph">
              <wp:posOffset>-12700</wp:posOffset>
            </wp:positionV>
            <wp:extent cx="361950"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619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9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/s/ Mintz, Levin, Cohn, Ferris, Glovsky and Popeo, P.C.</w:t>
      </w:r>
    </w:p>
    <w:p>
      <w:pPr>
        <w:spacing w:after="0" w:line="17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Mintz, Levin, Cohn, Ferris, Glovsky and Popeo, P.C.</w:t>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Exagen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 California</w:t>
      </w:r>
    </w:p>
    <w:p>
      <w:pPr>
        <w:spacing w:after="0" w:line="1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our report dated March 22, 2022, relating to the financial statements of Exagen Inc. (the "Company"), appearing in the Company’s Annual Report on Form 10-K for the year ended December 31,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2022</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jpeg"/><Relationship Id="rId19" Type="http://schemas.openxmlformats.org/officeDocument/2006/relationships/image" Target="media/image5.png"/><Relationship Id="rId20" Type="http://schemas.openxmlformats.org/officeDocument/2006/relationships/image" Target="media/image6.jpeg"/><Relationship Id="rId10" Type="http://schemas.openxmlformats.org/officeDocument/2006/relationships/hyperlink" Target="http://www.sec.gov/Archives/edgar/data/1274737/000119312519252366/d769261dex31.htm" TargetMode="External"/><Relationship Id="rId11" Type="http://schemas.openxmlformats.org/officeDocument/2006/relationships/hyperlink" Target="http://www.sec.gov/Archives/edgar/data/1274737/000127473721000017/ex31-amendedandrestatedbyl.htm" TargetMode="External"/><Relationship Id="rId12" Type="http://schemas.openxmlformats.org/officeDocument/2006/relationships/hyperlink" Target="http://www.sec.gov/Archives/edgar/data/1274737/000119312519240403/d692844dex41.htm" TargetMode="External"/><Relationship Id="rId13" Type="http://schemas.openxmlformats.org/officeDocument/2006/relationships/hyperlink" Target="http://www.sec.gov/Archives/edgar/data/1274737/000119312519240403/d692844dex103.htm" TargetMode="External"/><Relationship Id="rId14" Type="http://schemas.openxmlformats.org/officeDocument/2006/relationships/hyperlink" Target="http://www.sec.gov/Archives/edgar/data/1274737/000119312519240403/d692844dex104.htm" TargetMode="External"/><Relationship Id="rId15" Type="http://schemas.openxmlformats.org/officeDocument/2006/relationships/hyperlink" Target="http://www.sec.gov/Archives/edgar/data/1274737/000127473721000015/ex105-formofrsuagreement20.htm" TargetMode="External"/><Relationship Id="rId16" Type="http://schemas.openxmlformats.org/officeDocument/2006/relationships/hyperlink" Target="http://www.sec.gov/Archives/edgar/data/1274737/000119312519240403/d692844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2022-05-11T16:18:36Z</dcterms:created>
  <dcterms:modified xsi:type="dcterms:W3CDTF">2022-05-11T16:18:36Z</dcterms:modified>
</cp:coreProperties>
</file>