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5, 2021</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Trading</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19"/>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Symbol(s)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r>
      <w:tr>
        <w:trPr>
          <w:trHeight w:val="234"/>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255" w:lineRule="exact"/>
        <w:rPr>
          <w:sz w:val="24"/>
          <w:szCs w:val="24"/>
          <w:color w:val="auto"/>
        </w:rPr>
      </w:pPr>
    </w:p>
    <w:p>
      <w:pPr>
        <w:ind w:right="60"/>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August 5, 2021, the Company and Janssen Biotech, Inc. ("Janssen") mutually agreed to terminate the Co-Promotion Agreement, dated December 10, 2018 (the "Co-Promotion Agreement") effective August 31, 2021. In connection with the Co-Promotion Agreement's termination, the Company is entitled to receive an aggregate of $0.6 million in consideration.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August 9, 2021, the Company reported its financial results for the three and six months ended June 30, 2021. A copy of the press release issued by the Company is furnished as Exhibit 99.1 to this report.</w:t>
      </w:r>
    </w:p>
    <w:p>
      <w:pPr>
        <w:spacing w:after="0" w:line="17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960" w:type="dxa"/>
            <w:vAlign w:val="bottom"/>
          </w:tcPr>
          <w:p>
            <w:pPr>
              <w:jc w:val="right"/>
              <w:ind w:right="539"/>
              <w:spacing w:after="0"/>
              <w:rPr>
                <w:sz w:val="20"/>
                <w:szCs w:val="20"/>
                <w:color w:val="auto"/>
              </w:rPr>
            </w:pPr>
            <w:r>
              <w:rPr>
                <w:rFonts w:ascii="Arial" w:cs="Arial" w:eastAsia="Arial" w:hAnsi="Arial"/>
                <w:sz w:val="18"/>
                <w:szCs w:val="18"/>
                <w:color w:val="auto"/>
                <w:w w:val="91"/>
              </w:rPr>
              <w:t>99.1</w:t>
            </w:r>
          </w:p>
        </w:tc>
        <w:tc>
          <w:tcPr>
            <w:tcW w:w="500" w:type="dxa"/>
            <w:vAlign w:val="bottom"/>
          </w:tcPr>
          <w:p>
            <w:pPr>
              <w:spacing w:after="0"/>
              <w:rPr>
                <w:sz w:val="24"/>
                <w:szCs w:val="24"/>
                <w:color w:val="auto"/>
              </w:rPr>
            </w:pPr>
          </w:p>
        </w:tc>
        <w:tc>
          <w:tcPr>
            <w:tcW w:w="97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August 9, 2021</w:t>
              </w:r>
            </w:hyperlink>
          </w:p>
        </w:tc>
      </w:tr>
      <w:tr>
        <w:trPr>
          <w:trHeight w:val="1715"/>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560" w:type="dxa"/>
            <w:vAlign w:val="bottom"/>
            <w:tcBorders>
              <w:top w:val="single" w:sz="8" w:color="0000FF"/>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Exagen Inc. Reports Second Quarter 2021 Results</w:t>
      </w:r>
    </w:p>
    <w:p>
      <w:pPr>
        <w:spacing w:after="0" w:line="264" w:lineRule="exact"/>
        <w:rPr>
          <w:sz w:val="20"/>
          <w:szCs w:val="20"/>
          <w:color w:val="auto"/>
        </w:rPr>
      </w:pPr>
    </w:p>
    <w:p>
      <w:pPr>
        <w:jc w:val="center"/>
        <w:ind w:left="360" w:right="100"/>
        <w:spacing w:after="0" w:line="287" w:lineRule="auto"/>
        <w:rPr>
          <w:sz w:val="20"/>
          <w:szCs w:val="20"/>
          <w:color w:val="auto"/>
        </w:rPr>
      </w:pPr>
      <w:r>
        <w:rPr>
          <w:rFonts w:ascii="Arial" w:cs="Arial" w:eastAsia="Arial" w:hAnsi="Arial"/>
          <w:sz w:val="22"/>
          <w:szCs w:val="22"/>
          <w:b w:val="1"/>
          <w:bCs w:val="1"/>
          <w:i w:val="1"/>
          <w:iCs w:val="1"/>
          <w:color w:val="auto"/>
        </w:rPr>
        <w:t>Quarterly Records: Total Revenue, AVISE® CTD Revenue and Volumes, Ordering Healthcare Providers and Adopters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August 9, 2021</w:t>
      </w:r>
    </w:p>
    <w:p>
      <w:pPr>
        <w:spacing w:after="0" w:line="256"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SAN DIEGO – Exagen Inc. (Nasdaq: XGN), a leading provider of autoimmune testing solutions, today reported financial results for the quarter ended June 30, 2021.</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Highlights:</w:t>
      </w:r>
    </w:p>
    <w:p>
      <w:pPr>
        <w:spacing w:after="0" w:line="172" w:lineRule="exact"/>
        <w:rPr>
          <w:sz w:val="20"/>
          <w:szCs w:val="20"/>
          <w:color w:val="auto"/>
        </w:rPr>
      </w:pPr>
    </w:p>
    <w:p>
      <w:pPr>
        <w:ind w:left="980" w:right="48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record total revenue of $12.8 million for the second quarter of 2021, a 43% increase over the second quarter of 2020 and a 21% increase over the first quarter of 2021.</w:t>
      </w:r>
    </w:p>
    <w:p>
      <w:pPr>
        <w:spacing w:after="0" w:line="134" w:lineRule="exact"/>
        <w:rPr>
          <w:rFonts w:ascii="Arial" w:cs="Arial" w:eastAsia="Arial" w:hAnsi="Arial"/>
          <w:sz w:val="20"/>
          <w:szCs w:val="20"/>
          <w:color w:val="auto"/>
        </w:rPr>
      </w:pPr>
    </w:p>
    <w:p>
      <w:pPr>
        <w:ind w:left="980" w:right="180" w:hanging="324"/>
        <w:spacing w:after="0" w:line="257"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flagship AVISE® CTD test, including AVISE® Lupus, generated record revenue of $10.4 million for the second quarter of 2021. This represents a 94% increase over the second quarter of 2020 and a 22% increase over the first quarter of 2021.</w:t>
      </w:r>
    </w:p>
    <w:p>
      <w:pPr>
        <w:spacing w:after="0" w:line="138" w:lineRule="exact"/>
        <w:rPr>
          <w:rFonts w:ascii="Arial" w:cs="Arial" w:eastAsia="Arial" w:hAnsi="Arial"/>
          <w:sz w:val="20"/>
          <w:szCs w:val="20"/>
          <w:color w:val="auto"/>
        </w:rPr>
      </w:pPr>
    </w:p>
    <w:p>
      <w:pPr>
        <w:ind w:left="980" w:right="20" w:hanging="324"/>
        <w:spacing w:after="0" w:line="257"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a record 33,328 flagship AVISE® CTD tests, including AVISE® Lupus, in the second quarter of 2021, an 80% increase over the second quarter of 2020 and a 15% increase over the first quarter of 2021. This represents the third consecutive record demand quarter.</w:t>
      </w:r>
    </w:p>
    <w:p>
      <w:pPr>
        <w:spacing w:after="0" w:line="125" w:lineRule="exact"/>
        <w:rPr>
          <w:rFonts w:ascii="Arial" w:cs="Arial" w:eastAsia="Arial" w:hAnsi="Arial"/>
          <w:sz w:val="20"/>
          <w:szCs w:val="20"/>
          <w:color w:val="auto"/>
        </w:rPr>
      </w:pPr>
    </w:p>
    <w:p>
      <w:pPr>
        <w:ind w:left="980" w:right="280" w:hanging="324"/>
        <w:spacing w:after="0" w:line="257"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number of ordering healthcare providers totaling 1,934 in the second quarter, including a record 703 adopters, and sequential quarterly retention rate of approximately 99% among adopting healthcare providers from the prior quarter.</w:t>
      </w:r>
    </w:p>
    <w:p>
      <w:pPr>
        <w:spacing w:after="0" w:line="200" w:lineRule="exact"/>
        <w:rPr>
          <w:sz w:val="20"/>
          <w:szCs w:val="20"/>
          <w:color w:val="auto"/>
        </w:rPr>
      </w:pPr>
    </w:p>
    <w:p>
      <w:pPr>
        <w:spacing w:after="0" w:line="317"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 the second quarter, Exagen delivered record results in key areas once again. The foundation for these records was driven by our 99% retention rate, which we believe attests to the value Exagen's unique tests provide to rheumatologists and their patients," said Ron Rocca, President and Chief Executive Officer of Exagen. "The business team has executed at a high level in the first half of 2021, and we continue to take the steps necessary to grow and strengthen our position as a leading provider of autoimmune testing solutions. We remain committed to pursuing wider reimbursement for our tests, and believe healthcare systems and payors will continue to recognize the value of the AVISE® franchise. Moreover, we accelerated our investment in research and development, including entering into a research collaboration with AHN Research Institute, as we seek to expand the utility of our proprietary suite of testing products. Most importantly, we remain highly focused on our ultimate mission of reducing the time to treatment and improving patient outcomes in an often overlooked segment of healthcare."</w:t>
      </w:r>
    </w:p>
    <w:p>
      <w:pPr>
        <w:sectPr>
          <w:pgSz w:w="11900" w:h="16838" w:orient="portrait"/>
          <w:cols w:equalWidth="0" w:num="1">
            <w:col w:w="11200"/>
          </w:cols>
          <w:pgMar w:left="320" w:top="1440" w:right="37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Second Quarter 2021 Financial Results</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Revenue for the three months ended June 30, 2021 was $12.8 million, compared with $8.9 million in the second quarter of 2020. Testing revenue was $12.5 million for the second quarter of 2021, compared to $6.8 million in the second quarter of 2020, due to increased testing volumes. Our SIMPONI® co-promotion efforts contributed $0.3 million in the second quarter of 2021, compared to $2.1 million in the second quarter of 2020. Gross margin was 57% in the second quarter of 2021 compared to 63% in the second quarter of 2020, driven by the decrease in co-promotion revenue.</w:t>
      </w:r>
    </w:p>
    <w:p>
      <w:pPr>
        <w:spacing w:after="0" w:line="128" w:lineRule="exact"/>
        <w:rPr>
          <w:sz w:val="20"/>
          <w:szCs w:val="20"/>
          <w:color w:val="auto"/>
        </w:rPr>
      </w:pPr>
    </w:p>
    <w:p>
      <w:pPr>
        <w:jc w:val="both"/>
        <w:ind w:right="440"/>
        <w:spacing w:after="0" w:line="257" w:lineRule="auto"/>
        <w:rPr>
          <w:sz w:val="20"/>
          <w:szCs w:val="20"/>
          <w:color w:val="auto"/>
        </w:rPr>
      </w:pPr>
      <w:r>
        <w:rPr>
          <w:rFonts w:ascii="Arial" w:cs="Arial" w:eastAsia="Arial" w:hAnsi="Arial"/>
          <w:sz w:val="20"/>
          <w:szCs w:val="20"/>
          <w:color w:val="auto"/>
        </w:rPr>
        <w:t>Operating expenses were $18.5 million in the second quarter of 2021, compared with $12.4 million in the second quarter of 2020, due to increases in employee related expenses from headcount growth, including stock-based compensation, cost of revenue due to the increase in testing volumes, and research and development expenses.</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For the second quarter of 2021, net loss was $6.4 million, compared to a net loss of $3.4 million for the second quarter of 2020.</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 were approximately $112.6 million as of June 30, 2021.</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Guidance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2021, Exagen reaffirms its prior guidance and expects revenue to be in the range of $47 million to $49 million.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72" w:lineRule="exact"/>
        <w:rPr>
          <w:sz w:val="20"/>
          <w:szCs w:val="20"/>
          <w:color w:val="auto"/>
        </w:rPr>
      </w:pPr>
    </w:p>
    <w:p>
      <w:pPr>
        <w:ind w:right="240"/>
        <w:spacing w:after="0" w:line="266" w:lineRule="auto"/>
        <w:rPr>
          <w:sz w:val="20"/>
          <w:szCs w:val="20"/>
          <w:color w:val="auto"/>
        </w:rPr>
      </w:pPr>
      <w:r>
        <w:rPr>
          <w:rFonts w:ascii="Arial" w:cs="Arial" w:eastAsia="Arial" w:hAnsi="Arial"/>
          <w:sz w:val="19"/>
          <w:szCs w:val="19"/>
          <w:color w:val="auto"/>
        </w:rPr>
        <w:t>A conference call to review second quarter 2021 financial results and to provide a business update is scheduled for today August 9, 2021 at 4:30 PM Eastern Time (1:30 PM Pacific Time). Interested parties may access the conference call by dialing</w:t>
      </w:r>
    </w:p>
    <w:p>
      <w:pPr>
        <w:spacing w:after="0" w:line="2" w:lineRule="exact"/>
        <w:rPr>
          <w:sz w:val="20"/>
          <w:szCs w:val="20"/>
          <w:color w:val="auto"/>
        </w:rPr>
      </w:pPr>
    </w:p>
    <w:p>
      <w:pPr>
        <w:ind w:right="280" w:firstLine="8"/>
        <w:spacing w:after="0" w:line="261" w:lineRule="auto"/>
        <w:tabs>
          <w:tab w:leader="none" w:pos="517" w:val="left"/>
        </w:tabs>
        <w:numPr>
          <w:ilvl w:val="0"/>
          <w:numId w:val="3"/>
        </w:numPr>
        <w:rPr>
          <w:rFonts w:ascii="Arial" w:cs="Arial" w:eastAsia="Arial" w:hAnsi="Arial"/>
          <w:sz w:val="20"/>
          <w:szCs w:val="20"/>
          <w:color w:val="auto"/>
        </w:rPr>
      </w:pPr>
      <w:r>
        <w:rPr>
          <w:rFonts w:ascii="Arial" w:cs="Arial" w:eastAsia="Arial" w:hAnsi="Arial"/>
          <w:sz w:val="20"/>
          <w:szCs w:val="20"/>
          <w:color w:val="auto"/>
        </w:rPr>
        <w:t>407-3982 (U.S.) or (201) 493-6780 (international). Additionally, a link to a live webcast of the call will be available in the Investor Relations section of Exagen's website at http://investors.exagen.com.</w:t>
      </w:r>
    </w:p>
    <w:p>
      <w:pPr>
        <w:spacing w:after="0" w:line="134"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Monday, August 16, 2021 at 11:59 PM Eastern Time (8:59 PM Pacific Time). Interested parties may access the replay by dialing (844) 512-2921 (U.S.) or (412) 317-6671 (international) using passcode 13721307. A link to the replay of the webcast will also be available in the investor relations section of Exagen's website.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 xml:space="preserve">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Exagen’s goal is to enable providers to improve care for patients through the differential diagnosis, prognosis and monitoring of complex autoimmune and autoimmune-related diseases, including rheumatoid arthritis and lupus. For more information, please visit </w:t>
      </w:r>
      <w:r>
        <w:rPr>
          <w:rFonts w:ascii="Arial" w:cs="Arial" w:eastAsia="Arial" w:hAnsi="Arial"/>
          <w:sz w:val="20"/>
          <w:szCs w:val="20"/>
          <w:u w:val="single" w:color="auto"/>
          <w:color w:val="0563C1"/>
        </w:rPr>
        <w:t>www.Exagen.com</w:t>
      </w:r>
      <w:r>
        <w:rPr>
          <w:rFonts w:ascii="Arial" w:cs="Arial" w:eastAsia="Arial" w:hAnsi="Arial"/>
          <w:sz w:val="20"/>
          <w:szCs w:val="20"/>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ectPr>
          <w:pgSz w:w="11900" w:h="16838" w:orient="portrait"/>
          <w:cols w:equalWidth="0" w:num="1">
            <w:col w:w="11200"/>
          </w:cols>
          <w:pgMar w:left="320" w:top="1421" w:right="379" w:bottom="1440" w:gutter="0" w:footer="0" w:header="0"/>
        </w:sectPr>
      </w:pPr>
    </w:p>
    <w:bookmarkStart w:id="5" w:name="page6"/>
    <w:bookmarkEnd w:id="5"/>
    <w:p>
      <w:pPr>
        <w:spacing w:after="0" w:line="6"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company's goals and strategies; the potential utility and effectiveness of the company's services and testing solutions; the ability of the company to secure wider reimbursement for its tests; the expected impact and results of further investments in our business and collaborations; the company's future potential growth in 2021; and the 2021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and delays in ongoing and planned clinical trials involving our tests;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business strategies, including its strategy of integrating the promotion of its existing and future proprietary testing products with the promotion of therapeutics; third 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the company’s prior press releases and the Company’s filings with the Securities and Exchange Commission ("SEC"), including under the heading “Risk Factors” in the company’s Annual Report on Form 10-K for the year ended December 31, 2020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Relations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Ryan Douglas</w:t>
      </w:r>
    </w:p>
    <w:p>
      <w:pPr>
        <w:spacing w:after="0"/>
        <w:rPr>
          <w:sz w:val="20"/>
          <w:szCs w:val="20"/>
          <w:color w:val="auto"/>
        </w:rPr>
      </w:pPr>
      <w:r>
        <w:rPr>
          <w:rFonts w:ascii="Arial" w:cs="Arial" w:eastAsia="Arial" w:hAnsi="Arial"/>
          <w:sz w:val="20"/>
          <w:szCs w:val="20"/>
          <w:u w:val="single" w:color="auto"/>
          <w:color w:val="0563C1"/>
        </w:rPr>
        <w:t>rdouglas@exagen.com</w:t>
      </w:r>
    </w:p>
    <w:p>
      <w:pPr>
        <w:spacing w:after="0"/>
        <w:rPr>
          <w:sz w:val="20"/>
          <w:szCs w:val="20"/>
          <w:color w:val="auto"/>
        </w:rPr>
      </w:pPr>
      <w:r>
        <w:rPr>
          <w:rFonts w:ascii="Arial" w:cs="Arial" w:eastAsia="Arial" w:hAnsi="Arial"/>
          <w:sz w:val="20"/>
          <w:szCs w:val="20"/>
          <w:color w:val="auto"/>
        </w:rPr>
        <w:t>760.560.1525</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Kamal Adawi, Chief Financial Officer</w:t>
      </w:r>
    </w:p>
    <w:p>
      <w:pPr>
        <w:spacing w:after="0"/>
        <w:rPr>
          <w:sz w:val="20"/>
          <w:szCs w:val="20"/>
          <w:color w:val="auto"/>
        </w:rPr>
      </w:pPr>
      <w:r>
        <w:rPr>
          <w:rFonts w:ascii="Arial" w:cs="Arial" w:eastAsia="Arial" w:hAnsi="Arial"/>
          <w:sz w:val="20"/>
          <w:szCs w:val="20"/>
          <w:u w:val="single" w:color="auto"/>
          <w:color w:val="0563C1"/>
        </w:rPr>
        <w:t>kadawi@exagen.com</w:t>
      </w: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1220"/>
          </w:cols>
          <w:pgMar w:left="320" w:top="1440" w:right="359" w:bottom="1440" w:gutter="0" w:footer="0" w:header="0"/>
        </w:sectPr>
      </w:pPr>
    </w:p>
    <w:bookmarkStart w:id="6" w:name="page7"/>
    <w:bookmarkEnd w:id="6"/>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266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12,772</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8,948</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23,359</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18,532</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340"/>
              <w:spacing w:after="0"/>
              <w:rPr>
                <w:sz w:val="20"/>
                <w:szCs w:val="20"/>
                <w:color w:val="auto"/>
              </w:rPr>
            </w:pPr>
            <w:r>
              <w:rPr>
                <w:rFonts w:ascii="Arial" w:cs="Arial" w:eastAsia="Arial" w:hAnsi="Arial"/>
                <w:sz w:val="14"/>
                <w:szCs w:val="14"/>
                <w:color w:val="auto"/>
              </w:rPr>
              <w:t>Costs of revenue</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5,451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3,338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10,162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7,883</w:t>
            </w:r>
          </w:p>
        </w:tc>
        <w:tc>
          <w:tcPr>
            <w:tcW w:w="0" w:type="dxa"/>
            <w:vAlign w:val="bottom"/>
          </w:tcPr>
          <w:p>
            <w:pPr>
              <w:spacing w:after="0"/>
              <w:rPr>
                <w:sz w:val="1"/>
                <w:szCs w:val="1"/>
                <w:color w:val="auto"/>
              </w:rPr>
            </w:pPr>
          </w:p>
        </w:tc>
      </w:tr>
      <w:tr>
        <w:trPr>
          <w:trHeight w:val="189"/>
        </w:trPr>
        <w:tc>
          <w:tcPr>
            <w:tcW w:w="486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11,171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8,276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17,902</w:t>
            </w:r>
          </w:p>
        </w:tc>
        <w:tc>
          <w:tcPr>
            <w:tcW w:w="0" w:type="dxa"/>
            <w:vAlign w:val="bottom"/>
          </w:tcPr>
          <w:p>
            <w:pPr>
              <w:spacing w:after="0"/>
              <w:rPr>
                <w:sz w:val="1"/>
                <w:szCs w:val="1"/>
                <w:color w:val="auto"/>
              </w:rPr>
            </w:pPr>
          </w:p>
        </w:tc>
      </w:tr>
      <w:tr>
        <w:trPr>
          <w:trHeight w:val="188"/>
        </w:trPr>
        <w:tc>
          <w:tcPr>
            <w:tcW w:w="4860" w:type="dxa"/>
            <w:vAlign w:val="bottom"/>
          </w:tcPr>
          <w:p>
            <w:pPr>
              <w:ind w:left="340"/>
              <w:spacing w:after="0"/>
              <w:rPr>
                <w:sz w:val="20"/>
                <w:szCs w:val="20"/>
                <w:color w:val="auto"/>
              </w:rPr>
            </w:pPr>
            <w:r>
              <w:rPr>
                <w:rFonts w:ascii="Arial" w:cs="Arial" w:eastAsia="Arial" w:hAnsi="Arial"/>
                <w:sz w:val="14"/>
                <w:szCs w:val="14"/>
                <w:color w:val="auto"/>
              </w:rPr>
              <w:t>Research and development expenses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1,385</w:t>
            </w:r>
          </w:p>
        </w:tc>
        <w:tc>
          <w:tcPr>
            <w:tcW w:w="0" w:type="dxa"/>
            <w:vAlign w:val="bottom"/>
          </w:tcPr>
          <w:p>
            <w:pPr>
              <w:spacing w:after="0"/>
              <w:rPr>
                <w:sz w:val="1"/>
                <w:szCs w:val="1"/>
                <w:color w:val="auto"/>
              </w:rPr>
            </w:pPr>
          </w:p>
        </w:tc>
      </w:tr>
      <w:tr>
        <w:trPr>
          <w:trHeight w:val="183"/>
        </w:trPr>
        <w:tc>
          <w:tcPr>
            <w:tcW w:w="4860" w:type="dxa"/>
            <w:vAlign w:val="bottom"/>
          </w:tcPr>
          <w:p>
            <w:pPr>
              <w:ind w:left="66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18,514</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12,365</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34,668</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27,170</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(3,417)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(11,309)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(8,638)</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4"/>
                <w:szCs w:val="14"/>
                <w:color w:val="auto"/>
              </w:rPr>
              <w:t>Other (expense) income, net</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(3,363)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(9,044)</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4"/>
                <w:szCs w:val="14"/>
                <w:color w:val="auto"/>
              </w:rPr>
              <w:t>Income tax benefit</w:t>
            </w:r>
          </w:p>
        </w:tc>
        <w:tc>
          <w:tcPr>
            <w:tcW w:w="3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(6,410)</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(3,363)</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(12,619)</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(8,926)</w:t>
            </w:r>
          </w:p>
        </w:tc>
        <w:tc>
          <w:tcPr>
            <w:tcW w:w="0" w:type="dxa"/>
            <w:vAlign w:val="bottom"/>
          </w:tcPr>
          <w:p>
            <w:pPr>
              <w:spacing w:after="0"/>
              <w:rPr>
                <w:sz w:val="1"/>
                <w:szCs w:val="1"/>
                <w:color w:val="auto"/>
              </w:rPr>
            </w:pPr>
          </w:p>
        </w:tc>
      </w:tr>
      <w:tr>
        <w:trPr>
          <w:trHeight w:val="21"/>
        </w:trPr>
        <w:tc>
          <w:tcPr>
            <w:tcW w:w="486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48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16,928,613</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12,637,642</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14,946,935</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12,616,678</w:t>
            </w:r>
          </w:p>
        </w:tc>
        <w:tc>
          <w:tcPr>
            <w:tcW w:w="0" w:type="dxa"/>
            <w:vAlign w:val="bottom"/>
          </w:tcPr>
          <w:p>
            <w:pPr>
              <w:spacing w:after="0"/>
              <w:rPr>
                <w:sz w:val="1"/>
                <w:szCs w:val="1"/>
                <w:color w:val="auto"/>
              </w:rPr>
            </w:pPr>
          </w:p>
        </w:tc>
      </w:tr>
      <w:tr>
        <w:trPr>
          <w:trHeight w:val="144"/>
        </w:trPr>
        <w:tc>
          <w:tcPr>
            <w:tcW w:w="4860" w:type="dxa"/>
            <w:vAlign w:val="bottom"/>
          </w:tcPr>
          <w:p>
            <w:pPr>
              <w:spacing w:after="0" w:line="144" w:lineRule="exact"/>
              <w:rPr>
                <w:sz w:val="20"/>
                <w:szCs w:val="20"/>
                <w:color w:val="auto"/>
              </w:rPr>
            </w:pPr>
            <w:r>
              <w:rPr>
                <w:rFonts w:ascii="Arial" w:cs="Arial" w:eastAsia="Arial" w:hAnsi="Arial"/>
                <w:sz w:val="14"/>
                <w:szCs w:val="14"/>
                <w:color w:val="auto"/>
              </w:rPr>
              <w:t>basic and diluted</w:t>
            </w: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4"/>
        </w:trPr>
        <w:tc>
          <w:tcPr>
            <w:tcW w:w="8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112,576</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57,448</w:t>
            </w: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8,780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8,910</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3,172</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4,159</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124,528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70,517</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3,054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133,323</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1"/>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2,450</w:t>
            </w:r>
          </w:p>
        </w:tc>
        <w:tc>
          <w:tcPr>
            <w:tcW w:w="12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Accrued and other current liabilities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5,815</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8,265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27,073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26,659</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1,447</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4"/>
        </w:trPr>
        <w:tc>
          <w:tcPr>
            <w:tcW w:w="8320" w:type="dxa"/>
            <w:vAlign w:val="bottom"/>
          </w:tcPr>
          <w:p>
            <w:pPr>
              <w:ind w:left="66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36,943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36,536</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20" w:type="dxa"/>
            <w:vAlign w:val="bottom"/>
          </w:tcPr>
          <w:p>
            <w:pPr>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Preferred stock, $0.001 par value; 10,000,000 shares authorized, no shares issued or outstanding at June 30, 2021 and</w:t>
            </w:r>
          </w:p>
        </w:tc>
        <w:tc>
          <w:tcPr>
            <w:tcW w:w="16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December 31, 2020</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Common stock, $0.001 par value; 200,000,000 shares authorized at June 30, 2021 and December 31, 2020; 16,126,784</w:t>
            </w:r>
          </w:p>
        </w:tc>
        <w:tc>
          <w:tcPr>
            <w:tcW w:w="1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and 12,652,308 shares issued and outstanding at June 30, 2021 and December 31, 2020, respectively</w:t>
            </w: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290,272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223,115</w:t>
            </w:r>
          </w:p>
        </w:tc>
        <w:tc>
          <w:tcPr>
            <w:tcW w:w="0" w:type="dxa"/>
            <w:vAlign w:val="bottom"/>
          </w:tcPr>
          <w:p>
            <w:pPr>
              <w:spacing w:after="0"/>
              <w:rPr>
                <w:sz w:val="1"/>
                <w:szCs w:val="1"/>
                <w:color w:val="auto"/>
              </w:rPr>
            </w:pPr>
          </w:p>
        </w:tc>
      </w:tr>
      <w:tr>
        <w:trPr>
          <w:trHeight w:val="188"/>
        </w:trPr>
        <w:tc>
          <w:tcPr>
            <w:tcW w:w="832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(193,908)</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(181,289)</w:t>
            </w:r>
          </w:p>
        </w:tc>
        <w:tc>
          <w:tcPr>
            <w:tcW w:w="0" w:type="dxa"/>
            <w:vAlign w:val="bottom"/>
          </w:tcPr>
          <w:p>
            <w:pPr>
              <w:spacing w:after="0"/>
              <w:rPr>
                <w:sz w:val="1"/>
                <w:szCs w:val="1"/>
                <w:color w:val="auto"/>
              </w:rPr>
            </w:pPr>
          </w:p>
        </w:tc>
      </w:tr>
      <w:tr>
        <w:trPr>
          <w:trHeight w:val="183"/>
        </w:trPr>
        <w:tc>
          <w:tcPr>
            <w:tcW w:w="8320" w:type="dxa"/>
            <w:vAlign w:val="bottom"/>
          </w:tcPr>
          <w:p>
            <w:pPr>
              <w:ind w:left="66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96,380</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133,323</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87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2021-08-09T15:56:22Z</dcterms:created>
  <dcterms:modified xsi:type="dcterms:W3CDTF">2021-08-09T15:56:22Z</dcterms:modified>
</cp:coreProperties>
</file>