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4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Hazeltine Mark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0.26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0.26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05/17/2021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0.26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-2091690</wp:posOffset>
            </wp:positionV>
            <wp:extent cx="29210" cy="2096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vested on October 5, 2019, and 1/48th of the total number of shares subject to the option vest monthly thereafter, subject to the Reporting Person's continued service to the Issuer through each such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Kamal Adawi,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2986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2021-05-17T20:22:03Z</dcterms:created>
  <dcterms:modified xsi:type="dcterms:W3CDTF">2021-05-17T20:22:03Z</dcterms:modified>
</cp:coreProperties>
</file>