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5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4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3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spacing w:after="0" w:line="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5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November 12, 2019</w:t>
      </w:r>
    </w:p>
    <w:p>
      <w:pPr>
        <w:spacing w:after="0" w:line="17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43"/>
          <w:szCs w:val="43"/>
          <w:b w:val="1"/>
          <w:bCs w:val="1"/>
          <w:color w:val="auto"/>
        </w:rPr>
        <w:t>EXAGEN INC.</w:t>
      </w:r>
    </w:p>
    <w:p>
      <w:pPr>
        <w:spacing w:after="0" w:line="5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ectPr>
          <w:pgSz w:w="11900" w:h="16838" w:orient="portrait"/>
          <w:cols w:equalWidth="0" w:num="1">
            <w:col w:w="11360"/>
          </w:cols>
          <w:pgMar w:left="240" w:top="1254" w:right="299" w:bottom="1440" w:gutter="0" w:footer="0" w:header="0"/>
        </w:sectPr>
      </w:pPr>
    </w:p>
    <w:p>
      <w:pPr>
        <w:spacing w:after="0" w:line="309"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89" w:lineRule="exact"/>
        <w:rPr>
          <w:sz w:val="24"/>
          <w:szCs w:val="24"/>
          <w:color w:val="auto"/>
        </w:rPr>
      </w:pPr>
    </w:p>
    <w:p>
      <w:pPr>
        <w:jc w:val="center"/>
        <w:ind w:right="1880"/>
        <w:spacing w:after="0"/>
        <w:rPr>
          <w:sz w:val="20"/>
          <w:szCs w:val="20"/>
          <w:color w:val="auto"/>
        </w:rPr>
      </w:pPr>
      <w:r>
        <w:rPr>
          <w:rFonts w:ascii="Times New Roman" w:cs="Times New Roman" w:eastAsia="Times New Roman" w:hAnsi="Times New Roman"/>
          <w:sz w:val="17"/>
          <w:szCs w:val="17"/>
          <w:b w:val="1"/>
          <w:bCs w:val="1"/>
          <w:color w:val="auto"/>
        </w:rPr>
        <w:t>001-39049</w:t>
      </w:r>
    </w:p>
    <w:p>
      <w:pPr>
        <w:spacing w:after="0" w:line="20" w:lineRule="exact"/>
        <w:rPr>
          <w:sz w:val="24"/>
          <w:szCs w:val="24"/>
          <w:color w:val="auto"/>
        </w:rPr>
      </w:pPr>
      <w:r>
        <w:rPr>
          <w:sz w:val="24"/>
          <w:szCs w:val="24"/>
          <w:color w:val="auto"/>
        </w:rPr>
        <w:br w:type="column"/>
      </w:r>
    </w:p>
    <w:p>
      <w:pPr>
        <w:spacing w:after="0" w:line="28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20-0434866</w:t>
      </w:r>
    </w:p>
    <w:p>
      <w:pPr>
        <w:spacing w:after="0" w:line="72" w:lineRule="exact"/>
        <w:rPr>
          <w:sz w:val="24"/>
          <w:szCs w:val="24"/>
          <w:color w:val="auto"/>
        </w:rPr>
      </w:pPr>
    </w:p>
    <w:p>
      <w:pPr>
        <w:sectPr>
          <w:pgSz w:w="11900" w:h="16838" w:orient="portrait"/>
          <w:cols w:equalWidth="0" w:num="3">
            <w:col w:w="4740" w:space="720"/>
            <w:col w:w="2660" w:space="720"/>
            <w:col w:w="2520"/>
          </w:cols>
          <w:pgMar w:left="240" w:top="1254" w:right="299" w:bottom="1440" w:gutter="0" w:footer="0" w:header="0"/>
          <w:type w:val="continuous"/>
        </w:sectPr>
      </w:pPr>
    </w:p>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spacing w:after="0" w:line="19" w:lineRule="exact"/>
        <w:rPr>
          <w:sz w:val="24"/>
          <w:szCs w:val="24"/>
          <w:color w:val="auto"/>
        </w:rPr>
      </w:pPr>
    </w:p>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of incorporation or organization)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line="19"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line="19"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700" w:space="720"/>
            <w:col w:w="2560" w:space="720"/>
            <w:col w:w="2660"/>
          </w:cols>
          <w:pgMar w:left="240" w:top="1254" w:right="299" w:bottom="1440" w:gutter="0" w:footer="0" w:header="0"/>
          <w:type w:val="continuous"/>
        </w:sectPr>
      </w:pPr>
    </w:p>
    <w:p>
      <w:pPr>
        <w:spacing w:after="0" w:line="2"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1261 Liberty Way, Suite C</w:t>
      </w:r>
    </w:p>
    <w:p>
      <w:pPr>
        <w:spacing w:after="0" w:line="31" w:lineRule="exact"/>
        <w:rPr>
          <w:sz w:val="24"/>
          <w:szCs w:val="24"/>
          <w:color w:val="auto"/>
        </w:rPr>
      </w:pPr>
    </w:p>
    <w:p>
      <w:pPr>
        <w:ind w:left="5100"/>
        <w:spacing w:after="0"/>
        <w:rPr>
          <w:sz w:val="20"/>
          <w:szCs w:val="20"/>
          <w:color w:val="auto"/>
        </w:rPr>
      </w:pPr>
      <w:r>
        <w:rPr>
          <w:rFonts w:ascii="Times New Roman" w:cs="Times New Roman" w:eastAsia="Times New Roman" w:hAnsi="Times New Roman"/>
          <w:sz w:val="18"/>
          <w:szCs w:val="18"/>
          <w:b w:val="1"/>
          <w:bCs w:val="1"/>
          <w:color w:val="auto"/>
        </w:rPr>
        <w:t>Vista, CA 92081</w:t>
      </w:r>
    </w:p>
    <w:p>
      <w:pPr>
        <w:spacing w:after="0" w:line="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(Zip Code)</w:t>
      </w:r>
    </w:p>
    <w:p>
      <w:pPr>
        <w:spacing w:after="0" w:line="16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(760) 560-1501</w:t>
      </w:r>
    </w:p>
    <w:p>
      <w:pPr>
        <w:spacing w:after="0" w:line="2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(Registrant’s telephone number, include area code)</w:t>
      </w:r>
    </w:p>
    <w:p>
      <w:pPr>
        <w:spacing w:after="0" w:line="17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2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ectPr>
          <w:pgSz w:w="11900" w:h="16838" w:orient="portrait"/>
          <w:cols w:equalWidth="0" w:num="1">
            <w:col w:w="11360"/>
          </w:cols>
          <w:pgMar w:left="240" w:top="1254" w:right="299" w:bottom="1440" w:gutter="0" w:footer="0" w:header="0"/>
          <w:type w:val="continuous"/>
        </w:sectPr>
      </w:pPr>
    </w:p>
    <w:p>
      <w:pPr>
        <w:spacing w:after="0" w:line="170"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113" w:lineRule="exact"/>
        <w:rPr>
          <w:sz w:val="24"/>
          <w:szCs w:val="24"/>
          <w:color w:val="auto"/>
        </w:rPr>
      </w:pPr>
    </w:p>
    <w:p>
      <w:pPr>
        <w:ind w:left="260" w:hanging="234"/>
        <w:spacing w:after="0"/>
        <w:tabs>
          <w:tab w:leader="none" w:pos="2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80" w:lineRule="exact"/>
        <w:rPr>
          <w:rFonts w:ascii="MS PGothic" w:cs="MS PGothic" w:eastAsia="MS PGothic" w:hAnsi="MS PGothic"/>
          <w:sz w:val="18"/>
          <w:szCs w:val="18"/>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80" w:lineRule="exact"/>
        <w:rPr>
          <w:rFonts w:ascii="MS PGothic" w:cs="MS PGothic" w:eastAsia="MS PGothic" w:hAnsi="MS PGothic"/>
          <w:sz w:val="18"/>
          <w:szCs w:val="18"/>
          <w:color w:val="auto"/>
        </w:rPr>
      </w:pPr>
    </w:p>
    <w:p>
      <w:pPr>
        <w:ind w:left="260" w:hanging="234"/>
        <w:spacing w:after="0"/>
        <w:tabs>
          <w:tab w:leader="none" w:pos="2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80" w:lineRule="exact"/>
        <w:rPr>
          <w:rFonts w:ascii="MS PGothic" w:cs="MS PGothic" w:eastAsia="MS PGothic" w:hAnsi="MS PGothic"/>
          <w:sz w:val="18"/>
          <w:szCs w:val="18"/>
          <w:color w:val="auto"/>
        </w:rPr>
      </w:pPr>
    </w:p>
    <w:p>
      <w:pPr>
        <w:ind w:left="260" w:hanging="234"/>
        <w:spacing w:after="0"/>
        <w:tabs>
          <w:tab w:leader="none" w:pos="2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22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318"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3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3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r>
      <w:tr>
        <w:trPr>
          <w:trHeight w:val="222"/>
        </w:trPr>
        <w:tc>
          <w:tcPr>
            <w:tcW w:w="3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60" w:type="dxa"/>
            <w:vAlign w:val="bottom"/>
          </w:tcPr>
          <w:p>
            <w:pPr>
              <w:spacing w:after="0"/>
              <w:rPr>
                <w:sz w:val="19"/>
                <w:szCs w:val="19"/>
                <w:color w:val="auto"/>
              </w:rPr>
            </w:pPr>
          </w:p>
        </w:tc>
        <w:tc>
          <w:tcPr>
            <w:tcW w:w="3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160" w:type="dxa"/>
            <w:vAlign w:val="bottom"/>
          </w:tcPr>
          <w:p>
            <w:pPr>
              <w:spacing w:after="0"/>
              <w:rPr>
                <w:sz w:val="19"/>
                <w:szCs w:val="19"/>
                <w:color w:val="auto"/>
              </w:rPr>
            </w:pPr>
          </w:p>
        </w:tc>
        <w:tc>
          <w:tcPr>
            <w:tcW w:w="3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r>
      <w:tr>
        <w:trPr>
          <w:trHeight w:val="242"/>
        </w:trPr>
        <w:tc>
          <w:tcPr>
            <w:tcW w:w="37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Common Stock, par value $0.001 per share</w:t>
            </w:r>
          </w:p>
        </w:tc>
        <w:tc>
          <w:tcPr>
            <w:tcW w:w="34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XGN</w:t>
            </w:r>
          </w:p>
        </w:tc>
        <w:tc>
          <w:tcPr>
            <w:tcW w:w="32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The Nasdaq Global Market</w:t>
            </w:r>
          </w:p>
        </w:tc>
      </w:tr>
    </w:tbl>
    <w:p>
      <w:pPr>
        <w:spacing w:after="0" w:line="202" w:lineRule="exact"/>
        <w:rPr>
          <w:sz w:val="24"/>
          <w:szCs w:val="24"/>
          <w:color w:val="auto"/>
        </w:rPr>
      </w:pPr>
    </w:p>
    <w:p>
      <w:pPr>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9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8"/>
          <w:szCs w:val="18"/>
          <w:color w:val="auto"/>
        </w:rPr>
        <w:t>☒</w:t>
      </w:r>
    </w:p>
    <w:p>
      <w:pPr>
        <w:spacing w:after="0" w:line="218" w:lineRule="exact"/>
        <w:rPr>
          <w:sz w:val="24"/>
          <w:szCs w:val="24"/>
          <w:color w:val="auto"/>
        </w:rPr>
      </w:pPr>
    </w:p>
    <w:p>
      <w:pPr>
        <w:ind w:right="100"/>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ectPr>
          <w:pgSz w:w="11900" w:h="16838" w:orient="portrait"/>
          <w:cols w:equalWidth="0" w:num="1">
            <w:col w:w="11360"/>
          </w:cols>
          <w:pgMar w:left="240" w:top="1254" w:right="29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121"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On November 12, 2019, Exagen Inc. (the “Company”) reported its financial results for the three and nine months ended September 30, 2019. A copy of the press release issued by the Company is furnished as Exhibit 99.1 to this report.</w:t>
      </w:r>
    </w:p>
    <w:p>
      <w:pPr>
        <w:spacing w:after="0" w:line="16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information furnished with Item 2.02 of this report, including Exhibit 99.1, is being furnished and shall not be deemed “filed” for purposes of Section 18 of the Securities Exchange Act of 1934, as amended (the “Exchange Act”), or otherwise subject to the liabilities of that section, nor shall it be deemed incorporated by reference into any other filings under the Exchange Act or under the Securities Act of 1933, as amended, whether made before or after the date hereof, regardless of any general incorporation language in such filing.</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9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320" w:type="dxa"/>
            <w:vAlign w:val="bottom"/>
          </w:tcPr>
          <w:p>
            <w:pPr>
              <w:spacing w:after="0"/>
              <w:rPr>
                <w:sz w:val="16"/>
                <w:szCs w:val="16"/>
                <w:color w:val="auto"/>
              </w:rPr>
            </w:pPr>
          </w:p>
        </w:tc>
        <w:tc>
          <w:tcPr>
            <w:tcW w:w="29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471"/>
        </w:trPr>
        <w:tc>
          <w:tcPr>
            <w:tcW w:w="980" w:type="dxa"/>
            <w:vAlign w:val="bottom"/>
          </w:tcPr>
          <w:p>
            <w:pPr>
              <w:jc w:val="right"/>
              <w:ind w:right="559"/>
              <w:spacing w:after="0"/>
              <w:rPr>
                <w:sz w:val="20"/>
                <w:szCs w:val="20"/>
                <w:color w:val="auto"/>
              </w:rPr>
            </w:pPr>
            <w:r>
              <w:rPr>
                <w:rFonts w:ascii="Times New Roman" w:cs="Times New Roman" w:eastAsia="Times New Roman" w:hAnsi="Times New Roman"/>
                <w:sz w:val="18"/>
                <w:szCs w:val="18"/>
                <w:color w:val="auto"/>
              </w:rPr>
              <w:t>99.1</w:t>
            </w:r>
          </w:p>
        </w:tc>
        <w:tc>
          <w:tcPr>
            <w:tcW w:w="320" w:type="dxa"/>
            <w:vAlign w:val="bottom"/>
          </w:tcPr>
          <w:p>
            <w:pPr>
              <w:spacing w:after="0"/>
              <w:rPr>
                <w:sz w:val="24"/>
                <w:szCs w:val="24"/>
                <w:color w:val="auto"/>
              </w:rPr>
            </w:pPr>
          </w:p>
        </w:tc>
        <w:tc>
          <w:tcPr>
            <w:tcW w:w="2900" w:type="dxa"/>
            <w:vAlign w:val="bottom"/>
            <w:tcBorders>
              <w:bottom w:val="single" w:sz="8" w:color="0000FF"/>
            </w:tcBorders>
          </w:tcPr>
          <w:p>
            <w:pPr>
              <w:spacing w:after="0"/>
              <w:rPr>
                <w:rFonts w:ascii="Times New Roman" w:cs="Times New Roman" w:eastAsia="Times New Roman" w:hAnsi="Times New Roman"/>
                <w:sz w:val="18"/>
                <w:szCs w:val="18"/>
                <w:color w:val="0000FF"/>
                <w:w w:val="99"/>
              </w:rPr>
            </w:pPr>
            <w:hyperlink w:anchor="page4">
              <w:r>
                <w:rPr>
                  <w:rFonts w:ascii="Times New Roman" w:cs="Times New Roman" w:eastAsia="Times New Roman" w:hAnsi="Times New Roman"/>
                  <w:sz w:val="18"/>
                  <w:szCs w:val="18"/>
                  <w:color w:val="0000FF"/>
                  <w:w w:val="99"/>
                </w:rPr>
                <w:t>Press Release dated November 12, 2019</w:t>
              </w:r>
            </w:hyperlink>
          </w:p>
        </w:tc>
      </w:tr>
    </w:tbl>
    <w:p>
      <w:pPr>
        <w:sectPr>
          <w:pgSz w:w="11900" w:h="16838" w:orient="portrait"/>
          <w:cols w:equalWidth="0" w:num="1">
            <w:col w:w="11340"/>
          </w:cols>
          <w:pgMar w:left="240" w:top="1090" w:right="319" w:bottom="1440" w:gutter="0" w:footer="0" w:header="0"/>
        </w:sectPr>
      </w:pPr>
    </w:p>
    <w:bookmarkStart w:id="2" w:name="page3"/>
    <w:bookmarkEnd w:id="2"/>
    <w:p>
      <w:pPr>
        <w:jc w:val="center"/>
        <w:ind w:right="-219"/>
        <w:spacing w:after="0"/>
        <w:rPr>
          <w:sz w:val="20"/>
          <w:szCs w:val="20"/>
          <w:color w:val="auto"/>
        </w:rPr>
      </w:pPr>
      <w:r>
        <w:rPr>
          <w:rFonts w:ascii="Times New Roman" w:cs="Times New Roman" w:eastAsia="Times New Roman" w:hAnsi="Times New Roman"/>
          <w:sz w:val="18"/>
          <w:szCs w:val="18"/>
          <w:color w:val="auto"/>
        </w:rPr>
        <w:t>SIGNATURES</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70"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8"/>
          <w:szCs w:val="18"/>
          <w:color w:val="auto"/>
        </w:rPr>
        <w:t>EXAGEN INC.</w:t>
      </w:r>
    </w:p>
    <w:p>
      <w:pPr>
        <w:spacing w:after="0" w:line="333" w:lineRule="exact"/>
        <w:rPr>
          <w:sz w:val="20"/>
          <w:szCs w:val="20"/>
          <w:color w:val="auto"/>
        </w:rPr>
      </w:pPr>
    </w:p>
    <w:p>
      <w:pPr>
        <w:ind w:left="20"/>
        <w:spacing w:after="0"/>
        <w:tabs>
          <w:tab w:leader="none" w:pos="5240" w:val="left"/>
          <w:tab w:leader="none" w:pos="5720" w:val="left"/>
        </w:tabs>
        <w:rPr>
          <w:sz w:val="20"/>
          <w:szCs w:val="20"/>
          <w:color w:val="auto"/>
        </w:rPr>
      </w:pPr>
      <w:r>
        <w:rPr>
          <w:rFonts w:ascii="Times New Roman" w:cs="Times New Roman" w:eastAsia="Times New Roman" w:hAnsi="Times New Roman"/>
          <w:sz w:val="18"/>
          <w:szCs w:val="18"/>
          <w:color w:val="auto"/>
        </w:rPr>
        <w:t>Date: November 12, 2019</w:t>
      </w:r>
      <w:r>
        <w:rPr>
          <w:sz w:val="20"/>
          <w:szCs w:val="20"/>
          <w:color w:val="auto"/>
        </w:rPr>
        <w:tab/>
      </w:r>
      <w:r>
        <w:rPr>
          <w:rFonts w:ascii="Times New Roman" w:cs="Times New Roman" w:eastAsia="Times New Roman" w:hAnsi="Times New Roman"/>
          <w:sz w:val="18"/>
          <w:szCs w:val="18"/>
          <w:color w:val="auto"/>
        </w:rPr>
        <w:t>By:</w:t>
        <w:tab/>
        <w:t>/s/ Fortunato Ron Rocca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34290</wp:posOffset>
            </wp:positionV>
            <wp:extent cx="297561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975610" cy="8890"/>
                    </a:xfrm>
                    <a:prstGeom prst="rect">
                      <a:avLst/>
                    </a:prstGeom>
                    <a:noFill/>
                  </pic:spPr>
                </pic:pic>
              </a:graphicData>
            </a:graphic>
          </wp:anchor>
        </w:drawing>
      </w:r>
    </w:p>
    <w:p>
      <w:pPr>
        <w:spacing w:after="0" w:line="57"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Fortunato Ron Rocca</w:t>
      </w:r>
    </w:p>
    <w:p>
      <w:pPr>
        <w:spacing w:after="0" w:line="63"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ectPr>
          <w:pgSz w:w="11900" w:h="16838" w:orient="portrait"/>
          <w:cols w:equalWidth="0" w:num="1">
            <w:col w:w="11220"/>
          </w:cols>
          <w:pgMar w:left="240" w:top="1094" w:right="43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912495</wp:posOffset>
            </wp:positionV>
            <wp:extent cx="1466215" cy="5403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1466215" cy="540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119"/>
        <w:spacing w:after="0"/>
        <w:rPr>
          <w:sz w:val="20"/>
          <w:szCs w:val="20"/>
          <w:color w:val="auto"/>
        </w:rPr>
      </w:pPr>
      <w:r>
        <w:rPr>
          <w:rFonts w:ascii="Arial" w:cs="Arial" w:eastAsia="Arial" w:hAnsi="Arial"/>
          <w:sz w:val="20"/>
          <w:szCs w:val="20"/>
          <w:b w:val="1"/>
          <w:bCs w:val="1"/>
          <w:color w:val="auto"/>
        </w:rPr>
        <w:t>Exagen Inc. Reports Third Quarter 2019 Results</w:t>
      </w:r>
    </w:p>
    <w:p>
      <w:pPr>
        <w:spacing w:after="0" w:line="251"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i w:val="1"/>
          <w:iCs w:val="1"/>
          <w:color w:val="auto"/>
        </w:rPr>
        <w:t>AVISE</w:t>
      </w:r>
      <w:r>
        <w:rPr>
          <w:rFonts w:ascii="Arial" w:cs="Arial" w:eastAsia="Arial" w:hAnsi="Arial"/>
          <w:sz w:val="23"/>
          <w:szCs w:val="23"/>
          <w:b w:val="1"/>
          <w:bCs w:val="1"/>
          <w:i w:val="1"/>
          <w:iCs w:val="1"/>
          <w:color w:val="auto"/>
          <w:vertAlign w:val="superscript"/>
        </w:rPr>
        <w:t>®</w:t>
      </w:r>
      <w:r>
        <w:rPr>
          <w:rFonts w:ascii="Arial" w:cs="Arial" w:eastAsia="Arial" w:hAnsi="Arial"/>
          <w:sz w:val="18"/>
          <w:szCs w:val="18"/>
          <w:b w:val="1"/>
          <w:bCs w:val="1"/>
          <w:i w:val="1"/>
          <w:iCs w:val="1"/>
          <w:color w:val="auto"/>
        </w:rPr>
        <w:t xml:space="preserve"> Testing Revenue Drives 27% Revenue Growth</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November 12, 2019</w:t>
      </w:r>
    </w:p>
    <w:p>
      <w:pPr>
        <w:spacing w:after="0" w:line="266"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20"/>
          <w:szCs w:val="20"/>
          <w:color w:val="auto"/>
        </w:rPr>
        <w:t>SAN DIEGO, CA – Exagen Inc. (Nasdaq: XGN), an organization dedicated to transforming the care continuum for patients suffering from debilitating and chronic autoimmune diseases by enabling timely differential diagnosis and optimizing therapeutic intervention, today reported financial results for the quarter ended September 30, 2019.</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Recent Highlights:</w:t>
      </w:r>
    </w:p>
    <w:p>
      <w:pPr>
        <w:spacing w:after="0" w:line="166" w:lineRule="exact"/>
        <w:rPr>
          <w:sz w:val="20"/>
          <w:szCs w:val="20"/>
          <w:color w:val="auto"/>
        </w:rPr>
      </w:pPr>
    </w:p>
    <w:p>
      <w:pPr>
        <w:ind w:left="980" w:right="300" w:hanging="324"/>
        <w:spacing w:after="0" w:line="283" w:lineRule="auto"/>
        <w:tabs>
          <w:tab w:leader="none" w:pos="941"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Experienced record demand, including a 29% increase of flagship AVISE® CTD volume, including AVISE® Lupus, to 27,159 tests.</w:t>
      </w:r>
    </w:p>
    <w:p>
      <w:pPr>
        <w:spacing w:after="0" w:line="78" w:lineRule="exact"/>
        <w:rPr>
          <w:rFonts w:ascii="Times New Roman" w:cs="Times New Roman" w:eastAsia="Times New Roman" w:hAnsi="Times New Roman"/>
          <w:sz w:val="20"/>
          <w:szCs w:val="20"/>
          <w:color w:val="auto"/>
        </w:rPr>
      </w:pPr>
    </w:p>
    <w:p>
      <w:pPr>
        <w:ind w:left="980" w:right="220" w:hanging="324"/>
        <w:spacing w:after="0" w:line="283" w:lineRule="auto"/>
        <w:tabs>
          <w:tab w:leader="none" w:pos="941"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Grew the number of ordering healthcare providers by 29% to 1,591, compared to the third quarter of 2018, with 98% healthcare provider adopter retention.</w:t>
      </w:r>
    </w:p>
    <w:p>
      <w:pPr>
        <w:spacing w:after="0" w:line="92" w:lineRule="exact"/>
        <w:rPr>
          <w:rFonts w:ascii="Times New Roman" w:cs="Times New Roman" w:eastAsia="Times New Roman" w:hAnsi="Times New Roman"/>
          <w:sz w:val="20"/>
          <w:szCs w:val="20"/>
          <w:color w:val="auto"/>
        </w:rPr>
      </w:pPr>
    </w:p>
    <w:p>
      <w:pPr>
        <w:ind w:left="940" w:hanging="284"/>
        <w:spacing w:after="0"/>
        <w:tabs>
          <w:tab w:leader="none" w:pos="94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Generated total revenue of $10.4 million for the third quarter of 2019, representing 27% growth over the third quarter of 2018.</w:t>
      </w:r>
    </w:p>
    <w:p>
      <w:pPr>
        <w:spacing w:after="0" w:line="161" w:lineRule="exact"/>
        <w:rPr>
          <w:rFonts w:ascii="Times New Roman" w:cs="Times New Roman" w:eastAsia="Times New Roman" w:hAnsi="Times New Roman"/>
          <w:sz w:val="20"/>
          <w:szCs w:val="20"/>
          <w:color w:val="auto"/>
        </w:rPr>
      </w:pPr>
    </w:p>
    <w:p>
      <w:pPr>
        <w:ind w:left="980" w:right="140" w:hanging="324"/>
        <w:spacing w:after="0" w:line="283" w:lineRule="auto"/>
        <w:tabs>
          <w:tab w:leader="none" w:pos="941"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Successfully completed initial public offering in September, selling 4.14 million shares of stock with aggregate gross proceeds to the company of $58.0 million.</w:t>
      </w:r>
    </w:p>
    <w:p>
      <w:pPr>
        <w:spacing w:after="0" w:line="65" w:lineRule="exact"/>
        <w:rPr>
          <w:rFonts w:ascii="Times New Roman" w:cs="Times New Roman" w:eastAsia="Times New Roman" w:hAnsi="Times New Roman"/>
          <w:sz w:val="20"/>
          <w:szCs w:val="20"/>
          <w:color w:val="auto"/>
        </w:rPr>
      </w:pPr>
    </w:p>
    <w:p>
      <w:pPr>
        <w:ind w:left="980" w:right="20" w:hanging="324"/>
        <w:spacing w:after="0" w:line="295" w:lineRule="auto"/>
        <w:tabs>
          <w:tab w:leader="none" w:pos="941"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Advanced strategic integrated testing and therapeutics strategy (Dx/Rx) through co-promotion agreement with Janssen Biotech for SIMPONI</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20"/>
          <w:szCs w:val="20"/>
          <w:color w:val="auto"/>
        </w:rPr>
        <w:t>.</w:t>
      </w:r>
    </w:p>
    <w:p>
      <w:pPr>
        <w:spacing w:after="0" w:line="1" w:lineRule="exact"/>
        <w:rPr>
          <w:rFonts w:ascii="Times New Roman" w:cs="Times New Roman" w:eastAsia="Times New Roman" w:hAnsi="Times New Roman"/>
          <w:sz w:val="20"/>
          <w:szCs w:val="20"/>
          <w:color w:val="auto"/>
        </w:rPr>
      </w:pPr>
    </w:p>
    <w:p>
      <w:pPr>
        <w:ind w:left="940" w:hanging="284"/>
        <w:spacing w:after="0"/>
        <w:tabs>
          <w:tab w:leader="none" w:pos="94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Further expanded the salesforce to 55 representatives to execute Dx/Rx strategy.</w:t>
      </w:r>
    </w:p>
    <w:p>
      <w:pPr>
        <w:spacing w:after="0" w:line="391"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0"/>
          <w:szCs w:val="20"/>
          <w:color w:val="auto"/>
        </w:rPr>
        <w:t>“The Exagen team took an important step in the quarter by completing our initial public offering, which will help enable the company’s continued growth. The company continues to execute at a high level, delivering another record quarter of testing volumes, increasing the number of ordering healthcare providers, and benefiting patients suffering from chronic autoimmune diseases. This continued traction resulted in revenue growth of 27%. Our results are indicative of our momentum and we believe we are well-positioned for continued growth in 2019 and beyond,” said Ron Rocca, Exagen President and Chief Executive Officer. “The Company’s Dx/Rx strategy is gaining momentum, with SIMPONI</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20"/>
          <w:szCs w:val="20"/>
          <w:color w:val="auto"/>
        </w:rPr>
        <w:t xml:space="preserve"> delivering incremental revenue in the quarter. Our recently expanded sales force positions Exagen to execute on the significant opportunity in front of the company.”</w:t>
      </w: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Third Quarter 2019 Financial Results</w:t>
      </w:r>
    </w:p>
    <w:p>
      <w:pPr>
        <w:sectPr>
          <w:pgSz w:w="11900" w:h="16838" w:orient="portrait"/>
          <w:cols w:equalWidth="0" w:num="1">
            <w:col w:w="11300"/>
          </w:cols>
          <w:pgMar w:left="240" w:top="1440" w:right="359" w:bottom="1440" w:gutter="0" w:footer="0" w:header="0"/>
        </w:sectPr>
      </w:pPr>
    </w:p>
    <w:bookmarkStart w:id="4" w:name="page5"/>
    <w:bookmarkEnd w:id="4"/>
    <w:p>
      <w:pPr>
        <w:ind w:right="200"/>
        <w:spacing w:after="0" w:line="268" w:lineRule="auto"/>
        <w:rPr>
          <w:sz w:val="20"/>
          <w:szCs w:val="20"/>
          <w:color w:val="auto"/>
        </w:rPr>
      </w:pPr>
      <w:r>
        <w:rPr>
          <w:rFonts w:ascii="Times New Roman" w:cs="Times New Roman" w:eastAsia="Times New Roman" w:hAnsi="Times New Roman"/>
          <w:sz w:val="20"/>
          <w:szCs w:val="20"/>
          <w:color w:val="auto"/>
        </w:rPr>
        <w:t>Revenue for the three months ended September 30, 2019 was $10.4 million, compared with $8.2 million in the third quarter of 2018. Testing revenues increased to $10.0 million, or a 23% increase compared to the third quarter of 2018, driven by record testing volumes in AVISE® CTD, including AVISE® Lupus. Revenue from our co-promotion efforts contributed to $0.4 million in the third quarter of 2019.</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Gross margins improved to 54% in the third quarter of 2019 compared to 53% in the third quarter of 2018, driven by higher testing volumes.</w:t>
      </w:r>
    </w:p>
    <w:p>
      <w:pPr>
        <w:spacing w:after="0" w:line="148" w:lineRule="exact"/>
        <w:rPr>
          <w:sz w:val="20"/>
          <w:szCs w:val="20"/>
          <w:color w:val="auto"/>
        </w:rPr>
      </w:pPr>
    </w:p>
    <w:p>
      <w:pPr>
        <w:ind w:right="660"/>
        <w:spacing w:after="0" w:line="283" w:lineRule="auto"/>
        <w:rPr>
          <w:sz w:val="20"/>
          <w:szCs w:val="20"/>
          <w:color w:val="auto"/>
        </w:rPr>
      </w:pPr>
      <w:r>
        <w:rPr>
          <w:rFonts w:ascii="Times New Roman" w:cs="Times New Roman" w:eastAsia="Times New Roman" w:hAnsi="Times New Roman"/>
          <w:sz w:val="20"/>
          <w:szCs w:val="20"/>
          <w:color w:val="auto"/>
        </w:rPr>
        <w:t>Operating expenses increased to $12.6 million in the third quarter of 2019, compared with $9.4 million in the third quarter of 2018, due primarily to an increase in selling, general, and administrative expenses associated with the salesforce expansion.</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For the third quarter of 2019, net loss was $3.1 million compared to a net loss of $1.8 million in the third quarter of 2018.</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Cash and cash equivalents were approximately $77.8 million as of September 30, 2019.</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2019 Guidance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For the full year 2019, Exagen expects revenue to be in the range of $40 million to $41 million.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Conference Call</w:t>
      </w:r>
    </w:p>
    <w:p>
      <w:pPr>
        <w:spacing w:after="0" w:line="152" w:lineRule="exact"/>
        <w:rPr>
          <w:sz w:val="20"/>
          <w:szCs w:val="20"/>
          <w:color w:val="auto"/>
        </w:rPr>
      </w:pPr>
    </w:p>
    <w:p>
      <w:pPr>
        <w:spacing w:after="0" w:line="278" w:lineRule="auto"/>
        <w:rPr>
          <w:sz w:val="20"/>
          <w:szCs w:val="20"/>
          <w:color w:val="auto"/>
        </w:rPr>
      </w:pPr>
      <w:r>
        <w:rPr>
          <w:rFonts w:ascii="Times New Roman" w:cs="Times New Roman" w:eastAsia="Times New Roman" w:hAnsi="Times New Roman"/>
          <w:sz w:val="19"/>
          <w:szCs w:val="19"/>
          <w:color w:val="auto"/>
        </w:rPr>
        <w:t>A conference call to discuss third quarter 2019 financial results is scheduled for today November 12th, 2019 at 4:30 PM Eastern Time (1:30PM Pacific Time). Interested parties may access the conference call by dialing (877) 407-3982 (U.S.) or (201) 493-6780 (international). Media and individuals will be in a listen-only mode. Participants are asked to dial in a few minutes prior to the call to register for the event. A replay of the conference call will be available until Tuesday, November 19, 2019 at 11:59 PM Eastern Time (8:59 PM Pacific Time). Interested parties may access the replay of the conference call by dialing (844) 512-2921 (U.S.) or (412) 317-6671 (international) using passcode 13695740.</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About Exagen</w:t>
      </w:r>
    </w:p>
    <w:p>
      <w:pPr>
        <w:spacing w:after="0" w:line="166" w:lineRule="exact"/>
        <w:rPr>
          <w:sz w:val="20"/>
          <w:szCs w:val="20"/>
          <w:color w:val="auto"/>
        </w:rPr>
      </w:pPr>
    </w:p>
    <w:p>
      <w:pPr>
        <w:ind w:right="120"/>
        <w:spacing w:after="0" w:line="273" w:lineRule="auto"/>
        <w:rPr>
          <w:sz w:val="20"/>
          <w:szCs w:val="20"/>
          <w:color w:val="auto"/>
        </w:rPr>
      </w:pPr>
      <w:r>
        <w:rPr>
          <w:rFonts w:ascii="Times New Roman" w:cs="Times New Roman" w:eastAsia="Times New Roman" w:hAnsi="Times New Roman"/>
          <w:sz w:val="19"/>
          <w:szCs w:val="19"/>
          <w:color w:val="auto"/>
        </w:rPr>
        <w:t xml:space="preserve">Exagen is dedicated to transforming the care continuum for patients suffering from debilitating and chronic autoimmune diseases by enabling timely differential diagnosis and optimizing therapeutic intervention. Exagen has developed and is commercializing a portfolio of innovative testing products under its AVISE® brand, several of which are based on our proprietary Cell-Bound Complement Activation Products, or CB-CAPs, technology. CB-CAPs assess the activation of the complement system, a biological pathway that is widely implicated across many autoimmune and autoimmune-related diseases, including systemic lupus erythematosus, or SLE. Exagen’s goal is to enable rheumatologists to improve care for patients through the differential diagnosis, prognosis and monitoring of complex autoimmune and autoimmune-related diseases, including SLE and rheumatoid arthritis, or RA. Exagen’s model of integrating testing products and therapeutics positions Exagen to offer targeted solutions to rheumatologists and, ultimately, better serve patients. For more information, please visit </w:t>
      </w:r>
      <w:r>
        <w:rPr>
          <w:rFonts w:ascii="Times New Roman" w:cs="Times New Roman" w:eastAsia="Times New Roman" w:hAnsi="Times New Roman"/>
          <w:sz w:val="19"/>
          <w:szCs w:val="19"/>
          <w:u w:val="single" w:color="auto"/>
          <w:color w:val="0563C1"/>
        </w:rPr>
        <w:t>www.Exagen.com</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Forward Looking Statements</w:t>
      </w:r>
    </w:p>
    <w:p>
      <w:pPr>
        <w:spacing w:after="0" w:line="166"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20"/>
          <w:szCs w:val="20"/>
          <w:color w:val="auto"/>
        </w:rPr>
        <w:t>Exagen cautions you that statements contained in this press release regarding matters that are not historical facts are forward-looking statements. These statements are based on the company’s current beliefs and expectations. Such forward-looking statements include, but are not limited to, statements regarding: the company’s belief it is positioned for continued growth in 2019 and beyond, including</w:t>
      </w:r>
    </w:p>
    <w:p>
      <w:pPr>
        <w:sectPr>
          <w:pgSz w:w="11900" w:h="16838" w:orient="portrait"/>
          <w:cols w:equalWidth="0" w:num="1">
            <w:col w:w="11400"/>
          </w:cols>
          <w:pgMar w:left="240" w:top="1427" w:right="259" w:bottom="1440" w:gutter="0" w:footer="0" w:header="0"/>
        </w:sectPr>
      </w:pPr>
    </w:p>
    <w:bookmarkStart w:id="5" w:name="page6"/>
    <w:bookmarkEnd w:id="5"/>
    <w:p>
      <w:pPr>
        <w:spacing w:after="0" w:line="270" w:lineRule="auto"/>
        <w:rPr>
          <w:sz w:val="20"/>
          <w:szCs w:val="20"/>
          <w:color w:val="auto"/>
        </w:rPr>
      </w:pPr>
      <w:r>
        <w:rPr>
          <w:rFonts w:ascii="Times New Roman" w:cs="Times New Roman" w:eastAsia="Times New Roman" w:hAnsi="Times New Roman"/>
          <w:sz w:val="19"/>
          <w:szCs w:val="19"/>
          <w:color w:val="auto"/>
        </w:rPr>
        <w:t>potential future momentum in the Dx/Rx strategy; and full year 2019 guidance. The inclusion of forward-looking statements should not be regarded as a representation by Exagen that any of its plans will be achieved. Actual results may differ from those set forth in this press release due to the risks and uncertainties inherent in Exagen’s business, including, without limitation: the company’s commercial success depends upon attaining and maintaining significant market acceptance of its testing products and promoted therapeutics among rheumatologists, patients, third-party payers and others in the medical community; the company’s ability to successfully execute on its Dx/Rx strategy, including its promotion efforts for SIMPONI®; the company’s dependence on third parties for reagents, equipment and other materials used in its testing products; third-party payers not providing coverage and adequate reimbursement for the company’s testing products or promoted therapeutics; the company’s ability to obtain and maintain intellectual property protection for its testing products; regulatory developments affecting the company’s business; the company may not achieve its guidance for 2019; and other risks described in the company’s prior press releases and the Company’s filings with the Securities and Exchange Commission (SEC), including under the heading “Risk Factors” in the Company’s Registration Statement on Form S-1 and any subsequent filings with the SEC. You are cautioned not to place undue reliance on these forward-looking statements, which speak only as of the date hereof, and Exagen undertakes no obligation to update such statements to reflect events that occur or circumstances that exist after the date hereof. All forward-looking statements are qualified in their entirety by this cautionary statement, which is made under the safe harbor provisions of the Private Securities Litigation Reform Act of 1995.</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CONTACTS: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Investors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Westwicke Partners</w:t>
      </w:r>
    </w:p>
    <w:p>
      <w:pPr>
        <w:spacing w:after="0"/>
        <w:rPr>
          <w:sz w:val="20"/>
          <w:szCs w:val="20"/>
          <w:color w:val="auto"/>
        </w:rPr>
      </w:pPr>
      <w:r>
        <w:rPr>
          <w:rFonts w:ascii="Times New Roman" w:cs="Times New Roman" w:eastAsia="Times New Roman" w:hAnsi="Times New Roman"/>
          <w:sz w:val="20"/>
          <w:szCs w:val="20"/>
          <w:color w:val="auto"/>
        </w:rPr>
        <w:t>Mike Cavanaugh</w:t>
      </w:r>
    </w:p>
    <w:p>
      <w:pPr>
        <w:spacing w:after="0"/>
        <w:rPr>
          <w:sz w:val="20"/>
          <w:szCs w:val="20"/>
          <w:color w:val="auto"/>
        </w:rPr>
      </w:pPr>
      <w:r>
        <w:rPr>
          <w:rFonts w:ascii="Times New Roman" w:cs="Times New Roman" w:eastAsia="Times New Roman" w:hAnsi="Times New Roman"/>
          <w:sz w:val="20"/>
          <w:szCs w:val="20"/>
          <w:u w:val="single" w:color="auto"/>
          <w:color w:val="0563C1"/>
        </w:rPr>
        <w:t>Mike.Cavanaugh@westwicke.com</w:t>
      </w:r>
    </w:p>
    <w:p>
      <w:pPr>
        <w:spacing w:after="0"/>
        <w:rPr>
          <w:sz w:val="20"/>
          <w:szCs w:val="20"/>
          <w:color w:val="auto"/>
        </w:rPr>
      </w:pPr>
      <w:r>
        <w:rPr>
          <w:rFonts w:ascii="Times New Roman" w:cs="Times New Roman" w:eastAsia="Times New Roman" w:hAnsi="Times New Roman"/>
          <w:sz w:val="20"/>
          <w:szCs w:val="20"/>
          <w:color w:val="auto"/>
        </w:rPr>
        <w:t>646.677.1838</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Company</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Exagen Inc.</w:t>
      </w:r>
    </w:p>
    <w:p>
      <w:pPr>
        <w:spacing w:after="0"/>
        <w:rPr>
          <w:sz w:val="20"/>
          <w:szCs w:val="20"/>
          <w:color w:val="auto"/>
        </w:rPr>
      </w:pPr>
      <w:r>
        <w:rPr>
          <w:rFonts w:ascii="Times New Roman" w:cs="Times New Roman" w:eastAsia="Times New Roman" w:hAnsi="Times New Roman"/>
          <w:sz w:val="20"/>
          <w:szCs w:val="20"/>
          <w:color w:val="auto"/>
        </w:rPr>
        <w:t>Kamal Adawi</w:t>
      </w:r>
    </w:p>
    <w:p>
      <w:pPr>
        <w:spacing w:after="0"/>
        <w:rPr>
          <w:sz w:val="20"/>
          <w:szCs w:val="20"/>
          <w:color w:val="auto"/>
        </w:rPr>
      </w:pPr>
      <w:r>
        <w:rPr>
          <w:rFonts w:ascii="Times New Roman" w:cs="Times New Roman" w:eastAsia="Times New Roman" w:hAnsi="Times New Roman"/>
          <w:sz w:val="20"/>
          <w:szCs w:val="20"/>
          <w:color w:val="0563C1"/>
        </w:rPr>
        <w:t>kadawi@exagen.com</w:t>
      </w:r>
    </w:p>
    <w:p>
      <w:pPr>
        <w:spacing w:after="0"/>
        <w:rPr>
          <w:sz w:val="20"/>
          <w:szCs w:val="20"/>
          <w:color w:val="auto"/>
        </w:rPr>
      </w:pPr>
      <w:r>
        <w:rPr>
          <w:rFonts w:ascii="Times New Roman" w:cs="Times New Roman" w:eastAsia="Times New Roman" w:hAnsi="Times New Roman"/>
          <w:sz w:val="20"/>
          <w:szCs w:val="20"/>
          <w:color w:val="auto"/>
        </w:rPr>
        <w:t>760.477.5514</w:t>
      </w:r>
    </w:p>
    <w:p>
      <w:pPr>
        <w:sectPr>
          <w:pgSz w:w="11900" w:h="16838" w:orient="portrait"/>
          <w:cols w:equalWidth="0" w:num="1">
            <w:col w:w="11400"/>
          </w:cols>
          <w:pgMar w:left="240" w:top="1427" w:right="259" w:bottom="1440" w:gutter="0" w:footer="0" w:header="0"/>
        </w:sectPr>
      </w:pPr>
    </w:p>
    <w:bookmarkStart w:id="6" w:name="page7"/>
    <w:bookmarkEnd w:id="6"/>
    <w:p>
      <w:pPr>
        <w:ind w:left="5200"/>
        <w:spacing w:after="0"/>
        <w:rPr>
          <w:sz w:val="20"/>
          <w:szCs w:val="20"/>
          <w:color w:val="auto"/>
        </w:rPr>
      </w:pPr>
      <w:r>
        <w:rPr>
          <w:rFonts w:ascii="Arial" w:cs="Arial" w:eastAsia="Arial" w:hAnsi="Arial"/>
          <w:sz w:val="18"/>
          <w:szCs w:val="18"/>
          <w:b w:val="1"/>
          <w:bCs w:val="1"/>
          <w:color w:val="auto"/>
        </w:rPr>
        <w:t>Exagen Inc.</w:t>
      </w:r>
    </w:p>
    <w:p>
      <w:pPr>
        <w:spacing w:after="0" w:line="117" w:lineRule="exact"/>
        <w:rPr>
          <w:sz w:val="20"/>
          <w:szCs w:val="20"/>
          <w:color w:val="auto"/>
        </w:rPr>
      </w:pPr>
    </w:p>
    <w:p>
      <w:pPr>
        <w:ind w:left="3620"/>
        <w:spacing w:after="0"/>
        <w:rPr>
          <w:sz w:val="20"/>
          <w:szCs w:val="20"/>
          <w:color w:val="auto"/>
        </w:rPr>
      </w:pPr>
      <w:r>
        <w:rPr>
          <w:rFonts w:ascii="Arial" w:cs="Arial" w:eastAsia="Arial" w:hAnsi="Arial"/>
          <w:sz w:val="18"/>
          <w:szCs w:val="18"/>
          <w:b w:val="1"/>
          <w:bCs w:val="1"/>
          <w:color w:val="auto"/>
        </w:rPr>
        <w:t>Unaudited Condensed Statements of Operations</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80" w:type="dxa"/>
            <w:vAlign w:val="bottom"/>
            <w:gridSpan w:val="5"/>
          </w:tcPr>
          <w:p>
            <w:pPr>
              <w:ind w:left="140"/>
              <w:spacing w:after="0"/>
              <w:rPr>
                <w:sz w:val="20"/>
                <w:szCs w:val="20"/>
                <w:color w:val="auto"/>
              </w:rPr>
            </w:pPr>
            <w:r>
              <w:rPr>
                <w:rFonts w:ascii="Arial" w:cs="Arial" w:eastAsia="Arial" w:hAnsi="Arial"/>
                <w:sz w:val="14"/>
                <w:szCs w:val="14"/>
                <w:b w:val="1"/>
                <w:bCs w:val="1"/>
                <w:color w:val="auto"/>
              </w:rPr>
              <w:t>Three Months Ended September 30,</w:t>
            </w:r>
          </w:p>
        </w:tc>
        <w:tc>
          <w:tcPr>
            <w:tcW w:w="240" w:type="dxa"/>
            <w:vAlign w:val="bottom"/>
          </w:tcPr>
          <w:p>
            <w:pPr>
              <w:spacing w:after="0"/>
              <w:rPr>
                <w:sz w:val="17"/>
                <w:szCs w:val="17"/>
                <w:color w:val="auto"/>
              </w:rPr>
            </w:pPr>
          </w:p>
        </w:tc>
        <w:tc>
          <w:tcPr>
            <w:tcW w:w="2920" w:type="dxa"/>
            <w:vAlign w:val="bottom"/>
            <w:gridSpan w:val="4"/>
          </w:tcPr>
          <w:p>
            <w:pPr>
              <w:jc w:val="right"/>
              <w:ind w:right="328"/>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210"/>
        </w:trPr>
        <w:tc>
          <w:tcPr>
            <w:tcW w:w="492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405"/>
        </w:trPr>
        <w:tc>
          <w:tcPr>
            <w:tcW w:w="4920" w:type="dxa"/>
            <w:vAlign w:val="bottom"/>
          </w:tcPr>
          <w:p>
            <w:pPr>
              <w:spacing w:after="0"/>
              <w:rPr>
                <w:sz w:val="20"/>
                <w:szCs w:val="20"/>
                <w:color w:val="auto"/>
              </w:rPr>
            </w:pPr>
            <w:r>
              <w:rPr>
                <w:rFonts w:ascii="Arial" w:cs="Arial" w:eastAsia="Arial" w:hAnsi="Arial"/>
                <w:sz w:val="14"/>
                <w:szCs w:val="14"/>
                <w:color w:val="auto"/>
              </w:rPr>
              <w:t>Revenue</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300" w:type="dxa"/>
            <w:vAlign w:val="bottom"/>
          </w:tcPr>
          <w:p>
            <w:pPr>
              <w:jc w:val="right"/>
              <w:ind w:right="68"/>
              <w:spacing w:after="0"/>
              <w:rPr>
                <w:sz w:val="20"/>
                <w:szCs w:val="20"/>
                <w:color w:val="auto"/>
              </w:rPr>
            </w:pPr>
            <w:r>
              <w:rPr>
                <w:rFonts w:ascii="Arial" w:cs="Arial" w:eastAsia="Arial" w:hAnsi="Arial"/>
                <w:sz w:val="14"/>
                <w:szCs w:val="14"/>
                <w:color w:val="auto"/>
              </w:rPr>
              <w:t>10,439</w:t>
            </w:r>
          </w:p>
        </w:tc>
        <w:tc>
          <w:tcPr>
            <w:tcW w:w="120" w:type="dxa"/>
            <w:vAlign w:val="bottom"/>
          </w:tcPr>
          <w:p>
            <w:pPr>
              <w:spacing w:after="0"/>
              <w:rPr>
                <w:sz w:val="24"/>
                <w:szCs w:val="24"/>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88"/>
              <w:spacing w:after="0"/>
              <w:rPr>
                <w:sz w:val="20"/>
                <w:szCs w:val="20"/>
                <w:color w:val="auto"/>
              </w:rPr>
            </w:pPr>
            <w:r>
              <w:rPr>
                <w:rFonts w:ascii="Arial" w:cs="Arial" w:eastAsia="Arial" w:hAnsi="Arial"/>
                <w:sz w:val="14"/>
                <w:szCs w:val="14"/>
                <w:color w:val="auto"/>
              </w:rPr>
              <w:t>8,223</w:t>
            </w:r>
          </w:p>
        </w:tc>
        <w:tc>
          <w:tcPr>
            <w:tcW w:w="120" w:type="dxa"/>
            <w:vAlign w:val="bottom"/>
          </w:tcPr>
          <w:p>
            <w:pPr>
              <w:spacing w:after="0"/>
              <w:rPr>
                <w:sz w:val="24"/>
                <w:szCs w:val="24"/>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68"/>
              <w:spacing w:after="0"/>
              <w:rPr>
                <w:sz w:val="20"/>
                <w:szCs w:val="20"/>
                <w:color w:val="auto"/>
              </w:rPr>
            </w:pPr>
            <w:r>
              <w:rPr>
                <w:rFonts w:ascii="Arial" w:cs="Arial" w:eastAsia="Arial" w:hAnsi="Arial"/>
                <w:sz w:val="14"/>
                <w:szCs w:val="14"/>
                <w:color w:val="auto"/>
              </w:rPr>
              <w:t>30,173</w:t>
            </w:r>
          </w:p>
        </w:tc>
        <w:tc>
          <w:tcPr>
            <w:tcW w:w="120" w:type="dxa"/>
            <w:vAlign w:val="bottom"/>
          </w:tcPr>
          <w:p>
            <w:pPr>
              <w:spacing w:after="0"/>
              <w:rPr>
                <w:sz w:val="24"/>
                <w:szCs w:val="24"/>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22,799</w:t>
            </w:r>
          </w:p>
        </w:tc>
        <w:tc>
          <w:tcPr>
            <w:tcW w:w="0" w:type="dxa"/>
            <w:vAlign w:val="bottom"/>
          </w:tcPr>
          <w:p>
            <w:pPr>
              <w:spacing w:after="0"/>
              <w:rPr>
                <w:sz w:val="1"/>
                <w:szCs w:val="1"/>
                <w:color w:val="auto"/>
              </w:rPr>
            </w:pPr>
          </w:p>
        </w:tc>
      </w:tr>
      <w:tr>
        <w:trPr>
          <w:trHeight w:val="216"/>
        </w:trPr>
        <w:tc>
          <w:tcPr>
            <w:tcW w:w="4920" w:type="dxa"/>
            <w:vAlign w:val="bottom"/>
          </w:tcPr>
          <w:p>
            <w:pPr>
              <w:spacing w:after="0"/>
              <w:rPr>
                <w:sz w:val="20"/>
                <w:szCs w:val="20"/>
                <w:color w:val="auto"/>
              </w:rPr>
            </w:pPr>
            <w:r>
              <w:rPr>
                <w:rFonts w:ascii="Arial" w:cs="Arial" w:eastAsia="Arial" w:hAnsi="Arial"/>
                <w:sz w:val="14"/>
                <w:szCs w:val="14"/>
                <w:color w:val="auto"/>
              </w:rPr>
              <w:t>Operating expenses:</w:t>
            </w: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tcPr>
          <w:p>
            <w:pPr>
              <w:ind w:left="320"/>
              <w:spacing w:after="0"/>
              <w:rPr>
                <w:sz w:val="20"/>
                <w:szCs w:val="20"/>
                <w:color w:val="auto"/>
              </w:rPr>
            </w:pPr>
            <w:r>
              <w:rPr>
                <w:rFonts w:ascii="Arial" w:cs="Arial" w:eastAsia="Arial" w:hAnsi="Arial"/>
                <w:sz w:val="14"/>
                <w:szCs w:val="14"/>
                <w:color w:val="auto"/>
              </w:rPr>
              <w:t>Costs of revenue (excluding amortization of purchased technology)</w:t>
            </w:r>
          </w:p>
        </w:tc>
        <w:tc>
          <w:tcPr>
            <w:tcW w:w="220" w:type="dxa"/>
            <w:vAlign w:val="bottom"/>
          </w:tcPr>
          <w:p>
            <w:pPr>
              <w:spacing w:after="0"/>
              <w:rPr>
                <w:sz w:val="18"/>
                <w:szCs w:val="18"/>
                <w:color w:val="auto"/>
              </w:rPr>
            </w:pPr>
          </w:p>
        </w:tc>
        <w:tc>
          <w:tcPr>
            <w:tcW w:w="1300" w:type="dxa"/>
            <w:vAlign w:val="bottom"/>
          </w:tcPr>
          <w:p>
            <w:pPr>
              <w:jc w:val="right"/>
              <w:ind w:right="68"/>
              <w:spacing w:after="0"/>
              <w:rPr>
                <w:sz w:val="20"/>
                <w:szCs w:val="20"/>
                <w:color w:val="auto"/>
              </w:rPr>
            </w:pPr>
            <w:r>
              <w:rPr>
                <w:rFonts w:ascii="Arial" w:cs="Arial" w:eastAsia="Arial" w:hAnsi="Arial"/>
                <w:sz w:val="14"/>
                <w:szCs w:val="14"/>
                <w:color w:val="auto"/>
              </w:rPr>
              <w:t>4,783</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ind w:right="88"/>
              <w:spacing w:after="0"/>
              <w:rPr>
                <w:sz w:val="20"/>
                <w:szCs w:val="20"/>
                <w:color w:val="auto"/>
              </w:rPr>
            </w:pPr>
            <w:r>
              <w:rPr>
                <w:rFonts w:ascii="Arial" w:cs="Arial" w:eastAsia="Arial" w:hAnsi="Arial"/>
                <w:sz w:val="14"/>
                <w:szCs w:val="14"/>
                <w:color w:val="auto"/>
              </w:rPr>
              <w:t>3,852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jc w:val="right"/>
              <w:ind w:right="68"/>
              <w:spacing w:after="0"/>
              <w:rPr>
                <w:sz w:val="20"/>
                <w:szCs w:val="20"/>
                <w:color w:val="auto"/>
              </w:rPr>
            </w:pPr>
            <w:r>
              <w:rPr>
                <w:rFonts w:ascii="Arial" w:cs="Arial" w:eastAsia="Arial" w:hAnsi="Arial"/>
                <w:sz w:val="14"/>
                <w:szCs w:val="14"/>
                <w:color w:val="auto"/>
              </w:rPr>
              <w:t>14,217</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11,376</w:t>
            </w:r>
          </w:p>
        </w:tc>
        <w:tc>
          <w:tcPr>
            <w:tcW w:w="0" w:type="dxa"/>
            <w:vAlign w:val="bottom"/>
          </w:tcPr>
          <w:p>
            <w:pPr>
              <w:spacing w:after="0"/>
              <w:rPr>
                <w:sz w:val="1"/>
                <w:szCs w:val="1"/>
                <w:color w:val="auto"/>
              </w:rPr>
            </w:pPr>
          </w:p>
        </w:tc>
      </w:tr>
      <w:tr>
        <w:trPr>
          <w:trHeight w:val="216"/>
        </w:trPr>
        <w:tc>
          <w:tcPr>
            <w:tcW w:w="4920" w:type="dxa"/>
            <w:vAlign w:val="bottom"/>
          </w:tcPr>
          <w:p>
            <w:pPr>
              <w:ind w:left="320"/>
              <w:spacing w:after="0"/>
              <w:rPr>
                <w:sz w:val="20"/>
                <w:szCs w:val="20"/>
                <w:color w:val="auto"/>
              </w:rPr>
            </w:pPr>
            <w:r>
              <w:rPr>
                <w:rFonts w:ascii="Arial" w:cs="Arial" w:eastAsia="Arial" w:hAnsi="Arial"/>
                <w:sz w:val="14"/>
                <w:szCs w:val="14"/>
                <w:color w:val="auto"/>
              </w:rPr>
              <w:t>Selling, general and administrative expenses</w:t>
            </w:r>
          </w:p>
        </w:tc>
        <w:tc>
          <w:tcPr>
            <w:tcW w:w="220" w:type="dxa"/>
            <w:vAlign w:val="bottom"/>
          </w:tcPr>
          <w:p>
            <w:pPr>
              <w:spacing w:after="0"/>
              <w:rPr>
                <w:sz w:val="18"/>
                <w:szCs w:val="18"/>
                <w:color w:val="auto"/>
              </w:rPr>
            </w:pPr>
          </w:p>
        </w:tc>
        <w:tc>
          <w:tcPr>
            <w:tcW w:w="1300" w:type="dxa"/>
            <w:vAlign w:val="bottom"/>
          </w:tcPr>
          <w:p>
            <w:pPr>
              <w:jc w:val="right"/>
              <w:ind w:right="68"/>
              <w:spacing w:after="0"/>
              <w:rPr>
                <w:sz w:val="20"/>
                <w:szCs w:val="20"/>
                <w:color w:val="auto"/>
              </w:rPr>
            </w:pPr>
            <w:r>
              <w:rPr>
                <w:rFonts w:ascii="Arial" w:cs="Arial" w:eastAsia="Arial" w:hAnsi="Arial"/>
                <w:sz w:val="14"/>
                <w:szCs w:val="14"/>
                <w:color w:val="auto"/>
              </w:rPr>
              <w:t>7,306</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ind w:right="88"/>
              <w:spacing w:after="0"/>
              <w:rPr>
                <w:sz w:val="20"/>
                <w:szCs w:val="20"/>
                <w:color w:val="auto"/>
              </w:rPr>
            </w:pPr>
            <w:r>
              <w:rPr>
                <w:rFonts w:ascii="Arial" w:cs="Arial" w:eastAsia="Arial" w:hAnsi="Arial"/>
                <w:sz w:val="14"/>
                <w:szCs w:val="14"/>
                <w:color w:val="auto"/>
              </w:rPr>
              <w:t>4,932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jc w:val="right"/>
              <w:ind w:right="68"/>
              <w:spacing w:after="0"/>
              <w:rPr>
                <w:sz w:val="20"/>
                <w:szCs w:val="20"/>
                <w:color w:val="auto"/>
              </w:rPr>
            </w:pPr>
            <w:r>
              <w:rPr>
                <w:rFonts w:ascii="Arial" w:cs="Arial" w:eastAsia="Arial" w:hAnsi="Arial"/>
                <w:sz w:val="14"/>
                <w:szCs w:val="14"/>
                <w:color w:val="auto"/>
              </w:rPr>
              <w:t>20,787</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14,419</w:t>
            </w:r>
          </w:p>
        </w:tc>
        <w:tc>
          <w:tcPr>
            <w:tcW w:w="0" w:type="dxa"/>
            <w:vAlign w:val="bottom"/>
          </w:tcPr>
          <w:p>
            <w:pPr>
              <w:spacing w:after="0"/>
              <w:rPr>
                <w:sz w:val="1"/>
                <w:szCs w:val="1"/>
                <w:color w:val="auto"/>
              </w:rPr>
            </w:pPr>
          </w:p>
        </w:tc>
      </w:tr>
      <w:tr>
        <w:trPr>
          <w:trHeight w:val="216"/>
        </w:trPr>
        <w:tc>
          <w:tcPr>
            <w:tcW w:w="4920" w:type="dxa"/>
            <w:vAlign w:val="bottom"/>
          </w:tcPr>
          <w:p>
            <w:pPr>
              <w:ind w:left="320"/>
              <w:spacing w:after="0"/>
              <w:rPr>
                <w:sz w:val="20"/>
                <w:szCs w:val="20"/>
                <w:color w:val="auto"/>
              </w:rPr>
            </w:pPr>
            <w:r>
              <w:rPr>
                <w:rFonts w:ascii="Arial" w:cs="Arial" w:eastAsia="Arial" w:hAnsi="Arial"/>
                <w:sz w:val="14"/>
                <w:szCs w:val="14"/>
                <w:color w:val="auto"/>
              </w:rPr>
              <w:t>Research and development expenses</w:t>
            </w:r>
          </w:p>
        </w:tc>
        <w:tc>
          <w:tcPr>
            <w:tcW w:w="220" w:type="dxa"/>
            <w:vAlign w:val="bottom"/>
          </w:tcPr>
          <w:p>
            <w:pPr>
              <w:spacing w:after="0"/>
              <w:rPr>
                <w:sz w:val="18"/>
                <w:szCs w:val="18"/>
                <w:color w:val="auto"/>
              </w:rPr>
            </w:pPr>
          </w:p>
        </w:tc>
        <w:tc>
          <w:tcPr>
            <w:tcW w:w="1300" w:type="dxa"/>
            <w:vAlign w:val="bottom"/>
          </w:tcPr>
          <w:p>
            <w:pPr>
              <w:jc w:val="right"/>
              <w:ind w:right="68"/>
              <w:spacing w:after="0"/>
              <w:rPr>
                <w:sz w:val="20"/>
                <w:szCs w:val="20"/>
                <w:color w:val="auto"/>
              </w:rPr>
            </w:pPr>
            <w:r>
              <w:rPr>
                <w:rFonts w:ascii="Arial" w:cs="Arial" w:eastAsia="Arial" w:hAnsi="Arial"/>
                <w:sz w:val="14"/>
                <w:szCs w:val="14"/>
                <w:color w:val="auto"/>
              </w:rPr>
              <w:t>507</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ind w:right="88"/>
              <w:spacing w:after="0"/>
              <w:rPr>
                <w:sz w:val="20"/>
                <w:szCs w:val="20"/>
                <w:color w:val="auto"/>
              </w:rPr>
            </w:pPr>
            <w:r>
              <w:rPr>
                <w:rFonts w:ascii="Arial" w:cs="Arial" w:eastAsia="Arial" w:hAnsi="Arial"/>
                <w:sz w:val="14"/>
                <w:szCs w:val="14"/>
                <w:color w:val="auto"/>
              </w:rPr>
              <w:t>525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jc w:val="right"/>
              <w:ind w:right="68"/>
              <w:spacing w:after="0"/>
              <w:rPr>
                <w:sz w:val="20"/>
                <w:szCs w:val="20"/>
                <w:color w:val="auto"/>
              </w:rPr>
            </w:pPr>
            <w:r>
              <w:rPr>
                <w:rFonts w:ascii="Arial" w:cs="Arial" w:eastAsia="Arial" w:hAnsi="Arial"/>
                <w:sz w:val="14"/>
                <w:szCs w:val="14"/>
                <w:color w:val="auto"/>
              </w:rPr>
              <w:t>1,610</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1,592</w:t>
            </w:r>
          </w:p>
        </w:tc>
        <w:tc>
          <w:tcPr>
            <w:tcW w:w="0" w:type="dxa"/>
            <w:vAlign w:val="bottom"/>
          </w:tcPr>
          <w:p>
            <w:pPr>
              <w:spacing w:after="0"/>
              <w:rPr>
                <w:sz w:val="1"/>
                <w:szCs w:val="1"/>
                <w:color w:val="auto"/>
              </w:rPr>
            </w:pPr>
          </w:p>
        </w:tc>
      </w:tr>
      <w:tr>
        <w:trPr>
          <w:trHeight w:val="218"/>
        </w:trPr>
        <w:tc>
          <w:tcPr>
            <w:tcW w:w="4920" w:type="dxa"/>
            <w:vAlign w:val="bottom"/>
          </w:tcPr>
          <w:p>
            <w:pPr>
              <w:ind w:left="320"/>
              <w:spacing w:after="0"/>
              <w:rPr>
                <w:sz w:val="20"/>
                <w:szCs w:val="20"/>
                <w:color w:val="auto"/>
              </w:rPr>
            </w:pPr>
            <w:r>
              <w:rPr>
                <w:rFonts w:ascii="Arial" w:cs="Arial" w:eastAsia="Arial" w:hAnsi="Arial"/>
                <w:sz w:val="14"/>
                <w:szCs w:val="14"/>
                <w:color w:val="auto"/>
              </w:rPr>
              <w:t>Amortization of intangible assets</w:t>
            </w:r>
          </w:p>
        </w:tc>
        <w:tc>
          <w:tcPr>
            <w:tcW w:w="220" w:type="dxa"/>
            <w:vAlign w:val="bottom"/>
          </w:tcPr>
          <w:p>
            <w:pPr>
              <w:spacing w:after="0"/>
              <w:rPr>
                <w:sz w:val="18"/>
                <w:szCs w:val="18"/>
                <w:color w:val="auto"/>
              </w:rPr>
            </w:pPr>
          </w:p>
        </w:tc>
        <w:tc>
          <w:tcPr>
            <w:tcW w:w="14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8"/>
                <w:szCs w:val="18"/>
                <w:color w:val="auto"/>
              </w:rPr>
            </w:pPr>
          </w:p>
        </w:tc>
        <w:tc>
          <w:tcPr>
            <w:tcW w:w="1180" w:type="dxa"/>
            <w:vAlign w:val="bottom"/>
          </w:tcPr>
          <w:p>
            <w:pPr>
              <w:jc w:val="right"/>
              <w:ind w:right="88"/>
              <w:spacing w:after="0"/>
              <w:rPr>
                <w:sz w:val="20"/>
                <w:szCs w:val="20"/>
                <w:color w:val="auto"/>
              </w:rPr>
            </w:pPr>
            <w:r>
              <w:rPr>
                <w:rFonts w:ascii="Arial" w:cs="Arial" w:eastAsia="Arial" w:hAnsi="Arial"/>
                <w:sz w:val="14"/>
                <w:szCs w:val="14"/>
                <w:color w:val="auto"/>
              </w:rPr>
              <w:t>47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8"/>
                <w:szCs w:val="18"/>
                <w:color w:val="auto"/>
              </w:rPr>
            </w:pP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141</w:t>
            </w:r>
          </w:p>
        </w:tc>
        <w:tc>
          <w:tcPr>
            <w:tcW w:w="0" w:type="dxa"/>
            <w:vAlign w:val="bottom"/>
          </w:tcPr>
          <w:p>
            <w:pPr>
              <w:spacing w:after="0"/>
              <w:rPr>
                <w:sz w:val="1"/>
                <w:szCs w:val="1"/>
                <w:color w:val="auto"/>
              </w:rPr>
            </w:pPr>
          </w:p>
        </w:tc>
      </w:tr>
      <w:tr>
        <w:trPr>
          <w:trHeight w:val="210"/>
        </w:trPr>
        <w:tc>
          <w:tcPr>
            <w:tcW w:w="4920" w:type="dxa"/>
            <w:vAlign w:val="bottom"/>
          </w:tcPr>
          <w:p>
            <w:pPr>
              <w:ind w:left="640"/>
              <w:spacing w:after="0"/>
              <w:rPr>
                <w:sz w:val="20"/>
                <w:szCs w:val="20"/>
                <w:color w:val="auto"/>
              </w:rPr>
            </w:pPr>
            <w:r>
              <w:rPr>
                <w:rFonts w:ascii="Arial" w:cs="Arial" w:eastAsia="Arial" w:hAnsi="Arial"/>
                <w:sz w:val="14"/>
                <w:szCs w:val="14"/>
                <w:color w:val="auto"/>
              </w:rPr>
              <w:t>Total operating expenses</w:t>
            </w:r>
          </w:p>
        </w:tc>
        <w:tc>
          <w:tcPr>
            <w:tcW w:w="22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12,596</w:t>
            </w:r>
          </w:p>
        </w:tc>
        <w:tc>
          <w:tcPr>
            <w:tcW w:w="120" w:type="dxa"/>
            <w:vAlign w:val="bottom"/>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9,356</w:t>
            </w:r>
          </w:p>
        </w:tc>
        <w:tc>
          <w:tcPr>
            <w:tcW w:w="12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36,614</w:t>
            </w:r>
          </w:p>
        </w:tc>
        <w:tc>
          <w:tcPr>
            <w:tcW w:w="120" w:type="dxa"/>
            <w:vAlign w:val="bottom"/>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27,528</w:t>
            </w:r>
          </w:p>
        </w:tc>
        <w:tc>
          <w:tcPr>
            <w:tcW w:w="0" w:type="dxa"/>
            <w:vAlign w:val="bottom"/>
          </w:tcPr>
          <w:p>
            <w:pPr>
              <w:spacing w:after="0"/>
              <w:rPr>
                <w:sz w:val="1"/>
                <w:szCs w:val="1"/>
                <w:color w:val="auto"/>
              </w:rPr>
            </w:pPr>
          </w:p>
        </w:tc>
      </w:tr>
      <w:tr>
        <w:trPr>
          <w:trHeight w:val="208"/>
        </w:trPr>
        <w:tc>
          <w:tcPr>
            <w:tcW w:w="4920" w:type="dxa"/>
            <w:vAlign w:val="bottom"/>
          </w:tcPr>
          <w:p>
            <w:pPr>
              <w:spacing w:after="0"/>
              <w:rPr>
                <w:sz w:val="20"/>
                <w:szCs w:val="20"/>
                <w:color w:val="auto"/>
              </w:rPr>
            </w:pPr>
            <w:r>
              <w:rPr>
                <w:rFonts w:ascii="Arial" w:cs="Arial" w:eastAsia="Arial" w:hAnsi="Arial"/>
                <w:sz w:val="14"/>
                <w:szCs w:val="14"/>
                <w:color w:val="auto"/>
              </w:rPr>
              <w:t>Loss from operations</w:t>
            </w:r>
          </w:p>
        </w:tc>
        <w:tc>
          <w:tcPr>
            <w:tcW w:w="220" w:type="dxa"/>
            <w:vAlign w:val="bottom"/>
          </w:tcPr>
          <w:p>
            <w:pPr>
              <w:spacing w:after="0"/>
              <w:rPr>
                <w:sz w:val="18"/>
                <w:szCs w:val="18"/>
                <w:color w:val="auto"/>
              </w:rPr>
            </w:pP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(2,157)</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(1,133)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(6,441)</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(4,729)</w:t>
            </w:r>
          </w:p>
        </w:tc>
        <w:tc>
          <w:tcPr>
            <w:tcW w:w="0" w:type="dxa"/>
            <w:vAlign w:val="bottom"/>
          </w:tcPr>
          <w:p>
            <w:pPr>
              <w:spacing w:after="0"/>
              <w:rPr>
                <w:sz w:val="1"/>
                <w:szCs w:val="1"/>
                <w:color w:val="auto"/>
              </w:rPr>
            </w:pPr>
          </w:p>
        </w:tc>
      </w:tr>
      <w:tr>
        <w:trPr>
          <w:trHeight w:val="216"/>
        </w:trPr>
        <w:tc>
          <w:tcPr>
            <w:tcW w:w="4920" w:type="dxa"/>
            <w:vAlign w:val="bottom"/>
          </w:tcPr>
          <w:p>
            <w:pPr>
              <w:spacing w:after="0"/>
              <w:rPr>
                <w:sz w:val="20"/>
                <w:szCs w:val="20"/>
                <w:color w:val="auto"/>
              </w:rPr>
            </w:pPr>
            <w:r>
              <w:rPr>
                <w:rFonts w:ascii="Arial" w:cs="Arial" w:eastAsia="Arial" w:hAnsi="Arial"/>
                <w:sz w:val="14"/>
                <w:szCs w:val="14"/>
                <w:color w:val="auto"/>
              </w:rPr>
              <w:t>Interest expense</w:t>
            </w:r>
          </w:p>
        </w:tc>
        <w:tc>
          <w:tcPr>
            <w:tcW w:w="220" w:type="dxa"/>
            <w:vAlign w:val="bottom"/>
          </w:tcPr>
          <w:p>
            <w:pPr>
              <w:spacing w:after="0"/>
              <w:rPr>
                <w:sz w:val="18"/>
                <w:szCs w:val="18"/>
                <w:color w:val="auto"/>
              </w:rPr>
            </w:pP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(909)</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(704)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(2,720)</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(2,098)</w:t>
            </w:r>
          </w:p>
        </w:tc>
        <w:tc>
          <w:tcPr>
            <w:tcW w:w="0" w:type="dxa"/>
            <w:vAlign w:val="bottom"/>
          </w:tcPr>
          <w:p>
            <w:pPr>
              <w:spacing w:after="0"/>
              <w:rPr>
                <w:sz w:val="1"/>
                <w:szCs w:val="1"/>
                <w:color w:val="auto"/>
              </w:rPr>
            </w:pPr>
          </w:p>
        </w:tc>
      </w:tr>
      <w:tr>
        <w:trPr>
          <w:trHeight w:val="216"/>
        </w:trPr>
        <w:tc>
          <w:tcPr>
            <w:tcW w:w="4920" w:type="dxa"/>
            <w:vAlign w:val="bottom"/>
          </w:tcPr>
          <w:p>
            <w:pPr>
              <w:spacing w:after="0"/>
              <w:rPr>
                <w:sz w:val="20"/>
                <w:szCs w:val="20"/>
                <w:color w:val="auto"/>
              </w:rPr>
            </w:pPr>
            <w:r>
              <w:rPr>
                <w:rFonts w:ascii="Arial" w:cs="Arial" w:eastAsia="Arial" w:hAnsi="Arial"/>
                <w:sz w:val="14"/>
                <w:szCs w:val="14"/>
                <w:color w:val="auto"/>
              </w:rPr>
              <w:t>Change in fair value of financial instruments</w:t>
            </w:r>
          </w:p>
        </w:tc>
        <w:tc>
          <w:tcPr>
            <w:tcW w:w="220" w:type="dxa"/>
            <w:vAlign w:val="bottom"/>
          </w:tcPr>
          <w:p>
            <w:pPr>
              <w:spacing w:after="0"/>
              <w:rPr>
                <w:sz w:val="18"/>
                <w:szCs w:val="18"/>
                <w:color w:val="auto"/>
              </w:rPr>
            </w:pP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(200)</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ind w:right="88"/>
              <w:spacing w:after="0"/>
              <w:rPr>
                <w:sz w:val="20"/>
                <w:szCs w:val="20"/>
                <w:color w:val="auto"/>
              </w:rPr>
            </w:pPr>
            <w:r>
              <w:rPr>
                <w:rFonts w:ascii="Arial" w:cs="Arial" w:eastAsia="Arial" w:hAnsi="Arial"/>
                <w:sz w:val="14"/>
                <w:szCs w:val="14"/>
                <w:color w:val="auto"/>
              </w:rPr>
              <w:t>55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jc w:val="right"/>
              <w:ind w:right="68"/>
              <w:spacing w:after="0"/>
              <w:rPr>
                <w:sz w:val="20"/>
                <w:szCs w:val="20"/>
                <w:color w:val="auto"/>
              </w:rPr>
            </w:pPr>
            <w:r>
              <w:rPr>
                <w:rFonts w:ascii="Arial" w:cs="Arial" w:eastAsia="Arial" w:hAnsi="Arial"/>
                <w:sz w:val="14"/>
                <w:szCs w:val="14"/>
                <w:color w:val="auto"/>
              </w:rPr>
              <w:t>267</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ind w:right="68"/>
              <w:spacing w:after="0"/>
              <w:rPr>
                <w:sz w:val="20"/>
                <w:szCs w:val="20"/>
                <w:color w:val="auto"/>
              </w:rPr>
            </w:pPr>
            <w:r>
              <w:rPr>
                <w:rFonts w:ascii="Arial" w:cs="Arial" w:eastAsia="Arial" w:hAnsi="Arial"/>
                <w:sz w:val="14"/>
                <w:szCs w:val="14"/>
                <w:color w:val="auto"/>
              </w:rPr>
              <w:t>55</w:t>
            </w:r>
          </w:p>
        </w:tc>
        <w:tc>
          <w:tcPr>
            <w:tcW w:w="0" w:type="dxa"/>
            <w:vAlign w:val="bottom"/>
          </w:tcPr>
          <w:p>
            <w:pPr>
              <w:spacing w:after="0"/>
              <w:rPr>
                <w:sz w:val="1"/>
                <w:szCs w:val="1"/>
                <w:color w:val="auto"/>
              </w:rPr>
            </w:pPr>
          </w:p>
        </w:tc>
      </w:tr>
      <w:tr>
        <w:trPr>
          <w:trHeight w:val="218"/>
        </w:trPr>
        <w:tc>
          <w:tcPr>
            <w:tcW w:w="4920" w:type="dxa"/>
            <w:vAlign w:val="bottom"/>
          </w:tcPr>
          <w:p>
            <w:pPr>
              <w:spacing w:after="0"/>
              <w:rPr>
                <w:sz w:val="20"/>
                <w:szCs w:val="20"/>
                <w:color w:val="auto"/>
              </w:rPr>
            </w:pPr>
            <w:r>
              <w:rPr>
                <w:rFonts w:ascii="Arial" w:cs="Arial" w:eastAsia="Arial" w:hAnsi="Arial"/>
                <w:sz w:val="14"/>
                <w:szCs w:val="14"/>
                <w:color w:val="auto"/>
              </w:rPr>
              <w:t>Other income, net</w:t>
            </w:r>
          </w:p>
        </w:tc>
        <w:tc>
          <w:tcPr>
            <w:tcW w:w="2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125</w:t>
            </w:r>
          </w:p>
        </w:tc>
        <w:tc>
          <w:tcPr>
            <w:tcW w:w="1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26</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264</w:t>
            </w:r>
          </w:p>
        </w:tc>
        <w:tc>
          <w:tcPr>
            <w:tcW w:w="1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77</w:t>
            </w:r>
          </w:p>
        </w:tc>
        <w:tc>
          <w:tcPr>
            <w:tcW w:w="0" w:type="dxa"/>
            <w:vAlign w:val="bottom"/>
          </w:tcPr>
          <w:p>
            <w:pPr>
              <w:spacing w:after="0"/>
              <w:rPr>
                <w:sz w:val="1"/>
                <w:szCs w:val="1"/>
                <w:color w:val="auto"/>
              </w:rPr>
            </w:pPr>
          </w:p>
        </w:tc>
      </w:tr>
      <w:tr>
        <w:trPr>
          <w:trHeight w:val="208"/>
        </w:trPr>
        <w:tc>
          <w:tcPr>
            <w:tcW w:w="4920" w:type="dxa"/>
            <w:vAlign w:val="bottom"/>
          </w:tcPr>
          <w:p>
            <w:pPr>
              <w:spacing w:after="0"/>
              <w:rPr>
                <w:sz w:val="20"/>
                <w:szCs w:val="20"/>
                <w:color w:val="auto"/>
              </w:rPr>
            </w:pPr>
            <w:r>
              <w:rPr>
                <w:rFonts w:ascii="Arial" w:cs="Arial" w:eastAsia="Arial" w:hAnsi="Arial"/>
                <w:sz w:val="14"/>
                <w:szCs w:val="14"/>
                <w:color w:val="auto"/>
              </w:rPr>
              <w:t>Net loss</w:t>
            </w:r>
          </w:p>
        </w:tc>
        <w:tc>
          <w:tcPr>
            <w:tcW w:w="220" w:type="dxa"/>
            <w:vAlign w:val="bottom"/>
          </w:tcPr>
          <w:p>
            <w:pPr>
              <w:spacing w:after="0"/>
              <w:rPr>
                <w:sz w:val="18"/>
                <w:szCs w:val="18"/>
                <w:color w:val="auto"/>
              </w:rPr>
            </w:pP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(3,141)</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(1,756)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(8,630)</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(6,695)</w:t>
            </w:r>
          </w:p>
        </w:tc>
        <w:tc>
          <w:tcPr>
            <w:tcW w:w="0" w:type="dxa"/>
            <w:vAlign w:val="bottom"/>
          </w:tcPr>
          <w:p>
            <w:pPr>
              <w:spacing w:after="0"/>
              <w:rPr>
                <w:sz w:val="1"/>
                <w:szCs w:val="1"/>
                <w:color w:val="auto"/>
              </w:rPr>
            </w:pPr>
          </w:p>
        </w:tc>
      </w:tr>
      <w:tr>
        <w:trPr>
          <w:trHeight w:val="216"/>
        </w:trPr>
        <w:tc>
          <w:tcPr>
            <w:tcW w:w="4920" w:type="dxa"/>
            <w:vAlign w:val="bottom"/>
          </w:tcPr>
          <w:p>
            <w:pPr>
              <w:spacing w:after="0"/>
              <w:rPr>
                <w:sz w:val="20"/>
                <w:szCs w:val="20"/>
                <w:color w:val="auto"/>
              </w:rPr>
            </w:pPr>
            <w:r>
              <w:rPr>
                <w:rFonts w:ascii="Arial" w:cs="Arial" w:eastAsia="Arial" w:hAnsi="Arial"/>
                <w:sz w:val="14"/>
                <w:szCs w:val="14"/>
                <w:color w:val="auto"/>
              </w:rPr>
              <w:t>Accretion of redeemable convertible preferred stock</w:t>
            </w:r>
          </w:p>
        </w:tc>
        <w:tc>
          <w:tcPr>
            <w:tcW w:w="220" w:type="dxa"/>
            <w:vAlign w:val="bottom"/>
          </w:tcPr>
          <w:p>
            <w:pPr>
              <w:spacing w:after="0"/>
              <w:rPr>
                <w:sz w:val="18"/>
                <w:szCs w:val="18"/>
                <w:color w:val="auto"/>
              </w:rPr>
            </w:pP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(338)</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(2,768)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(4,640)</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(6,462)</w:t>
            </w:r>
          </w:p>
        </w:tc>
        <w:tc>
          <w:tcPr>
            <w:tcW w:w="0" w:type="dxa"/>
            <w:vAlign w:val="bottom"/>
          </w:tcPr>
          <w:p>
            <w:pPr>
              <w:spacing w:after="0"/>
              <w:rPr>
                <w:sz w:val="1"/>
                <w:szCs w:val="1"/>
                <w:color w:val="auto"/>
              </w:rPr>
            </w:pPr>
          </w:p>
        </w:tc>
      </w:tr>
      <w:tr>
        <w:trPr>
          <w:trHeight w:val="218"/>
        </w:trPr>
        <w:tc>
          <w:tcPr>
            <w:tcW w:w="4920" w:type="dxa"/>
            <w:vAlign w:val="bottom"/>
          </w:tcPr>
          <w:p>
            <w:pPr>
              <w:spacing w:after="0"/>
              <w:rPr>
                <w:sz w:val="20"/>
                <w:szCs w:val="20"/>
                <w:color w:val="auto"/>
              </w:rPr>
            </w:pPr>
            <w:r>
              <w:rPr>
                <w:rFonts w:ascii="Arial" w:cs="Arial" w:eastAsia="Arial" w:hAnsi="Arial"/>
                <w:sz w:val="14"/>
                <w:szCs w:val="14"/>
                <w:color w:val="auto"/>
              </w:rPr>
              <w:t>Deemed dividend recorded in connection with financing transactions</w:t>
            </w:r>
          </w:p>
        </w:tc>
        <w:tc>
          <w:tcPr>
            <w:tcW w:w="220" w:type="dxa"/>
            <w:vAlign w:val="bottom"/>
          </w:tcPr>
          <w:p>
            <w:pPr>
              <w:spacing w:after="0"/>
              <w:rPr>
                <w:sz w:val="18"/>
                <w:szCs w:val="18"/>
                <w:color w:val="auto"/>
              </w:rPr>
            </w:pP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(13,601)</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8"/>
                <w:szCs w:val="18"/>
                <w:color w:val="auto"/>
              </w:rPr>
            </w:pP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(13,601)</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(1,152)</w:t>
            </w:r>
          </w:p>
        </w:tc>
        <w:tc>
          <w:tcPr>
            <w:tcW w:w="0" w:type="dxa"/>
            <w:vAlign w:val="bottom"/>
          </w:tcPr>
          <w:p>
            <w:pPr>
              <w:spacing w:after="0"/>
              <w:rPr>
                <w:sz w:val="1"/>
                <w:szCs w:val="1"/>
                <w:color w:val="auto"/>
              </w:rPr>
            </w:pPr>
          </w:p>
        </w:tc>
      </w:tr>
      <w:tr>
        <w:trPr>
          <w:trHeight w:val="210"/>
        </w:trPr>
        <w:tc>
          <w:tcPr>
            <w:tcW w:w="4920" w:type="dxa"/>
            <w:vAlign w:val="bottom"/>
          </w:tcPr>
          <w:p>
            <w:pPr>
              <w:spacing w:after="0"/>
              <w:rPr>
                <w:sz w:val="20"/>
                <w:szCs w:val="20"/>
                <w:color w:val="auto"/>
              </w:rPr>
            </w:pPr>
            <w:r>
              <w:rPr>
                <w:rFonts w:ascii="Arial" w:cs="Arial" w:eastAsia="Arial" w:hAnsi="Arial"/>
                <w:sz w:val="14"/>
                <w:szCs w:val="14"/>
                <w:color w:val="auto"/>
              </w:rPr>
              <w:t>Net loss attributable to common stockholders</w:t>
            </w: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3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(17,080)</w:t>
            </w:r>
          </w:p>
        </w:tc>
        <w:tc>
          <w:tcPr>
            <w:tcW w:w="120" w:type="dxa"/>
            <w:vAlign w:val="bottom"/>
          </w:tcPr>
          <w:p>
            <w:pPr>
              <w:spacing w:after="0"/>
              <w:rPr>
                <w:sz w:val="18"/>
                <w:szCs w:val="18"/>
                <w:color w:val="auto"/>
              </w:rPr>
            </w:pPr>
          </w:p>
        </w:tc>
        <w:tc>
          <w:tcPr>
            <w:tcW w:w="360" w:type="dxa"/>
            <w:vAlign w:val="bottom"/>
            <w:tcBorders>
              <w:top w:val="single" w:sz="8" w:color="auto"/>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(4,524)</w:t>
            </w:r>
          </w:p>
        </w:tc>
        <w:tc>
          <w:tcPr>
            <w:tcW w:w="12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2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(26,871)</w:t>
            </w:r>
          </w:p>
        </w:tc>
        <w:tc>
          <w:tcPr>
            <w:tcW w:w="120" w:type="dxa"/>
            <w:vAlign w:val="bottom"/>
          </w:tcPr>
          <w:p>
            <w:pPr>
              <w:spacing w:after="0"/>
              <w:rPr>
                <w:sz w:val="18"/>
                <w:szCs w:val="18"/>
                <w:color w:val="auto"/>
              </w:rPr>
            </w:pPr>
          </w:p>
        </w:tc>
        <w:tc>
          <w:tcPr>
            <w:tcW w:w="360" w:type="dxa"/>
            <w:vAlign w:val="bottom"/>
            <w:tcBorders>
              <w:top w:val="single" w:sz="8" w:color="auto"/>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(14,309)</w:t>
            </w:r>
          </w:p>
        </w:tc>
        <w:tc>
          <w:tcPr>
            <w:tcW w:w="0" w:type="dxa"/>
            <w:vAlign w:val="bottom"/>
          </w:tcPr>
          <w:p>
            <w:pPr>
              <w:spacing w:after="0"/>
              <w:rPr>
                <w:sz w:val="1"/>
                <w:szCs w:val="1"/>
                <w:color w:val="auto"/>
              </w:rPr>
            </w:pPr>
          </w:p>
        </w:tc>
      </w:tr>
      <w:tr>
        <w:trPr>
          <w:trHeight w:val="27"/>
        </w:trPr>
        <w:tc>
          <w:tcPr>
            <w:tcW w:w="4920" w:type="dxa"/>
            <w:vAlign w:val="bottom"/>
            <w:vMerge w:val="restart"/>
          </w:tcPr>
          <w:p>
            <w:pPr>
              <w:spacing w:after="0"/>
              <w:rPr>
                <w:sz w:val="20"/>
                <w:szCs w:val="20"/>
                <w:color w:val="auto"/>
              </w:rPr>
            </w:pPr>
            <w:r>
              <w:rPr>
                <w:rFonts w:ascii="Arial" w:cs="Arial" w:eastAsia="Arial" w:hAnsi="Arial"/>
                <w:sz w:val="14"/>
                <w:szCs w:val="14"/>
                <w:color w:val="auto"/>
              </w:rPr>
              <w:t>Net loss per share, basic and diluted</w:t>
            </w: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4920" w:type="dxa"/>
            <w:vAlign w:val="bottom"/>
            <w:vMerge w:val="continue"/>
          </w:tcPr>
          <w:p>
            <w:pPr>
              <w:spacing w:after="0"/>
              <w:rPr>
                <w:sz w:val="17"/>
                <w:szCs w:val="17"/>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(11.29)</w:t>
            </w:r>
          </w:p>
        </w:tc>
        <w:tc>
          <w:tcPr>
            <w:tcW w:w="120" w:type="dxa"/>
            <w:vAlign w:val="bottom"/>
          </w:tcPr>
          <w:p>
            <w:pPr>
              <w:spacing w:after="0"/>
              <w:rPr>
                <w:sz w:val="17"/>
                <w:szCs w:val="17"/>
                <w:color w:val="auto"/>
              </w:rPr>
            </w:pPr>
          </w:p>
        </w:tc>
        <w:tc>
          <w:tcPr>
            <w:tcW w:w="3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(71.80)</w:t>
            </w:r>
          </w:p>
        </w:tc>
        <w:tc>
          <w:tcPr>
            <w:tcW w:w="120" w:type="dxa"/>
            <w:vAlign w:val="bottom"/>
          </w:tcPr>
          <w:p>
            <w:pPr>
              <w:spacing w:after="0"/>
              <w:rPr>
                <w:sz w:val="17"/>
                <w:szCs w:val="17"/>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(48.70)</w:t>
            </w:r>
          </w:p>
        </w:tc>
        <w:tc>
          <w:tcPr>
            <w:tcW w:w="120" w:type="dxa"/>
            <w:vAlign w:val="bottom"/>
          </w:tcPr>
          <w:p>
            <w:pPr>
              <w:spacing w:after="0"/>
              <w:rPr>
                <w:sz w:val="17"/>
                <w:szCs w:val="17"/>
                <w:color w:val="auto"/>
              </w:rPr>
            </w:pPr>
          </w:p>
        </w:tc>
        <w:tc>
          <w:tcPr>
            <w:tcW w:w="3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(227.11)</w:t>
            </w:r>
          </w:p>
        </w:tc>
        <w:tc>
          <w:tcPr>
            <w:tcW w:w="0" w:type="dxa"/>
            <w:vAlign w:val="bottom"/>
          </w:tcPr>
          <w:p>
            <w:pPr>
              <w:spacing w:after="0"/>
              <w:rPr>
                <w:sz w:val="1"/>
                <w:szCs w:val="1"/>
                <w:color w:val="auto"/>
              </w:rPr>
            </w:pPr>
          </w:p>
        </w:tc>
      </w:tr>
      <w:tr>
        <w:trPr>
          <w:trHeight w:val="27"/>
        </w:trPr>
        <w:tc>
          <w:tcPr>
            <w:tcW w:w="4920" w:type="dxa"/>
            <w:vAlign w:val="bottom"/>
            <w:vMerge w:val="restart"/>
          </w:tcPr>
          <w:p>
            <w:pPr>
              <w:spacing w:after="0"/>
              <w:rPr>
                <w:sz w:val="20"/>
                <w:szCs w:val="20"/>
                <w:color w:val="auto"/>
              </w:rPr>
            </w:pPr>
            <w:r>
              <w:rPr>
                <w:rFonts w:ascii="Arial" w:cs="Arial" w:eastAsia="Arial" w:hAnsi="Arial"/>
                <w:sz w:val="14"/>
                <w:szCs w:val="14"/>
                <w:color w:val="auto"/>
              </w:rPr>
              <w:t>Weighted-average number of shares used to compute net loss per share,</w:t>
            </w: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49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300" w:type="dxa"/>
            <w:vAlign w:val="bottom"/>
            <w:vMerge w:val="restart"/>
          </w:tcPr>
          <w:p>
            <w:pPr>
              <w:jc w:val="right"/>
              <w:ind w:right="68"/>
              <w:spacing w:after="0"/>
              <w:rPr>
                <w:sz w:val="20"/>
                <w:szCs w:val="20"/>
                <w:color w:val="auto"/>
              </w:rPr>
            </w:pPr>
            <w:r>
              <w:rPr>
                <w:rFonts w:ascii="Arial" w:cs="Arial" w:eastAsia="Arial" w:hAnsi="Arial"/>
                <w:sz w:val="14"/>
                <w:szCs w:val="14"/>
                <w:color w:val="auto"/>
              </w:rPr>
              <w:t>1,513,189</w:t>
            </w: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80" w:type="dxa"/>
            <w:vAlign w:val="bottom"/>
            <w:vMerge w:val="restart"/>
          </w:tcPr>
          <w:p>
            <w:pPr>
              <w:jc w:val="right"/>
              <w:ind w:right="88"/>
              <w:spacing w:after="0"/>
              <w:rPr>
                <w:sz w:val="20"/>
                <w:szCs w:val="20"/>
                <w:color w:val="auto"/>
              </w:rPr>
            </w:pPr>
            <w:r>
              <w:rPr>
                <w:rFonts w:ascii="Arial" w:cs="Arial" w:eastAsia="Arial" w:hAnsi="Arial"/>
                <w:sz w:val="14"/>
                <w:szCs w:val="14"/>
                <w:color w:val="auto"/>
              </w:rPr>
              <w:t>63,005</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80" w:type="dxa"/>
            <w:vAlign w:val="bottom"/>
            <w:vMerge w:val="restart"/>
          </w:tcPr>
          <w:p>
            <w:pPr>
              <w:jc w:val="right"/>
              <w:ind w:right="68"/>
              <w:spacing w:after="0"/>
              <w:rPr>
                <w:sz w:val="20"/>
                <w:szCs w:val="20"/>
                <w:color w:val="auto"/>
              </w:rPr>
            </w:pPr>
            <w:r>
              <w:rPr>
                <w:rFonts w:ascii="Arial" w:cs="Arial" w:eastAsia="Arial" w:hAnsi="Arial"/>
                <w:sz w:val="14"/>
                <w:szCs w:val="14"/>
                <w:color w:val="auto"/>
              </w:rPr>
              <w:t>551,730</w:t>
            </w: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60" w:type="dxa"/>
            <w:vAlign w:val="bottom"/>
            <w:vMerge w:val="restart"/>
          </w:tcPr>
          <w:p>
            <w:pPr>
              <w:jc w:val="right"/>
              <w:ind w:right="68"/>
              <w:spacing w:after="0"/>
              <w:rPr>
                <w:sz w:val="20"/>
                <w:szCs w:val="20"/>
                <w:color w:val="auto"/>
              </w:rPr>
            </w:pPr>
            <w:r>
              <w:rPr>
                <w:rFonts w:ascii="Arial" w:cs="Arial" w:eastAsia="Arial" w:hAnsi="Arial"/>
                <w:sz w:val="14"/>
                <w:szCs w:val="14"/>
                <w:color w:val="auto"/>
              </w:rPr>
              <w:t>63,005</w:t>
            </w:r>
          </w:p>
        </w:tc>
        <w:tc>
          <w:tcPr>
            <w:tcW w:w="0" w:type="dxa"/>
            <w:vAlign w:val="bottom"/>
          </w:tcPr>
          <w:p>
            <w:pPr>
              <w:spacing w:after="0"/>
              <w:rPr>
                <w:sz w:val="1"/>
                <w:szCs w:val="1"/>
                <w:color w:val="auto"/>
              </w:rPr>
            </w:pPr>
          </w:p>
        </w:tc>
      </w:tr>
      <w:tr>
        <w:trPr>
          <w:trHeight w:val="175"/>
        </w:trPr>
        <w:tc>
          <w:tcPr>
            <w:tcW w:w="4920" w:type="dxa"/>
            <w:vAlign w:val="bottom"/>
          </w:tcPr>
          <w:p>
            <w:pPr>
              <w:spacing w:after="0"/>
              <w:rPr>
                <w:sz w:val="20"/>
                <w:szCs w:val="20"/>
                <w:color w:val="auto"/>
              </w:rPr>
            </w:pPr>
            <w:r>
              <w:rPr>
                <w:rFonts w:ascii="Arial" w:cs="Arial" w:eastAsia="Arial" w:hAnsi="Arial"/>
                <w:sz w:val="14"/>
                <w:szCs w:val="14"/>
                <w:color w:val="auto"/>
              </w:rPr>
              <w:t>basic and diluted</w:t>
            </w:r>
          </w:p>
        </w:tc>
        <w:tc>
          <w:tcPr>
            <w:tcW w:w="2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49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60" w:top="1411" w:right="259" w:bottom="1440" w:gutter="0" w:footer="0" w:header="0"/>
        </w:sectPr>
      </w:pPr>
    </w:p>
    <w:bookmarkStart w:id="7" w:name="page8"/>
    <w:bookmarkEnd w:id="7"/>
    <w:p>
      <w:pPr>
        <w:ind w:left="5180"/>
        <w:spacing w:after="0"/>
        <w:rPr>
          <w:sz w:val="20"/>
          <w:szCs w:val="20"/>
          <w:color w:val="auto"/>
        </w:rPr>
      </w:pPr>
      <w:r>
        <w:rPr>
          <w:rFonts w:ascii="Arial" w:cs="Arial" w:eastAsia="Arial" w:hAnsi="Arial"/>
          <w:sz w:val="18"/>
          <w:szCs w:val="18"/>
          <w:b w:val="1"/>
          <w:bCs w:val="1"/>
          <w:color w:val="auto"/>
        </w:rPr>
        <w:t>Exagen Inc.</w:t>
      </w:r>
    </w:p>
    <w:p>
      <w:pPr>
        <w:spacing w:after="0" w:line="117" w:lineRule="exact"/>
        <w:rPr>
          <w:sz w:val="20"/>
          <w:szCs w:val="20"/>
          <w:color w:val="auto"/>
        </w:rPr>
      </w:pPr>
    </w:p>
    <w:p>
      <w:pPr>
        <w:ind w:left="4500"/>
        <w:spacing w:after="0"/>
        <w:rPr>
          <w:sz w:val="20"/>
          <w:szCs w:val="20"/>
          <w:color w:val="auto"/>
        </w:rPr>
      </w:pPr>
      <w:r>
        <w:rPr>
          <w:rFonts w:ascii="Arial" w:cs="Arial" w:eastAsia="Arial" w:hAnsi="Arial"/>
          <w:sz w:val="18"/>
          <w:szCs w:val="18"/>
          <w:b w:val="1"/>
          <w:bCs w:val="1"/>
          <w:color w:val="auto"/>
        </w:rPr>
        <w:t>Condensed Balance Sheets</w:t>
      </w:r>
    </w:p>
    <w:p>
      <w:pPr>
        <w:spacing w:after="0" w:line="33"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September 30,</w:t>
            </w: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84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7"/>
                <w:szCs w:val="17"/>
                <w:color w:val="auto"/>
              </w:rPr>
            </w:pPr>
          </w:p>
        </w:tc>
        <w:tc>
          <w:tcPr>
            <w:tcW w:w="13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December 31, 2018</w:t>
            </w:r>
          </w:p>
        </w:tc>
        <w:tc>
          <w:tcPr>
            <w:tcW w:w="0" w:type="dxa"/>
            <w:vAlign w:val="bottom"/>
          </w:tcPr>
          <w:p>
            <w:pPr>
              <w:spacing w:after="0"/>
              <w:rPr>
                <w:sz w:val="1"/>
                <w:szCs w:val="1"/>
                <w:color w:val="auto"/>
              </w:rPr>
            </w:pPr>
          </w:p>
        </w:tc>
      </w:tr>
      <w:tr>
        <w:trPr>
          <w:trHeight w:val="209"/>
        </w:trPr>
        <w:tc>
          <w:tcPr>
            <w:tcW w:w="8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(Unaudited)</w:t>
            </w:r>
          </w:p>
        </w:tc>
        <w:tc>
          <w:tcPr>
            <w:tcW w:w="160" w:type="dxa"/>
            <w:vAlign w:val="bottom"/>
          </w:tcPr>
          <w:p>
            <w:pPr>
              <w:spacing w:after="0"/>
              <w:rPr>
                <w:sz w:val="18"/>
                <w:szCs w:val="18"/>
                <w:color w:val="auto"/>
              </w:rPr>
            </w:pPr>
          </w:p>
        </w:tc>
        <w:tc>
          <w:tcPr>
            <w:tcW w:w="1200" w:type="dxa"/>
            <w:vAlign w:val="bottom"/>
          </w:tcPr>
          <w:p>
            <w:pPr>
              <w:jc w:val="right"/>
              <w:ind w:right="188"/>
              <w:spacing w:after="0"/>
              <w:rPr>
                <w:sz w:val="20"/>
                <w:szCs w:val="20"/>
                <w:color w:val="auto"/>
              </w:rPr>
            </w:pPr>
            <w:r>
              <w:rPr>
                <w:rFonts w:ascii="Arial" w:cs="Arial" w:eastAsia="Arial" w:hAnsi="Arial"/>
                <w:sz w:val="14"/>
                <w:szCs w:val="14"/>
                <w:b w:val="1"/>
                <w:bCs w:val="1"/>
                <w:color w:val="auto"/>
              </w:rPr>
              <w:t>(As Revised)</w:t>
            </w:r>
          </w:p>
        </w:tc>
        <w:tc>
          <w:tcPr>
            <w:tcW w:w="0" w:type="dxa"/>
            <w:vAlign w:val="bottom"/>
          </w:tcPr>
          <w:p>
            <w:pPr>
              <w:spacing w:after="0"/>
              <w:rPr>
                <w:sz w:val="1"/>
                <w:szCs w:val="1"/>
                <w:color w:val="auto"/>
              </w:rPr>
            </w:pPr>
          </w:p>
        </w:tc>
      </w:tr>
      <w:tr>
        <w:trPr>
          <w:trHeight w:val="216"/>
        </w:trPr>
        <w:tc>
          <w:tcPr>
            <w:tcW w:w="8440" w:type="dxa"/>
            <w:vAlign w:val="bottom"/>
          </w:tcPr>
          <w:p>
            <w:pPr>
              <w:spacing w:after="0"/>
              <w:rPr>
                <w:sz w:val="20"/>
                <w:szCs w:val="20"/>
                <w:color w:val="auto"/>
              </w:rPr>
            </w:pPr>
            <w:r>
              <w:rPr>
                <w:rFonts w:ascii="Arial" w:cs="Arial" w:eastAsia="Arial" w:hAnsi="Arial"/>
                <w:sz w:val="14"/>
                <w:szCs w:val="14"/>
                <w:b w:val="1"/>
                <w:bCs w:val="1"/>
                <w:color w:val="auto"/>
              </w:rPr>
              <w:t>Assets</w:t>
            </w: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440" w:type="dxa"/>
            <w:vAlign w:val="bottom"/>
          </w:tcPr>
          <w:p>
            <w:pPr>
              <w:spacing w:after="0"/>
              <w:rPr>
                <w:sz w:val="20"/>
                <w:szCs w:val="20"/>
                <w:color w:val="auto"/>
              </w:rPr>
            </w:pPr>
            <w:r>
              <w:rPr>
                <w:rFonts w:ascii="Arial" w:cs="Arial" w:eastAsia="Arial" w:hAnsi="Arial"/>
                <w:sz w:val="14"/>
                <w:szCs w:val="14"/>
                <w:color w:val="auto"/>
              </w:rPr>
              <w:t>Current assets:</w:t>
            </w: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40" w:type="dxa"/>
            <w:vAlign w:val="bottom"/>
          </w:tcPr>
          <w:p>
            <w:pPr>
              <w:ind w:left="300"/>
              <w:spacing w:after="0"/>
              <w:rPr>
                <w:sz w:val="20"/>
                <w:szCs w:val="20"/>
                <w:color w:val="auto"/>
              </w:rPr>
            </w:pPr>
            <w:r>
              <w:rPr>
                <w:rFonts w:ascii="Arial" w:cs="Arial" w:eastAsia="Arial" w:hAnsi="Arial"/>
                <w:sz w:val="14"/>
                <w:szCs w:val="14"/>
                <w:color w:val="auto"/>
              </w:rPr>
              <w:t>Cash and cash equivalents</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88"/>
              <w:spacing w:after="0"/>
              <w:rPr>
                <w:sz w:val="20"/>
                <w:szCs w:val="20"/>
                <w:color w:val="auto"/>
              </w:rPr>
            </w:pPr>
            <w:r>
              <w:rPr>
                <w:rFonts w:ascii="Arial" w:cs="Arial" w:eastAsia="Arial" w:hAnsi="Arial"/>
                <w:sz w:val="14"/>
                <w:szCs w:val="14"/>
                <w:color w:val="auto"/>
              </w:rPr>
              <w:t>77,828</w:t>
            </w:r>
          </w:p>
        </w:tc>
        <w:tc>
          <w:tcPr>
            <w:tcW w:w="12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88"/>
              <w:spacing w:after="0"/>
              <w:rPr>
                <w:sz w:val="20"/>
                <w:szCs w:val="20"/>
                <w:color w:val="auto"/>
              </w:rPr>
            </w:pPr>
            <w:r>
              <w:rPr>
                <w:rFonts w:ascii="Arial" w:cs="Arial" w:eastAsia="Arial" w:hAnsi="Arial"/>
                <w:sz w:val="14"/>
                <w:szCs w:val="14"/>
                <w:color w:val="auto"/>
              </w:rPr>
              <w:t>13,164</w:t>
            </w:r>
          </w:p>
        </w:tc>
        <w:tc>
          <w:tcPr>
            <w:tcW w:w="0" w:type="dxa"/>
            <w:vAlign w:val="bottom"/>
          </w:tcPr>
          <w:p>
            <w:pPr>
              <w:spacing w:after="0"/>
              <w:rPr>
                <w:sz w:val="1"/>
                <w:szCs w:val="1"/>
                <w:color w:val="auto"/>
              </w:rPr>
            </w:pPr>
          </w:p>
        </w:tc>
      </w:tr>
      <w:tr>
        <w:trPr>
          <w:trHeight w:val="216"/>
        </w:trPr>
        <w:tc>
          <w:tcPr>
            <w:tcW w:w="8440" w:type="dxa"/>
            <w:vAlign w:val="bottom"/>
          </w:tcPr>
          <w:p>
            <w:pPr>
              <w:ind w:left="300"/>
              <w:spacing w:after="0"/>
              <w:rPr>
                <w:sz w:val="20"/>
                <w:szCs w:val="20"/>
                <w:color w:val="auto"/>
              </w:rPr>
            </w:pPr>
            <w:r>
              <w:rPr>
                <w:rFonts w:ascii="Arial" w:cs="Arial" w:eastAsia="Arial" w:hAnsi="Arial"/>
                <w:sz w:val="14"/>
                <w:szCs w:val="14"/>
                <w:color w:val="auto"/>
              </w:rPr>
              <w:t>Accounts receivable, net</w:t>
            </w:r>
          </w:p>
        </w:tc>
        <w:tc>
          <w:tcPr>
            <w:tcW w:w="140" w:type="dxa"/>
            <w:vAlign w:val="bottom"/>
          </w:tcPr>
          <w:p>
            <w:pPr>
              <w:spacing w:after="0"/>
              <w:rPr>
                <w:sz w:val="18"/>
                <w:szCs w:val="18"/>
                <w:color w:val="auto"/>
              </w:rPr>
            </w:pPr>
          </w:p>
        </w:tc>
        <w:tc>
          <w:tcPr>
            <w:tcW w:w="1200" w:type="dxa"/>
            <w:vAlign w:val="bottom"/>
          </w:tcPr>
          <w:p>
            <w:pPr>
              <w:jc w:val="right"/>
              <w:ind w:right="88"/>
              <w:spacing w:after="0"/>
              <w:rPr>
                <w:sz w:val="20"/>
                <w:szCs w:val="20"/>
                <w:color w:val="auto"/>
              </w:rPr>
            </w:pPr>
            <w:r>
              <w:rPr>
                <w:rFonts w:ascii="Arial" w:cs="Arial" w:eastAsia="Arial" w:hAnsi="Arial"/>
                <w:sz w:val="14"/>
                <w:szCs w:val="14"/>
                <w:color w:val="auto"/>
              </w:rPr>
              <w:t>6,238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ind w:right="88"/>
              <w:spacing w:after="0"/>
              <w:rPr>
                <w:sz w:val="20"/>
                <w:szCs w:val="20"/>
                <w:color w:val="auto"/>
              </w:rPr>
            </w:pPr>
            <w:r>
              <w:rPr>
                <w:rFonts w:ascii="Arial" w:cs="Arial" w:eastAsia="Arial" w:hAnsi="Arial"/>
                <w:sz w:val="14"/>
                <w:szCs w:val="14"/>
                <w:color w:val="auto"/>
              </w:rPr>
              <w:t>5,952</w:t>
            </w:r>
          </w:p>
        </w:tc>
        <w:tc>
          <w:tcPr>
            <w:tcW w:w="0" w:type="dxa"/>
            <w:vAlign w:val="bottom"/>
          </w:tcPr>
          <w:p>
            <w:pPr>
              <w:spacing w:after="0"/>
              <w:rPr>
                <w:sz w:val="1"/>
                <w:szCs w:val="1"/>
                <w:color w:val="auto"/>
              </w:rPr>
            </w:pPr>
          </w:p>
        </w:tc>
      </w:tr>
      <w:tr>
        <w:trPr>
          <w:trHeight w:val="218"/>
        </w:trPr>
        <w:tc>
          <w:tcPr>
            <w:tcW w:w="8440" w:type="dxa"/>
            <w:vAlign w:val="bottom"/>
          </w:tcPr>
          <w:p>
            <w:pPr>
              <w:ind w:left="300"/>
              <w:spacing w:after="0"/>
              <w:rPr>
                <w:sz w:val="20"/>
                <w:szCs w:val="20"/>
                <w:color w:val="auto"/>
              </w:rPr>
            </w:pPr>
            <w:r>
              <w:rPr>
                <w:rFonts w:ascii="Arial" w:cs="Arial" w:eastAsia="Arial" w:hAnsi="Arial"/>
                <w:sz w:val="14"/>
                <w:szCs w:val="14"/>
                <w:color w:val="auto"/>
              </w:rPr>
              <w:t>Prepaid expenses and other current assets</w:t>
            </w: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1,686</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2,196</w:t>
            </w:r>
          </w:p>
        </w:tc>
        <w:tc>
          <w:tcPr>
            <w:tcW w:w="0" w:type="dxa"/>
            <w:vAlign w:val="bottom"/>
          </w:tcPr>
          <w:p>
            <w:pPr>
              <w:spacing w:after="0"/>
              <w:rPr>
                <w:sz w:val="1"/>
                <w:szCs w:val="1"/>
                <w:color w:val="auto"/>
              </w:rPr>
            </w:pPr>
          </w:p>
        </w:tc>
      </w:tr>
      <w:tr>
        <w:trPr>
          <w:trHeight w:val="208"/>
        </w:trPr>
        <w:tc>
          <w:tcPr>
            <w:tcW w:w="8440" w:type="dxa"/>
            <w:vAlign w:val="bottom"/>
          </w:tcPr>
          <w:p>
            <w:pPr>
              <w:ind w:left="620"/>
              <w:spacing w:after="0"/>
              <w:rPr>
                <w:sz w:val="20"/>
                <w:szCs w:val="20"/>
                <w:color w:val="auto"/>
              </w:rPr>
            </w:pPr>
            <w:r>
              <w:rPr>
                <w:rFonts w:ascii="Arial" w:cs="Arial" w:eastAsia="Arial" w:hAnsi="Arial"/>
                <w:sz w:val="14"/>
                <w:szCs w:val="14"/>
                <w:color w:val="auto"/>
              </w:rPr>
              <w:t>Total current assets</w:t>
            </w:r>
          </w:p>
        </w:tc>
        <w:tc>
          <w:tcPr>
            <w:tcW w:w="140" w:type="dxa"/>
            <w:vAlign w:val="bottom"/>
          </w:tcPr>
          <w:p>
            <w:pPr>
              <w:spacing w:after="0"/>
              <w:rPr>
                <w:sz w:val="18"/>
                <w:szCs w:val="18"/>
                <w:color w:val="auto"/>
              </w:rPr>
            </w:pPr>
          </w:p>
        </w:tc>
        <w:tc>
          <w:tcPr>
            <w:tcW w:w="1200" w:type="dxa"/>
            <w:vAlign w:val="bottom"/>
          </w:tcPr>
          <w:p>
            <w:pPr>
              <w:jc w:val="right"/>
              <w:ind w:right="88"/>
              <w:spacing w:after="0"/>
              <w:rPr>
                <w:sz w:val="20"/>
                <w:szCs w:val="20"/>
                <w:color w:val="auto"/>
              </w:rPr>
            </w:pPr>
            <w:r>
              <w:rPr>
                <w:rFonts w:ascii="Arial" w:cs="Arial" w:eastAsia="Arial" w:hAnsi="Arial"/>
                <w:sz w:val="14"/>
                <w:szCs w:val="14"/>
                <w:color w:val="auto"/>
              </w:rPr>
              <w:t>85,752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ind w:right="88"/>
              <w:spacing w:after="0"/>
              <w:rPr>
                <w:sz w:val="20"/>
                <w:szCs w:val="20"/>
                <w:color w:val="auto"/>
              </w:rPr>
            </w:pPr>
            <w:r>
              <w:rPr>
                <w:rFonts w:ascii="Arial" w:cs="Arial" w:eastAsia="Arial" w:hAnsi="Arial"/>
                <w:sz w:val="14"/>
                <w:szCs w:val="14"/>
                <w:color w:val="auto"/>
              </w:rPr>
              <w:t>21,312</w:t>
            </w:r>
          </w:p>
        </w:tc>
        <w:tc>
          <w:tcPr>
            <w:tcW w:w="0" w:type="dxa"/>
            <w:vAlign w:val="bottom"/>
          </w:tcPr>
          <w:p>
            <w:pPr>
              <w:spacing w:after="0"/>
              <w:rPr>
                <w:sz w:val="1"/>
                <w:szCs w:val="1"/>
                <w:color w:val="auto"/>
              </w:rPr>
            </w:pPr>
          </w:p>
        </w:tc>
      </w:tr>
      <w:tr>
        <w:trPr>
          <w:trHeight w:val="216"/>
        </w:trPr>
        <w:tc>
          <w:tcPr>
            <w:tcW w:w="8440" w:type="dxa"/>
            <w:vAlign w:val="bottom"/>
          </w:tcPr>
          <w:p>
            <w:pPr>
              <w:spacing w:after="0"/>
              <w:rPr>
                <w:sz w:val="20"/>
                <w:szCs w:val="20"/>
                <w:color w:val="auto"/>
              </w:rPr>
            </w:pPr>
            <w:r>
              <w:rPr>
                <w:rFonts w:ascii="Arial" w:cs="Arial" w:eastAsia="Arial" w:hAnsi="Arial"/>
                <w:sz w:val="14"/>
                <w:szCs w:val="14"/>
                <w:color w:val="auto"/>
              </w:rPr>
              <w:t>Property and equipment, net</w:t>
            </w:r>
          </w:p>
        </w:tc>
        <w:tc>
          <w:tcPr>
            <w:tcW w:w="140" w:type="dxa"/>
            <w:vAlign w:val="bottom"/>
          </w:tcPr>
          <w:p>
            <w:pPr>
              <w:spacing w:after="0"/>
              <w:rPr>
                <w:sz w:val="18"/>
                <w:szCs w:val="18"/>
                <w:color w:val="auto"/>
              </w:rPr>
            </w:pPr>
          </w:p>
        </w:tc>
        <w:tc>
          <w:tcPr>
            <w:tcW w:w="1200" w:type="dxa"/>
            <w:vAlign w:val="bottom"/>
          </w:tcPr>
          <w:p>
            <w:pPr>
              <w:jc w:val="right"/>
              <w:ind w:right="88"/>
              <w:spacing w:after="0"/>
              <w:rPr>
                <w:sz w:val="20"/>
                <w:szCs w:val="20"/>
                <w:color w:val="auto"/>
              </w:rPr>
            </w:pPr>
            <w:r>
              <w:rPr>
                <w:rFonts w:ascii="Arial" w:cs="Arial" w:eastAsia="Arial" w:hAnsi="Arial"/>
                <w:sz w:val="14"/>
                <w:szCs w:val="14"/>
                <w:color w:val="auto"/>
              </w:rPr>
              <w:t>1,314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ind w:right="88"/>
              <w:spacing w:after="0"/>
              <w:rPr>
                <w:sz w:val="20"/>
                <w:szCs w:val="20"/>
                <w:color w:val="auto"/>
              </w:rPr>
            </w:pPr>
            <w:r>
              <w:rPr>
                <w:rFonts w:ascii="Arial" w:cs="Arial" w:eastAsia="Arial" w:hAnsi="Arial"/>
                <w:sz w:val="14"/>
                <w:szCs w:val="14"/>
                <w:color w:val="auto"/>
              </w:rPr>
              <w:t>1,566</w:t>
            </w:r>
          </w:p>
        </w:tc>
        <w:tc>
          <w:tcPr>
            <w:tcW w:w="0" w:type="dxa"/>
            <w:vAlign w:val="bottom"/>
          </w:tcPr>
          <w:p>
            <w:pPr>
              <w:spacing w:after="0"/>
              <w:rPr>
                <w:sz w:val="1"/>
                <w:szCs w:val="1"/>
                <w:color w:val="auto"/>
              </w:rPr>
            </w:pPr>
          </w:p>
        </w:tc>
      </w:tr>
      <w:tr>
        <w:trPr>
          <w:trHeight w:val="216"/>
        </w:trPr>
        <w:tc>
          <w:tcPr>
            <w:tcW w:w="8440" w:type="dxa"/>
            <w:vAlign w:val="bottom"/>
          </w:tcPr>
          <w:p>
            <w:pPr>
              <w:spacing w:after="0"/>
              <w:rPr>
                <w:sz w:val="20"/>
                <w:szCs w:val="20"/>
                <w:color w:val="auto"/>
              </w:rPr>
            </w:pPr>
            <w:r>
              <w:rPr>
                <w:rFonts w:ascii="Arial" w:cs="Arial" w:eastAsia="Arial" w:hAnsi="Arial"/>
                <w:sz w:val="14"/>
                <w:szCs w:val="14"/>
                <w:color w:val="auto"/>
              </w:rPr>
              <w:t>Goodwill</w:t>
            </w:r>
          </w:p>
        </w:tc>
        <w:tc>
          <w:tcPr>
            <w:tcW w:w="140" w:type="dxa"/>
            <w:vAlign w:val="bottom"/>
          </w:tcPr>
          <w:p>
            <w:pPr>
              <w:spacing w:after="0"/>
              <w:rPr>
                <w:sz w:val="18"/>
                <w:szCs w:val="18"/>
                <w:color w:val="auto"/>
              </w:rPr>
            </w:pPr>
          </w:p>
        </w:tc>
        <w:tc>
          <w:tcPr>
            <w:tcW w:w="1200" w:type="dxa"/>
            <w:vAlign w:val="bottom"/>
          </w:tcPr>
          <w:p>
            <w:pPr>
              <w:jc w:val="right"/>
              <w:ind w:right="88"/>
              <w:spacing w:after="0"/>
              <w:rPr>
                <w:sz w:val="20"/>
                <w:szCs w:val="20"/>
                <w:color w:val="auto"/>
              </w:rPr>
            </w:pPr>
            <w:r>
              <w:rPr>
                <w:rFonts w:ascii="Arial" w:cs="Arial" w:eastAsia="Arial" w:hAnsi="Arial"/>
                <w:sz w:val="14"/>
                <w:szCs w:val="14"/>
                <w:color w:val="auto"/>
              </w:rPr>
              <w:t>5,506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ind w:right="88"/>
              <w:spacing w:after="0"/>
              <w:rPr>
                <w:sz w:val="20"/>
                <w:szCs w:val="20"/>
                <w:color w:val="auto"/>
              </w:rPr>
            </w:pPr>
            <w:r>
              <w:rPr>
                <w:rFonts w:ascii="Arial" w:cs="Arial" w:eastAsia="Arial" w:hAnsi="Arial"/>
                <w:sz w:val="14"/>
                <w:szCs w:val="14"/>
                <w:color w:val="auto"/>
              </w:rPr>
              <w:t>5,506</w:t>
            </w:r>
          </w:p>
        </w:tc>
        <w:tc>
          <w:tcPr>
            <w:tcW w:w="0" w:type="dxa"/>
            <w:vAlign w:val="bottom"/>
          </w:tcPr>
          <w:p>
            <w:pPr>
              <w:spacing w:after="0"/>
              <w:rPr>
                <w:sz w:val="1"/>
                <w:szCs w:val="1"/>
                <w:color w:val="auto"/>
              </w:rPr>
            </w:pPr>
          </w:p>
        </w:tc>
      </w:tr>
      <w:tr>
        <w:trPr>
          <w:trHeight w:val="218"/>
        </w:trPr>
        <w:tc>
          <w:tcPr>
            <w:tcW w:w="8440" w:type="dxa"/>
            <w:vAlign w:val="bottom"/>
          </w:tcPr>
          <w:p>
            <w:pPr>
              <w:spacing w:after="0"/>
              <w:rPr>
                <w:sz w:val="20"/>
                <w:szCs w:val="20"/>
                <w:color w:val="auto"/>
              </w:rPr>
            </w:pPr>
            <w:r>
              <w:rPr>
                <w:rFonts w:ascii="Arial" w:cs="Arial" w:eastAsia="Arial" w:hAnsi="Arial"/>
                <w:sz w:val="14"/>
                <w:szCs w:val="14"/>
                <w:color w:val="auto"/>
              </w:rPr>
              <w:t>Other assets</w:t>
            </w: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172</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503</w:t>
            </w:r>
          </w:p>
        </w:tc>
        <w:tc>
          <w:tcPr>
            <w:tcW w:w="0" w:type="dxa"/>
            <w:vAlign w:val="bottom"/>
          </w:tcPr>
          <w:p>
            <w:pPr>
              <w:spacing w:after="0"/>
              <w:rPr>
                <w:sz w:val="1"/>
                <w:szCs w:val="1"/>
                <w:color w:val="auto"/>
              </w:rPr>
            </w:pPr>
          </w:p>
        </w:tc>
      </w:tr>
      <w:tr>
        <w:trPr>
          <w:trHeight w:val="210"/>
        </w:trPr>
        <w:tc>
          <w:tcPr>
            <w:tcW w:w="8440" w:type="dxa"/>
            <w:vAlign w:val="bottom"/>
          </w:tcPr>
          <w:p>
            <w:pPr>
              <w:ind w:left="620"/>
              <w:spacing w:after="0"/>
              <w:rPr>
                <w:sz w:val="20"/>
                <w:szCs w:val="20"/>
                <w:color w:val="auto"/>
              </w:rPr>
            </w:pPr>
            <w:r>
              <w:rPr>
                <w:rFonts w:ascii="Arial" w:cs="Arial" w:eastAsia="Arial" w:hAnsi="Arial"/>
                <w:sz w:val="14"/>
                <w:szCs w:val="14"/>
                <w:color w:val="auto"/>
              </w:rPr>
              <w:t>Total assets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92,744</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28,887</w:t>
            </w:r>
          </w:p>
        </w:tc>
        <w:tc>
          <w:tcPr>
            <w:tcW w:w="0" w:type="dxa"/>
            <w:vAlign w:val="bottom"/>
          </w:tcPr>
          <w:p>
            <w:pPr>
              <w:spacing w:after="0"/>
              <w:rPr>
                <w:sz w:val="1"/>
                <w:szCs w:val="1"/>
                <w:color w:val="auto"/>
              </w:rPr>
            </w:pPr>
          </w:p>
        </w:tc>
      </w:tr>
      <w:tr>
        <w:trPr>
          <w:trHeight w:val="27"/>
        </w:trPr>
        <w:tc>
          <w:tcPr>
            <w:tcW w:w="8440" w:type="dxa"/>
            <w:vAlign w:val="bottom"/>
            <w:vMerge w:val="restart"/>
          </w:tcPr>
          <w:p>
            <w:pPr>
              <w:spacing w:after="0"/>
              <w:rPr>
                <w:sz w:val="20"/>
                <w:szCs w:val="20"/>
                <w:color w:val="auto"/>
              </w:rPr>
            </w:pPr>
            <w:r>
              <w:rPr>
                <w:rFonts w:ascii="Arial" w:cs="Arial" w:eastAsia="Arial" w:hAnsi="Arial"/>
                <w:sz w:val="14"/>
                <w:szCs w:val="14"/>
                <w:b w:val="1"/>
                <w:bCs w:val="1"/>
                <w:color w:val="auto"/>
              </w:rPr>
              <w:t>Liabilities, Redeemable Convertible Preferred Stock and Stockholders' Equity (Deficit)</w:t>
            </w: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1"/>
        </w:trPr>
        <w:tc>
          <w:tcPr>
            <w:tcW w:w="844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8440" w:type="dxa"/>
            <w:vAlign w:val="bottom"/>
          </w:tcPr>
          <w:p>
            <w:pPr>
              <w:spacing w:after="0"/>
              <w:rPr>
                <w:sz w:val="20"/>
                <w:szCs w:val="20"/>
                <w:color w:val="auto"/>
              </w:rPr>
            </w:pPr>
            <w:r>
              <w:rPr>
                <w:rFonts w:ascii="Arial" w:cs="Arial" w:eastAsia="Arial" w:hAnsi="Arial"/>
                <w:sz w:val="14"/>
                <w:szCs w:val="14"/>
                <w:color w:val="auto"/>
              </w:rPr>
              <w:t>Current liabilities:</w:t>
            </w: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40" w:type="dxa"/>
            <w:vAlign w:val="bottom"/>
          </w:tcPr>
          <w:p>
            <w:pPr>
              <w:ind w:left="300"/>
              <w:spacing w:after="0"/>
              <w:rPr>
                <w:sz w:val="20"/>
                <w:szCs w:val="20"/>
                <w:color w:val="auto"/>
              </w:rPr>
            </w:pPr>
            <w:r>
              <w:rPr>
                <w:rFonts w:ascii="Arial" w:cs="Arial" w:eastAsia="Arial" w:hAnsi="Arial"/>
                <w:sz w:val="14"/>
                <w:szCs w:val="14"/>
                <w:color w:val="auto"/>
              </w:rPr>
              <w:t>Accounts payable</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88"/>
              <w:spacing w:after="0"/>
              <w:rPr>
                <w:sz w:val="20"/>
                <w:szCs w:val="20"/>
                <w:color w:val="auto"/>
              </w:rPr>
            </w:pPr>
            <w:r>
              <w:rPr>
                <w:rFonts w:ascii="Arial" w:cs="Arial" w:eastAsia="Arial" w:hAnsi="Arial"/>
                <w:sz w:val="14"/>
                <w:szCs w:val="14"/>
                <w:color w:val="auto"/>
              </w:rPr>
              <w:t>1,213</w:t>
            </w:r>
          </w:p>
        </w:tc>
        <w:tc>
          <w:tcPr>
            <w:tcW w:w="12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88"/>
              <w:spacing w:after="0"/>
              <w:rPr>
                <w:sz w:val="20"/>
                <w:szCs w:val="20"/>
                <w:color w:val="auto"/>
              </w:rPr>
            </w:pPr>
            <w:r>
              <w:rPr>
                <w:rFonts w:ascii="Arial" w:cs="Arial" w:eastAsia="Arial" w:hAnsi="Arial"/>
                <w:sz w:val="14"/>
                <w:szCs w:val="14"/>
                <w:color w:val="auto"/>
              </w:rPr>
              <w:t>1,279</w:t>
            </w:r>
          </w:p>
        </w:tc>
        <w:tc>
          <w:tcPr>
            <w:tcW w:w="0" w:type="dxa"/>
            <w:vAlign w:val="bottom"/>
          </w:tcPr>
          <w:p>
            <w:pPr>
              <w:spacing w:after="0"/>
              <w:rPr>
                <w:sz w:val="1"/>
                <w:szCs w:val="1"/>
                <w:color w:val="auto"/>
              </w:rPr>
            </w:pPr>
          </w:p>
        </w:tc>
      </w:tr>
      <w:tr>
        <w:trPr>
          <w:trHeight w:val="216"/>
        </w:trPr>
        <w:tc>
          <w:tcPr>
            <w:tcW w:w="8440" w:type="dxa"/>
            <w:vAlign w:val="bottom"/>
          </w:tcPr>
          <w:p>
            <w:pPr>
              <w:ind w:left="300"/>
              <w:spacing w:after="0"/>
              <w:rPr>
                <w:sz w:val="20"/>
                <w:szCs w:val="20"/>
                <w:color w:val="auto"/>
              </w:rPr>
            </w:pPr>
            <w:r>
              <w:rPr>
                <w:rFonts w:ascii="Arial" w:cs="Arial" w:eastAsia="Arial" w:hAnsi="Arial"/>
                <w:sz w:val="14"/>
                <w:szCs w:val="14"/>
                <w:color w:val="auto"/>
              </w:rPr>
              <w:t>Accrued liabilities</w:t>
            </w:r>
          </w:p>
        </w:tc>
        <w:tc>
          <w:tcPr>
            <w:tcW w:w="140" w:type="dxa"/>
            <w:vAlign w:val="bottom"/>
          </w:tcPr>
          <w:p>
            <w:pPr>
              <w:spacing w:after="0"/>
              <w:rPr>
                <w:sz w:val="18"/>
                <w:szCs w:val="18"/>
                <w:color w:val="auto"/>
              </w:rPr>
            </w:pPr>
          </w:p>
        </w:tc>
        <w:tc>
          <w:tcPr>
            <w:tcW w:w="1200" w:type="dxa"/>
            <w:vAlign w:val="bottom"/>
          </w:tcPr>
          <w:p>
            <w:pPr>
              <w:jc w:val="right"/>
              <w:ind w:right="88"/>
              <w:spacing w:after="0"/>
              <w:rPr>
                <w:sz w:val="20"/>
                <w:szCs w:val="20"/>
                <w:color w:val="auto"/>
              </w:rPr>
            </w:pPr>
            <w:r>
              <w:rPr>
                <w:rFonts w:ascii="Arial" w:cs="Arial" w:eastAsia="Arial" w:hAnsi="Arial"/>
                <w:sz w:val="14"/>
                <w:szCs w:val="14"/>
                <w:color w:val="auto"/>
              </w:rPr>
              <w:t>6,449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ind w:right="88"/>
              <w:spacing w:after="0"/>
              <w:rPr>
                <w:sz w:val="20"/>
                <w:szCs w:val="20"/>
                <w:color w:val="auto"/>
              </w:rPr>
            </w:pPr>
            <w:r>
              <w:rPr>
                <w:rFonts w:ascii="Arial" w:cs="Arial" w:eastAsia="Arial" w:hAnsi="Arial"/>
                <w:sz w:val="14"/>
                <w:szCs w:val="14"/>
                <w:color w:val="auto"/>
              </w:rPr>
              <w:t>3,923</w:t>
            </w:r>
          </w:p>
        </w:tc>
        <w:tc>
          <w:tcPr>
            <w:tcW w:w="0" w:type="dxa"/>
            <w:vAlign w:val="bottom"/>
          </w:tcPr>
          <w:p>
            <w:pPr>
              <w:spacing w:after="0"/>
              <w:rPr>
                <w:sz w:val="1"/>
                <w:szCs w:val="1"/>
                <w:color w:val="auto"/>
              </w:rPr>
            </w:pPr>
          </w:p>
        </w:tc>
      </w:tr>
      <w:tr>
        <w:trPr>
          <w:trHeight w:val="218"/>
        </w:trPr>
        <w:tc>
          <w:tcPr>
            <w:tcW w:w="8440" w:type="dxa"/>
            <w:vAlign w:val="bottom"/>
          </w:tcPr>
          <w:p>
            <w:pPr>
              <w:ind w:left="300"/>
              <w:spacing w:after="0"/>
              <w:rPr>
                <w:sz w:val="20"/>
                <w:szCs w:val="20"/>
                <w:color w:val="auto"/>
              </w:rPr>
            </w:pPr>
            <w:r>
              <w:rPr>
                <w:rFonts w:ascii="Arial" w:cs="Arial" w:eastAsia="Arial" w:hAnsi="Arial"/>
                <w:sz w:val="14"/>
                <w:szCs w:val="14"/>
                <w:color w:val="auto"/>
              </w:rPr>
              <w:t>Proceeds received prior to issuance of Series G redeemable convertible preferred stock</w:t>
            </w:r>
          </w:p>
        </w:tc>
        <w:tc>
          <w:tcPr>
            <w:tcW w:w="14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200" w:type="dxa"/>
            <w:vAlign w:val="bottom"/>
          </w:tcPr>
          <w:p>
            <w:pPr>
              <w:jc w:val="right"/>
              <w:ind w:right="88"/>
              <w:spacing w:after="0"/>
              <w:rPr>
                <w:sz w:val="20"/>
                <w:szCs w:val="20"/>
                <w:color w:val="auto"/>
              </w:rPr>
            </w:pPr>
            <w:r>
              <w:rPr>
                <w:rFonts w:ascii="Arial" w:cs="Arial" w:eastAsia="Arial" w:hAnsi="Arial"/>
                <w:sz w:val="14"/>
                <w:szCs w:val="14"/>
                <w:color w:val="auto"/>
              </w:rPr>
              <w:t>3,750</w:t>
            </w:r>
          </w:p>
        </w:tc>
        <w:tc>
          <w:tcPr>
            <w:tcW w:w="0" w:type="dxa"/>
            <w:vAlign w:val="bottom"/>
          </w:tcPr>
          <w:p>
            <w:pPr>
              <w:spacing w:after="0"/>
              <w:rPr>
                <w:sz w:val="1"/>
                <w:szCs w:val="1"/>
                <w:color w:val="auto"/>
              </w:rPr>
            </w:pPr>
          </w:p>
        </w:tc>
      </w:tr>
      <w:tr>
        <w:trPr>
          <w:trHeight w:val="208"/>
        </w:trPr>
        <w:tc>
          <w:tcPr>
            <w:tcW w:w="8440" w:type="dxa"/>
            <w:vAlign w:val="bottom"/>
          </w:tcPr>
          <w:p>
            <w:pPr>
              <w:ind w:left="620"/>
              <w:spacing w:after="0"/>
              <w:rPr>
                <w:sz w:val="20"/>
                <w:szCs w:val="20"/>
                <w:color w:val="auto"/>
              </w:rPr>
            </w:pPr>
            <w:r>
              <w:rPr>
                <w:rFonts w:ascii="Arial" w:cs="Arial" w:eastAsia="Arial" w:hAnsi="Arial"/>
                <w:sz w:val="14"/>
                <w:szCs w:val="14"/>
                <w:color w:val="auto"/>
              </w:rPr>
              <w:t>Total current liabilities</w:t>
            </w:r>
          </w:p>
        </w:tc>
        <w:tc>
          <w:tcPr>
            <w:tcW w:w="14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color w:val="auto"/>
              </w:rPr>
              <w:t>7,662</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88"/>
              <w:spacing w:after="0"/>
              <w:rPr>
                <w:sz w:val="20"/>
                <w:szCs w:val="20"/>
                <w:color w:val="auto"/>
              </w:rPr>
            </w:pPr>
            <w:r>
              <w:rPr>
                <w:rFonts w:ascii="Arial" w:cs="Arial" w:eastAsia="Arial" w:hAnsi="Arial"/>
                <w:sz w:val="14"/>
                <w:szCs w:val="14"/>
                <w:color w:val="auto"/>
              </w:rPr>
              <w:t>8,952</w:t>
            </w:r>
          </w:p>
        </w:tc>
        <w:tc>
          <w:tcPr>
            <w:tcW w:w="0" w:type="dxa"/>
            <w:vAlign w:val="bottom"/>
          </w:tcPr>
          <w:p>
            <w:pPr>
              <w:spacing w:after="0"/>
              <w:rPr>
                <w:sz w:val="1"/>
                <w:szCs w:val="1"/>
                <w:color w:val="auto"/>
              </w:rPr>
            </w:pPr>
          </w:p>
        </w:tc>
      </w:tr>
      <w:tr>
        <w:trPr>
          <w:trHeight w:val="216"/>
        </w:trPr>
        <w:tc>
          <w:tcPr>
            <w:tcW w:w="8440" w:type="dxa"/>
            <w:vAlign w:val="bottom"/>
          </w:tcPr>
          <w:p>
            <w:pPr>
              <w:spacing w:after="0"/>
              <w:rPr>
                <w:sz w:val="20"/>
                <w:szCs w:val="20"/>
                <w:color w:val="auto"/>
              </w:rPr>
            </w:pPr>
            <w:r>
              <w:rPr>
                <w:rFonts w:ascii="Arial" w:cs="Arial" w:eastAsia="Arial" w:hAnsi="Arial"/>
                <w:sz w:val="14"/>
                <w:szCs w:val="14"/>
                <w:color w:val="auto"/>
              </w:rPr>
              <w:t>Borrowings-non-current portion, net of discounts and debt issuance costs</w:t>
            </w:r>
          </w:p>
        </w:tc>
        <w:tc>
          <w:tcPr>
            <w:tcW w:w="140" w:type="dxa"/>
            <w:vAlign w:val="bottom"/>
          </w:tcPr>
          <w:p>
            <w:pPr>
              <w:spacing w:after="0"/>
              <w:rPr>
                <w:sz w:val="18"/>
                <w:szCs w:val="18"/>
                <w:color w:val="auto"/>
              </w:rPr>
            </w:pPr>
          </w:p>
        </w:tc>
        <w:tc>
          <w:tcPr>
            <w:tcW w:w="1200" w:type="dxa"/>
            <w:vAlign w:val="bottom"/>
          </w:tcPr>
          <w:p>
            <w:pPr>
              <w:jc w:val="right"/>
              <w:ind w:right="88"/>
              <w:spacing w:after="0"/>
              <w:rPr>
                <w:sz w:val="20"/>
                <w:szCs w:val="20"/>
                <w:color w:val="auto"/>
              </w:rPr>
            </w:pPr>
            <w:r>
              <w:rPr>
                <w:rFonts w:ascii="Arial" w:cs="Arial" w:eastAsia="Arial" w:hAnsi="Arial"/>
                <w:sz w:val="14"/>
                <w:szCs w:val="14"/>
                <w:color w:val="auto"/>
              </w:rPr>
              <w:t>25,677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ind w:right="88"/>
              <w:spacing w:after="0"/>
              <w:rPr>
                <w:sz w:val="20"/>
                <w:szCs w:val="20"/>
                <w:color w:val="auto"/>
              </w:rPr>
            </w:pPr>
            <w:r>
              <w:rPr>
                <w:rFonts w:ascii="Arial" w:cs="Arial" w:eastAsia="Arial" w:hAnsi="Arial"/>
                <w:sz w:val="14"/>
                <w:szCs w:val="14"/>
                <w:color w:val="auto"/>
              </w:rPr>
              <w:t>24,617</w:t>
            </w:r>
          </w:p>
        </w:tc>
        <w:tc>
          <w:tcPr>
            <w:tcW w:w="0" w:type="dxa"/>
            <w:vAlign w:val="bottom"/>
          </w:tcPr>
          <w:p>
            <w:pPr>
              <w:spacing w:after="0"/>
              <w:rPr>
                <w:sz w:val="1"/>
                <w:szCs w:val="1"/>
                <w:color w:val="auto"/>
              </w:rPr>
            </w:pPr>
          </w:p>
        </w:tc>
      </w:tr>
      <w:tr>
        <w:trPr>
          <w:trHeight w:val="216"/>
        </w:trPr>
        <w:tc>
          <w:tcPr>
            <w:tcW w:w="8440" w:type="dxa"/>
            <w:vAlign w:val="bottom"/>
          </w:tcPr>
          <w:p>
            <w:pPr>
              <w:spacing w:after="0"/>
              <w:rPr>
                <w:sz w:val="20"/>
                <w:szCs w:val="20"/>
                <w:color w:val="auto"/>
              </w:rPr>
            </w:pPr>
            <w:r>
              <w:rPr>
                <w:rFonts w:ascii="Arial" w:cs="Arial" w:eastAsia="Arial" w:hAnsi="Arial"/>
                <w:sz w:val="14"/>
                <w:szCs w:val="14"/>
                <w:color w:val="auto"/>
              </w:rPr>
              <w:t>Redeemable convertible preferred stock warrant liabilities</w:t>
            </w:r>
          </w:p>
        </w:tc>
        <w:tc>
          <w:tcPr>
            <w:tcW w:w="14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200" w:type="dxa"/>
            <w:vAlign w:val="bottom"/>
          </w:tcPr>
          <w:p>
            <w:pPr>
              <w:jc w:val="right"/>
              <w:ind w:right="88"/>
              <w:spacing w:after="0"/>
              <w:rPr>
                <w:sz w:val="20"/>
                <w:szCs w:val="20"/>
                <w:color w:val="auto"/>
              </w:rPr>
            </w:pPr>
            <w:r>
              <w:rPr>
                <w:rFonts w:ascii="Arial" w:cs="Arial" w:eastAsia="Arial" w:hAnsi="Arial"/>
                <w:sz w:val="14"/>
                <w:szCs w:val="14"/>
                <w:color w:val="auto"/>
              </w:rPr>
              <w:t>1,503</w:t>
            </w:r>
          </w:p>
        </w:tc>
        <w:tc>
          <w:tcPr>
            <w:tcW w:w="0" w:type="dxa"/>
            <w:vAlign w:val="bottom"/>
          </w:tcPr>
          <w:p>
            <w:pPr>
              <w:spacing w:after="0"/>
              <w:rPr>
                <w:sz w:val="1"/>
                <w:szCs w:val="1"/>
                <w:color w:val="auto"/>
              </w:rPr>
            </w:pPr>
          </w:p>
        </w:tc>
      </w:tr>
      <w:tr>
        <w:trPr>
          <w:trHeight w:val="216"/>
        </w:trPr>
        <w:tc>
          <w:tcPr>
            <w:tcW w:w="8440" w:type="dxa"/>
            <w:vAlign w:val="bottom"/>
          </w:tcPr>
          <w:p>
            <w:pPr>
              <w:spacing w:after="0"/>
              <w:rPr>
                <w:sz w:val="20"/>
                <w:szCs w:val="20"/>
                <w:color w:val="auto"/>
              </w:rPr>
            </w:pPr>
            <w:r>
              <w:rPr>
                <w:rFonts w:ascii="Arial" w:cs="Arial" w:eastAsia="Arial" w:hAnsi="Arial"/>
                <w:sz w:val="14"/>
                <w:szCs w:val="14"/>
                <w:color w:val="auto"/>
              </w:rPr>
              <w:t>Deferred tax liabilities</w:t>
            </w:r>
          </w:p>
        </w:tc>
        <w:tc>
          <w:tcPr>
            <w:tcW w:w="140" w:type="dxa"/>
            <w:vAlign w:val="bottom"/>
          </w:tcPr>
          <w:p>
            <w:pPr>
              <w:spacing w:after="0"/>
              <w:rPr>
                <w:sz w:val="18"/>
                <w:szCs w:val="18"/>
                <w:color w:val="auto"/>
              </w:rPr>
            </w:pPr>
          </w:p>
        </w:tc>
        <w:tc>
          <w:tcPr>
            <w:tcW w:w="1200" w:type="dxa"/>
            <w:vAlign w:val="bottom"/>
          </w:tcPr>
          <w:p>
            <w:pPr>
              <w:jc w:val="right"/>
              <w:ind w:right="88"/>
              <w:spacing w:after="0"/>
              <w:rPr>
                <w:sz w:val="20"/>
                <w:szCs w:val="20"/>
                <w:color w:val="auto"/>
              </w:rPr>
            </w:pPr>
            <w:r>
              <w:rPr>
                <w:rFonts w:ascii="Arial" w:cs="Arial" w:eastAsia="Arial" w:hAnsi="Arial"/>
                <w:sz w:val="14"/>
                <w:szCs w:val="14"/>
                <w:color w:val="auto"/>
              </w:rPr>
              <w:t>245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ind w:right="88"/>
              <w:spacing w:after="0"/>
              <w:rPr>
                <w:sz w:val="20"/>
                <w:szCs w:val="20"/>
                <w:color w:val="auto"/>
              </w:rPr>
            </w:pPr>
            <w:r>
              <w:rPr>
                <w:rFonts w:ascii="Arial" w:cs="Arial" w:eastAsia="Arial" w:hAnsi="Arial"/>
                <w:sz w:val="14"/>
                <w:szCs w:val="14"/>
                <w:color w:val="auto"/>
              </w:rPr>
              <w:t>245</w:t>
            </w:r>
          </w:p>
        </w:tc>
        <w:tc>
          <w:tcPr>
            <w:tcW w:w="0" w:type="dxa"/>
            <w:vAlign w:val="bottom"/>
          </w:tcPr>
          <w:p>
            <w:pPr>
              <w:spacing w:after="0"/>
              <w:rPr>
                <w:sz w:val="1"/>
                <w:szCs w:val="1"/>
                <w:color w:val="auto"/>
              </w:rPr>
            </w:pPr>
          </w:p>
        </w:tc>
      </w:tr>
      <w:tr>
        <w:trPr>
          <w:trHeight w:val="218"/>
        </w:trPr>
        <w:tc>
          <w:tcPr>
            <w:tcW w:w="8440" w:type="dxa"/>
            <w:vAlign w:val="bottom"/>
          </w:tcPr>
          <w:p>
            <w:pPr>
              <w:spacing w:after="0"/>
              <w:rPr>
                <w:sz w:val="20"/>
                <w:szCs w:val="20"/>
                <w:color w:val="auto"/>
              </w:rPr>
            </w:pPr>
            <w:r>
              <w:rPr>
                <w:rFonts w:ascii="Arial" w:cs="Arial" w:eastAsia="Arial" w:hAnsi="Arial"/>
                <w:sz w:val="14"/>
                <w:szCs w:val="14"/>
                <w:color w:val="auto"/>
              </w:rPr>
              <w:t>Other non-current liabilities</w:t>
            </w: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510</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304</w:t>
            </w:r>
          </w:p>
        </w:tc>
        <w:tc>
          <w:tcPr>
            <w:tcW w:w="0" w:type="dxa"/>
            <w:vAlign w:val="bottom"/>
          </w:tcPr>
          <w:p>
            <w:pPr>
              <w:spacing w:after="0"/>
              <w:rPr>
                <w:sz w:val="1"/>
                <w:szCs w:val="1"/>
                <w:color w:val="auto"/>
              </w:rPr>
            </w:pPr>
          </w:p>
        </w:tc>
      </w:tr>
      <w:tr>
        <w:trPr>
          <w:trHeight w:val="208"/>
        </w:trPr>
        <w:tc>
          <w:tcPr>
            <w:tcW w:w="8440" w:type="dxa"/>
            <w:vAlign w:val="bottom"/>
          </w:tcPr>
          <w:p>
            <w:pPr>
              <w:ind w:left="620"/>
              <w:spacing w:after="0"/>
              <w:rPr>
                <w:sz w:val="20"/>
                <w:szCs w:val="20"/>
                <w:color w:val="auto"/>
              </w:rPr>
            </w:pPr>
            <w:r>
              <w:rPr>
                <w:rFonts w:ascii="Arial" w:cs="Arial" w:eastAsia="Arial" w:hAnsi="Arial"/>
                <w:sz w:val="14"/>
                <w:szCs w:val="14"/>
                <w:color w:val="auto"/>
              </w:rPr>
              <w:t>Total liabilities</w:t>
            </w:r>
          </w:p>
        </w:tc>
        <w:tc>
          <w:tcPr>
            <w:tcW w:w="140" w:type="dxa"/>
            <w:vAlign w:val="bottom"/>
          </w:tcPr>
          <w:p>
            <w:pPr>
              <w:spacing w:after="0"/>
              <w:rPr>
                <w:sz w:val="18"/>
                <w:szCs w:val="18"/>
                <w:color w:val="auto"/>
              </w:rPr>
            </w:pPr>
          </w:p>
        </w:tc>
        <w:tc>
          <w:tcPr>
            <w:tcW w:w="1200" w:type="dxa"/>
            <w:vAlign w:val="bottom"/>
          </w:tcPr>
          <w:p>
            <w:pPr>
              <w:jc w:val="right"/>
              <w:ind w:right="88"/>
              <w:spacing w:after="0"/>
              <w:rPr>
                <w:sz w:val="20"/>
                <w:szCs w:val="20"/>
                <w:color w:val="auto"/>
              </w:rPr>
            </w:pPr>
            <w:r>
              <w:rPr>
                <w:rFonts w:ascii="Arial" w:cs="Arial" w:eastAsia="Arial" w:hAnsi="Arial"/>
                <w:sz w:val="14"/>
                <w:szCs w:val="14"/>
                <w:color w:val="auto"/>
              </w:rPr>
              <w:t>34,094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ind w:right="88"/>
              <w:spacing w:after="0"/>
              <w:rPr>
                <w:sz w:val="20"/>
                <w:szCs w:val="20"/>
                <w:color w:val="auto"/>
              </w:rPr>
            </w:pPr>
            <w:r>
              <w:rPr>
                <w:rFonts w:ascii="Arial" w:cs="Arial" w:eastAsia="Arial" w:hAnsi="Arial"/>
                <w:sz w:val="14"/>
                <w:szCs w:val="14"/>
                <w:color w:val="auto"/>
              </w:rPr>
              <w:t>35,621</w:t>
            </w:r>
          </w:p>
        </w:tc>
        <w:tc>
          <w:tcPr>
            <w:tcW w:w="0" w:type="dxa"/>
            <w:vAlign w:val="bottom"/>
          </w:tcPr>
          <w:p>
            <w:pPr>
              <w:spacing w:after="0"/>
              <w:rPr>
                <w:sz w:val="1"/>
                <w:szCs w:val="1"/>
                <w:color w:val="auto"/>
              </w:rPr>
            </w:pPr>
          </w:p>
        </w:tc>
      </w:tr>
      <w:tr>
        <w:trPr>
          <w:trHeight w:val="216"/>
        </w:trPr>
        <w:tc>
          <w:tcPr>
            <w:tcW w:w="8440" w:type="dxa"/>
            <w:vAlign w:val="bottom"/>
          </w:tcPr>
          <w:p>
            <w:pPr>
              <w:spacing w:after="0"/>
              <w:rPr>
                <w:sz w:val="20"/>
                <w:szCs w:val="20"/>
                <w:color w:val="auto"/>
              </w:rPr>
            </w:pPr>
            <w:r>
              <w:rPr>
                <w:rFonts w:ascii="Arial" w:cs="Arial" w:eastAsia="Arial" w:hAnsi="Arial"/>
                <w:sz w:val="14"/>
                <w:szCs w:val="14"/>
                <w:color w:val="auto"/>
              </w:rPr>
              <w:t>Commitments and contingencies</w:t>
            </w: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8440" w:type="dxa"/>
            <w:vAlign w:val="bottom"/>
          </w:tcPr>
          <w:p>
            <w:pPr>
              <w:spacing w:after="0"/>
              <w:rPr>
                <w:sz w:val="20"/>
                <w:szCs w:val="20"/>
                <w:color w:val="auto"/>
              </w:rPr>
            </w:pPr>
            <w:r>
              <w:rPr>
                <w:rFonts w:ascii="Arial" w:cs="Arial" w:eastAsia="Arial" w:hAnsi="Arial"/>
                <w:sz w:val="14"/>
                <w:szCs w:val="14"/>
                <w:color w:val="auto"/>
              </w:rPr>
              <w:t>Redeemable convertible preferred stock, $0.001 par value; 750,300,000 shares authorized; none and 532,606,084 shares issued</w:t>
            </w:r>
          </w:p>
        </w:tc>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8440" w:type="dxa"/>
            <w:vAlign w:val="bottom"/>
          </w:tcPr>
          <w:p>
            <w:pPr>
              <w:spacing w:after="0"/>
              <w:rPr>
                <w:sz w:val="20"/>
                <w:szCs w:val="20"/>
                <w:color w:val="auto"/>
              </w:rPr>
            </w:pPr>
            <w:r>
              <w:rPr>
                <w:rFonts w:ascii="Arial" w:cs="Arial" w:eastAsia="Arial" w:hAnsi="Arial"/>
                <w:sz w:val="14"/>
                <w:szCs w:val="14"/>
                <w:color w:val="auto"/>
              </w:rPr>
              <w:t>and outstanding at September 30, 2019 (unaudited) and December 31, 2018, respectively; liquidation preference of $0 and</w:t>
            </w:r>
          </w:p>
        </w:tc>
        <w:tc>
          <w:tcPr>
            <w:tcW w:w="1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8440" w:type="dxa"/>
            <w:vAlign w:val="bottom"/>
          </w:tcPr>
          <w:p>
            <w:pPr>
              <w:spacing w:after="0"/>
              <w:rPr>
                <w:sz w:val="20"/>
                <w:szCs w:val="20"/>
                <w:color w:val="auto"/>
              </w:rPr>
            </w:pPr>
            <w:r>
              <w:rPr>
                <w:rFonts w:ascii="Arial" w:cs="Arial" w:eastAsia="Arial" w:hAnsi="Arial"/>
                <w:sz w:val="14"/>
                <w:szCs w:val="14"/>
                <w:color w:val="auto"/>
              </w:rPr>
              <w:t>$163,316 at September 31, 2019 (unaudited) and December 31, 2018, respectively</w:t>
            </w:r>
          </w:p>
        </w:tc>
        <w:tc>
          <w:tcPr>
            <w:tcW w:w="140" w:type="dxa"/>
            <w:vAlign w:val="bottom"/>
          </w:tcPr>
          <w:p>
            <w:pPr>
              <w:spacing w:after="0"/>
              <w:rPr>
                <w:sz w:val="16"/>
                <w:szCs w:val="16"/>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200" w:type="dxa"/>
            <w:vAlign w:val="bottom"/>
          </w:tcPr>
          <w:p>
            <w:pPr>
              <w:jc w:val="right"/>
              <w:ind w:right="88"/>
              <w:spacing w:after="0"/>
              <w:rPr>
                <w:sz w:val="20"/>
                <w:szCs w:val="20"/>
                <w:color w:val="auto"/>
              </w:rPr>
            </w:pPr>
            <w:r>
              <w:rPr>
                <w:rFonts w:ascii="Arial" w:cs="Arial" w:eastAsia="Arial" w:hAnsi="Arial"/>
                <w:sz w:val="14"/>
                <w:szCs w:val="14"/>
                <w:color w:val="auto"/>
              </w:rPr>
              <w:t>105,232</w:t>
            </w:r>
          </w:p>
        </w:tc>
        <w:tc>
          <w:tcPr>
            <w:tcW w:w="0" w:type="dxa"/>
            <w:vAlign w:val="bottom"/>
          </w:tcPr>
          <w:p>
            <w:pPr>
              <w:spacing w:after="0"/>
              <w:rPr>
                <w:sz w:val="1"/>
                <w:szCs w:val="1"/>
                <w:color w:val="auto"/>
              </w:rPr>
            </w:pPr>
          </w:p>
        </w:tc>
      </w:tr>
      <w:tr>
        <w:trPr>
          <w:trHeight w:val="216"/>
        </w:trPr>
        <w:tc>
          <w:tcPr>
            <w:tcW w:w="8440" w:type="dxa"/>
            <w:vAlign w:val="bottom"/>
          </w:tcPr>
          <w:p>
            <w:pPr>
              <w:spacing w:after="0"/>
              <w:rPr>
                <w:sz w:val="20"/>
                <w:szCs w:val="20"/>
                <w:color w:val="auto"/>
              </w:rPr>
            </w:pPr>
            <w:r>
              <w:rPr>
                <w:rFonts w:ascii="Arial" w:cs="Arial" w:eastAsia="Arial" w:hAnsi="Arial"/>
                <w:sz w:val="14"/>
                <w:szCs w:val="14"/>
                <w:color w:val="auto"/>
              </w:rPr>
              <w:t>Stockholders' equity (deficit):</w:t>
            </w: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8440" w:type="dxa"/>
            <w:vAlign w:val="bottom"/>
          </w:tcPr>
          <w:p>
            <w:pPr>
              <w:ind w:left="300"/>
              <w:spacing w:after="0"/>
              <w:rPr>
                <w:sz w:val="20"/>
                <w:szCs w:val="20"/>
                <w:color w:val="auto"/>
              </w:rPr>
            </w:pPr>
            <w:r>
              <w:rPr>
                <w:rFonts w:ascii="Arial" w:cs="Arial" w:eastAsia="Arial" w:hAnsi="Arial"/>
                <w:sz w:val="14"/>
                <w:szCs w:val="14"/>
                <w:color w:val="auto"/>
              </w:rPr>
              <w:t>Preferred stock, $0.001 par value; 10,000,000 shares authorized, no shares issued or outstanding at September 30, 2019; no</w:t>
            </w:r>
          </w:p>
        </w:tc>
        <w:tc>
          <w:tcPr>
            <w:tcW w:w="1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8440" w:type="dxa"/>
            <w:vAlign w:val="bottom"/>
          </w:tcPr>
          <w:p>
            <w:pPr>
              <w:ind w:left="300"/>
              <w:spacing w:after="0"/>
              <w:rPr>
                <w:sz w:val="20"/>
                <w:szCs w:val="20"/>
                <w:color w:val="auto"/>
              </w:rPr>
            </w:pPr>
            <w:r>
              <w:rPr>
                <w:rFonts w:ascii="Arial" w:cs="Arial" w:eastAsia="Arial" w:hAnsi="Arial"/>
                <w:sz w:val="14"/>
                <w:szCs w:val="14"/>
                <w:color w:val="auto"/>
              </w:rPr>
              <w:t>shares authorized, issued or outstanding at December 31, 2018</w:t>
            </w:r>
          </w:p>
        </w:tc>
        <w:tc>
          <w:tcPr>
            <w:tcW w:w="140" w:type="dxa"/>
            <w:vAlign w:val="bottom"/>
          </w:tcPr>
          <w:p>
            <w:pPr>
              <w:spacing w:after="0"/>
              <w:rPr>
                <w:sz w:val="16"/>
                <w:szCs w:val="16"/>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12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7"/>
        </w:trPr>
        <w:tc>
          <w:tcPr>
            <w:tcW w:w="8440" w:type="dxa"/>
            <w:vAlign w:val="bottom"/>
          </w:tcPr>
          <w:p>
            <w:pPr>
              <w:ind w:left="320"/>
              <w:spacing w:after="0" w:line="157" w:lineRule="exact"/>
              <w:rPr>
                <w:sz w:val="20"/>
                <w:szCs w:val="20"/>
                <w:color w:val="auto"/>
              </w:rPr>
            </w:pPr>
            <w:r>
              <w:rPr>
                <w:rFonts w:ascii="Arial" w:cs="Arial" w:eastAsia="Arial" w:hAnsi="Arial"/>
                <w:sz w:val="14"/>
                <w:szCs w:val="14"/>
                <w:color w:val="auto"/>
              </w:rPr>
              <w:t>Common stock, $0.001 par value; 200,000,000 and 1,470,000,000 shares authorized at September 30, 2019 (unaudited) and</w:t>
            </w:r>
          </w:p>
        </w:tc>
        <w:tc>
          <w:tcPr>
            <w:tcW w:w="1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8440" w:type="dxa"/>
            <w:vAlign w:val="bottom"/>
          </w:tcPr>
          <w:p>
            <w:pPr>
              <w:ind w:left="320"/>
              <w:spacing w:after="0" w:line="135" w:lineRule="exact"/>
              <w:rPr>
                <w:sz w:val="20"/>
                <w:szCs w:val="20"/>
                <w:color w:val="auto"/>
              </w:rPr>
            </w:pPr>
            <w:r>
              <w:rPr>
                <w:rFonts w:ascii="Arial" w:cs="Arial" w:eastAsia="Arial" w:hAnsi="Arial"/>
                <w:sz w:val="14"/>
                <w:szCs w:val="14"/>
                <w:color w:val="auto"/>
              </w:rPr>
              <w:t>December 31, 2018, respectively; 12,559,492 and 63,005 shares issued and outstanding at September 30, 2019 (unaudited)</w:t>
            </w:r>
          </w:p>
        </w:tc>
        <w:tc>
          <w:tcPr>
            <w:tcW w:w="140" w:type="dxa"/>
            <w:vAlign w:val="bottom"/>
          </w:tcPr>
          <w:p>
            <w:pPr>
              <w:spacing w:after="0"/>
              <w:rPr>
                <w:sz w:val="11"/>
                <w:szCs w:val="11"/>
                <w:color w:val="auto"/>
              </w:rPr>
            </w:pPr>
          </w:p>
        </w:tc>
        <w:tc>
          <w:tcPr>
            <w:tcW w:w="1200" w:type="dxa"/>
            <w:vAlign w:val="bottom"/>
            <w:vMerge w:val="restart"/>
          </w:tcPr>
          <w:p>
            <w:pPr>
              <w:jc w:val="right"/>
              <w:ind w:right="88"/>
              <w:spacing w:after="0"/>
              <w:rPr>
                <w:sz w:val="20"/>
                <w:szCs w:val="20"/>
                <w:color w:val="auto"/>
              </w:rPr>
            </w:pPr>
            <w:r>
              <w:rPr>
                <w:rFonts w:ascii="Arial" w:cs="Arial" w:eastAsia="Arial" w:hAnsi="Arial"/>
                <w:sz w:val="14"/>
                <w:szCs w:val="14"/>
                <w:color w:val="auto"/>
              </w:rPr>
              <w:t>13</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0" w:type="dxa"/>
            <w:vAlign w:val="bottom"/>
            <w:vMerge w:val="restart"/>
          </w:tcPr>
          <w:p>
            <w:pPr>
              <w:jc w:val="right"/>
              <w:ind w:right="8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8440" w:type="dxa"/>
            <w:vAlign w:val="bottom"/>
          </w:tcPr>
          <w:p>
            <w:pPr>
              <w:ind w:left="320"/>
              <w:spacing w:after="0"/>
              <w:rPr>
                <w:sz w:val="20"/>
                <w:szCs w:val="20"/>
                <w:color w:val="auto"/>
              </w:rPr>
            </w:pPr>
            <w:r>
              <w:rPr>
                <w:rFonts w:ascii="Arial" w:cs="Arial" w:eastAsia="Arial" w:hAnsi="Arial"/>
                <w:sz w:val="14"/>
                <w:szCs w:val="14"/>
                <w:color w:val="auto"/>
              </w:rPr>
              <w:t>and December 31, 2018, respectively</w:t>
            </w:r>
          </w:p>
        </w:tc>
        <w:tc>
          <w:tcPr>
            <w:tcW w:w="14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8440" w:type="dxa"/>
            <w:vAlign w:val="bottom"/>
          </w:tcPr>
          <w:p>
            <w:pPr>
              <w:ind w:left="300"/>
              <w:spacing w:after="0"/>
              <w:rPr>
                <w:sz w:val="20"/>
                <w:szCs w:val="20"/>
                <w:color w:val="auto"/>
              </w:rPr>
            </w:pPr>
            <w:r>
              <w:rPr>
                <w:rFonts w:ascii="Arial" w:cs="Arial" w:eastAsia="Arial" w:hAnsi="Arial"/>
                <w:sz w:val="14"/>
                <w:szCs w:val="14"/>
                <w:color w:val="auto"/>
              </w:rPr>
              <w:t>Additional paid-in capital</w:t>
            </w:r>
          </w:p>
        </w:tc>
        <w:tc>
          <w:tcPr>
            <w:tcW w:w="140" w:type="dxa"/>
            <w:vAlign w:val="bottom"/>
          </w:tcPr>
          <w:p>
            <w:pPr>
              <w:spacing w:after="0"/>
              <w:rPr>
                <w:sz w:val="18"/>
                <w:szCs w:val="18"/>
                <w:color w:val="auto"/>
              </w:rPr>
            </w:pPr>
          </w:p>
        </w:tc>
        <w:tc>
          <w:tcPr>
            <w:tcW w:w="1200" w:type="dxa"/>
            <w:vAlign w:val="bottom"/>
          </w:tcPr>
          <w:p>
            <w:pPr>
              <w:jc w:val="right"/>
              <w:ind w:right="88"/>
              <w:spacing w:after="0"/>
              <w:rPr>
                <w:sz w:val="20"/>
                <w:szCs w:val="20"/>
                <w:color w:val="auto"/>
              </w:rPr>
            </w:pPr>
            <w:r>
              <w:rPr>
                <w:rFonts w:ascii="Arial" w:cs="Arial" w:eastAsia="Arial" w:hAnsi="Arial"/>
                <w:sz w:val="14"/>
                <w:szCs w:val="14"/>
                <w:color w:val="auto"/>
              </w:rPr>
              <w:t>219,831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ind w:right="88"/>
              <w:spacing w:after="0"/>
              <w:rPr>
                <w:sz w:val="20"/>
                <w:szCs w:val="20"/>
                <w:color w:val="auto"/>
              </w:rPr>
            </w:pPr>
            <w:r>
              <w:rPr>
                <w:rFonts w:ascii="Arial" w:cs="Arial" w:eastAsia="Arial" w:hAnsi="Arial"/>
                <w:sz w:val="14"/>
                <w:szCs w:val="14"/>
                <w:color w:val="auto"/>
              </w:rPr>
              <w:t>40,598</w:t>
            </w:r>
          </w:p>
        </w:tc>
        <w:tc>
          <w:tcPr>
            <w:tcW w:w="0" w:type="dxa"/>
            <w:vAlign w:val="bottom"/>
          </w:tcPr>
          <w:p>
            <w:pPr>
              <w:spacing w:after="0"/>
              <w:rPr>
                <w:sz w:val="1"/>
                <w:szCs w:val="1"/>
                <w:color w:val="auto"/>
              </w:rPr>
            </w:pPr>
          </w:p>
        </w:tc>
      </w:tr>
      <w:tr>
        <w:trPr>
          <w:trHeight w:val="204"/>
        </w:trPr>
        <w:tc>
          <w:tcPr>
            <w:tcW w:w="8440" w:type="dxa"/>
            <w:vAlign w:val="bottom"/>
          </w:tcPr>
          <w:p>
            <w:pPr>
              <w:ind w:left="300"/>
              <w:spacing w:after="0"/>
              <w:rPr>
                <w:sz w:val="20"/>
                <w:szCs w:val="20"/>
                <w:color w:val="auto"/>
              </w:rPr>
            </w:pPr>
            <w:r>
              <w:rPr>
                <w:rFonts w:ascii="Arial" w:cs="Arial" w:eastAsia="Arial" w:hAnsi="Arial"/>
                <w:sz w:val="14"/>
                <w:szCs w:val="14"/>
                <w:color w:val="auto"/>
              </w:rPr>
              <w:t>Accumulated deficit</w:t>
            </w:r>
          </w:p>
        </w:tc>
        <w:tc>
          <w:tcPr>
            <w:tcW w:w="14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(161,194)</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(152,564)</w:t>
            </w:r>
          </w:p>
        </w:tc>
        <w:tc>
          <w:tcPr>
            <w:tcW w:w="0" w:type="dxa"/>
            <w:vAlign w:val="bottom"/>
          </w:tcPr>
          <w:p>
            <w:pPr>
              <w:spacing w:after="0"/>
              <w:rPr>
                <w:sz w:val="1"/>
                <w:szCs w:val="1"/>
                <w:color w:val="auto"/>
              </w:rPr>
            </w:pPr>
          </w:p>
        </w:tc>
      </w:tr>
      <w:tr>
        <w:trPr>
          <w:trHeight w:val="210"/>
        </w:trPr>
        <w:tc>
          <w:tcPr>
            <w:tcW w:w="8440" w:type="dxa"/>
            <w:vAlign w:val="bottom"/>
          </w:tcPr>
          <w:p>
            <w:pPr>
              <w:ind w:left="620"/>
              <w:spacing w:after="0"/>
              <w:rPr>
                <w:sz w:val="20"/>
                <w:szCs w:val="20"/>
                <w:color w:val="auto"/>
              </w:rPr>
            </w:pPr>
            <w:r>
              <w:rPr>
                <w:rFonts w:ascii="Arial" w:cs="Arial" w:eastAsia="Arial" w:hAnsi="Arial"/>
                <w:sz w:val="14"/>
                <w:szCs w:val="14"/>
                <w:color w:val="auto"/>
              </w:rPr>
              <w:t>Total stockholders' equity (deficit)</w:t>
            </w:r>
          </w:p>
        </w:tc>
        <w:tc>
          <w:tcPr>
            <w:tcW w:w="1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58,650</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(111,966)</w:t>
            </w:r>
          </w:p>
        </w:tc>
        <w:tc>
          <w:tcPr>
            <w:tcW w:w="0" w:type="dxa"/>
            <w:vAlign w:val="bottom"/>
          </w:tcPr>
          <w:p>
            <w:pPr>
              <w:spacing w:after="0"/>
              <w:rPr>
                <w:sz w:val="1"/>
                <w:szCs w:val="1"/>
                <w:color w:val="auto"/>
              </w:rPr>
            </w:pPr>
          </w:p>
        </w:tc>
      </w:tr>
      <w:tr>
        <w:trPr>
          <w:trHeight w:val="212"/>
        </w:trPr>
        <w:tc>
          <w:tcPr>
            <w:tcW w:w="8440" w:type="dxa"/>
            <w:vAlign w:val="bottom"/>
          </w:tcPr>
          <w:p>
            <w:pPr>
              <w:spacing w:after="0"/>
              <w:rPr>
                <w:sz w:val="20"/>
                <w:szCs w:val="20"/>
                <w:color w:val="auto"/>
              </w:rPr>
            </w:pPr>
            <w:r>
              <w:rPr>
                <w:rFonts w:ascii="Arial" w:cs="Arial" w:eastAsia="Arial" w:hAnsi="Arial"/>
                <w:sz w:val="14"/>
                <w:szCs w:val="14"/>
                <w:color w:val="auto"/>
              </w:rPr>
              <w:t>Total liabilities, redeemable convertible preferred stock and stockholders' equity (deficit)</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92,744</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28,887</w:t>
            </w:r>
          </w:p>
        </w:tc>
        <w:tc>
          <w:tcPr>
            <w:tcW w:w="0" w:type="dxa"/>
            <w:vAlign w:val="bottom"/>
          </w:tcPr>
          <w:p>
            <w:pPr>
              <w:spacing w:after="0"/>
              <w:rPr>
                <w:sz w:val="1"/>
                <w:szCs w:val="1"/>
                <w:color w:val="auto"/>
              </w:rPr>
            </w:pPr>
          </w:p>
        </w:tc>
      </w:tr>
      <w:tr>
        <w:trPr>
          <w:trHeight w:val="25"/>
        </w:trPr>
        <w:tc>
          <w:tcPr>
            <w:tcW w:w="84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60"/>
      </w:cols>
      <w:pgMar w:left="280" w:top="1411"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2019-12-28T01:48:30Z</dcterms:created>
  <dcterms:modified xsi:type="dcterms:W3CDTF">2019-12-28T01:48:30Z</dcterms:modified>
</cp:coreProperties>
</file>