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0"/>
        <w:jc w:val="center"/>
        <w:rPr>
          <w:color w:val="000000"/>
        </w:rPr>
      </w:pPr>
      <w:r>
        <w:rPr>
          <w:color w:val="000000"/>
        </w:rPr>
        <w:t> </w:t>
      </w:r>
    </w:p>
    <w:tbl>
      <w:tblPr>
        <w:tblW w:w="8115" w:type="dxa"/>
        <w:jc w:val="center"/>
        <w:tblInd w:w="0" w:type="dxa"/>
        <w:tblLayout w:type="fixed"/>
        <w:tblCellMar>
          <w:top w:w="28" w:type="dxa"/>
          <w:left w:w="28" w:type="dxa"/>
          <w:bottom w:w="28" w:type="dxa"/>
          <w:right w:w="28" w:type="dxa"/>
        </w:tblCellMar>
      </w:tblPr>
      <w:tblGrid>
        <w:gridCol w:w="960"/>
        <w:gridCol w:w="848"/>
        <w:gridCol w:w="848"/>
        <w:gridCol w:w="848"/>
        <w:gridCol w:w="848"/>
        <w:gridCol w:w="848"/>
        <w:gridCol w:w="848"/>
        <w:gridCol w:w="848"/>
        <w:gridCol w:w="1219"/>
      </w:tblGrid>
      <w:tr>
        <w:trPr/>
        <w:tc>
          <w:tcPr>
            <w:tcW w:w="96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8"/>
              </w:rPr>
            </w:pPr>
            <w:r>
              <w:rPr>
                <w:rFonts w:ascii="Arial;sans-serif" w:hAnsi="Arial;sans-serif"/>
                <w:b/>
                <w:color w:val="000000"/>
                <w:sz w:val="28"/>
              </w:rPr>
              <w:t>SCHEDULE 14A</w:t>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Proxy Statement Pursuant to Section 14(a) of the Securities Exchange Act of 1934 (Amendment No. )</w:t>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40" w:type="dxa"/>
        <w:jc w:val="center"/>
        <w:tblInd w:w="0" w:type="dxa"/>
        <w:tblLayout w:type="fixed"/>
        <w:tblCellMar>
          <w:top w:w="28" w:type="dxa"/>
          <w:left w:w="28" w:type="dxa"/>
          <w:bottom w:w="28" w:type="dxa"/>
          <w:right w:w="28" w:type="dxa"/>
        </w:tblCellMar>
      </w:tblPr>
      <w:tblGrid>
        <w:gridCol w:w="906"/>
        <w:gridCol w:w="792"/>
        <w:gridCol w:w="792"/>
        <w:gridCol w:w="1872"/>
        <w:gridCol w:w="1872"/>
        <w:gridCol w:w="2706"/>
      </w:tblGrid>
      <w:tr>
        <w:trPr/>
        <w:tc>
          <w:tcPr>
            <w:tcW w:w="90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r>
      <w:tr>
        <w:trPr/>
        <w:tc>
          <w:tcPr>
            <w:tcW w:w="89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by the Registrant ☒ Filed by a Party other than the Registrant ☐</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Check the appropriate box:</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Preliminary Proxy Statement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Confidential, for Use of the Commission Only (as permitted by Rule 14a-6(e)(2))</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Definitive Proxy Statement</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Definitive Additional Materials</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under §240.14a-12</w:t>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Exagen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(Name of Person(s) Filing Proxy Statement, if other than the Registrant)</w:t>
      </w:r>
    </w:p>
    <w:p>
      <w:pPr>
        <w:pStyle w:val="TextBody"/>
        <w:bidi w:val="0"/>
        <w:spacing w:before="0" w:after="0"/>
        <w:jc w:val="center"/>
        <w:rPr/>
      </w:pPr>
      <w:r>
        <w:rPr/>
      </w:r>
    </w:p>
    <w:tbl>
      <w:tblPr>
        <w:tblW w:w="8803" w:type="dxa"/>
        <w:jc w:val="left"/>
        <w:tblInd w:w="0" w:type="dxa"/>
        <w:tblLayout w:type="fixed"/>
        <w:tblCellMar>
          <w:top w:w="28" w:type="dxa"/>
          <w:left w:w="28" w:type="dxa"/>
          <w:bottom w:w="28" w:type="dxa"/>
          <w:right w:w="28" w:type="dxa"/>
        </w:tblCellMar>
      </w:tblPr>
      <w:tblGrid>
        <w:gridCol w:w="462"/>
        <w:gridCol w:w="406"/>
        <w:gridCol w:w="406"/>
        <w:gridCol w:w="1174"/>
        <w:gridCol w:w="1174"/>
        <w:gridCol w:w="1174"/>
        <w:gridCol w:w="1174"/>
        <w:gridCol w:w="1174"/>
        <w:gridCol w:w="1659"/>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88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Filing Fee (Check the appropriate box):</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 fee required.</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paid previously with preliminary materials.</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Arial;sans-serif" w:hAnsi="Arial;sans-serif"/>
          <w:b/>
          <w:color w:val="000000"/>
          <w:sz w:val="22"/>
        </w:rPr>
      </w:pPr>
      <w:r>
        <w:rPr>
          <w:rFonts w:ascii="Arial;sans-serif" w:hAnsi="Arial;sans-serif"/>
          <w:b/>
          <w:color w:val="000000"/>
          <w:sz w:val="22"/>
        </w:rPr>
        <w:t>PROXY STATEMENT SUPPLEMENT</w:t>
      </w:r>
    </w:p>
    <w:p>
      <w:pPr>
        <w:pStyle w:val="TextBody"/>
        <w:bidi w:val="0"/>
        <w:spacing w:lineRule="auto" w:line="556" w:before="0" w:after="0"/>
        <w:jc w:val="center"/>
        <w:rPr>
          <w:rFonts w:ascii="Arial;sans-serif" w:hAnsi="Arial;sans-serif"/>
          <w:b/>
          <w:color w:val="000000"/>
          <w:sz w:val="22"/>
        </w:rPr>
      </w:pPr>
      <w:r>
        <w:rPr>
          <w:rFonts w:ascii="Arial;sans-serif" w:hAnsi="Arial;sans-serif"/>
          <w:b/>
          <w:color w:val="000000"/>
          <w:sz w:val="22"/>
        </w:rPr>
        <w:t>EXAGEN INC.</w:t>
      </w:r>
    </w:p>
    <w:p>
      <w:pPr>
        <w:pStyle w:val="TextBody"/>
        <w:bidi w:val="0"/>
        <w:spacing w:lineRule="auto" w:line="556" w:before="0" w:after="0"/>
        <w:jc w:val="center"/>
        <w:rPr>
          <w:rFonts w:ascii="Arial;sans-serif" w:hAnsi="Arial;sans-serif"/>
          <w:b/>
          <w:color w:val="000000"/>
          <w:sz w:val="22"/>
        </w:rPr>
      </w:pPr>
      <w:r>
        <w:rPr>
          <w:rFonts w:ascii="Arial;sans-serif" w:hAnsi="Arial;sans-serif"/>
          <w:b/>
          <w:color w:val="000000"/>
          <w:sz w:val="22"/>
        </w:rPr>
        <w:t>1261 Liberty Way</w:t>
      </w:r>
    </w:p>
    <w:p>
      <w:pPr>
        <w:pStyle w:val="TextBody"/>
        <w:bidi w:val="0"/>
        <w:spacing w:lineRule="auto" w:line="556" w:before="0" w:after="0"/>
        <w:jc w:val="center"/>
        <w:rPr>
          <w:rFonts w:ascii="Arial;sans-serif" w:hAnsi="Arial;sans-serif"/>
          <w:b/>
          <w:color w:val="000000"/>
          <w:sz w:val="22"/>
        </w:rPr>
      </w:pPr>
      <w:r>
        <w:rPr>
          <w:rFonts w:ascii="Arial;sans-serif" w:hAnsi="Arial;sans-serif"/>
          <w:b/>
          <w:color w:val="000000"/>
          <w:sz w:val="22"/>
        </w:rPr>
        <w:t>Vista, California 92081</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Notice of Change of Location relates to the proxy statement of Exagen Inc. (the “Company”), dated April 28, 2023, furnished to stockholders of the Company in connection with the solicitation of proxies by the Board of Directors of the Company for use at the Annual Meeting of Stockholders to be held on Friday, June 9, 2023. This Notice of Change of Location is being filed with the Securities and Exchange Commission and is being made available to stockholders on or about May 24, 2023.</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THE NOTICE SHOULD BE READ IN CONJUNCTION WITH THE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790700" cy="7143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90700" cy="71437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Notice of Change of Location of</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Annual Meeting of Stockholders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To Be Held on June 9, 2023</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May 24,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Dear Stockholder: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providing this notice to inform you that Exagen Inc. has changed the location of its upcoming 2023 Annual Meeting of Stockholders, to be held on Friday, June 9, 2023 at 8:00 a.m. Pacific Time,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Offices of Mintz, Levin, Cohn, Ferris, Glovsky, and Popeo, P.C.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3580 Carmel Mountain Road, Suite 300</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San Diego, CA 92130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is no change to the proposals to be presented to our stockholders for consideration at the Annual Meeting of the Stockholders.</w:t>
      </w:r>
    </w:p>
    <w:tbl>
      <w:tblPr>
        <w:tblW w:w="392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571"/>
        <w:gridCol w:w="571"/>
        <w:gridCol w:w="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Kamal Adawi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Kamal Adawi</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May 24, 2023</w:t>
            </w:r>
          </w:p>
        </w:tc>
      </w:tr>
    </w:tbl>
    <w:p>
      <w:pPr>
        <w:pStyle w:val="TextBody"/>
        <w:bidi w:val="0"/>
        <w:spacing w:before="0" w:after="0"/>
        <w:jc w:val="left"/>
        <w:rPr/>
      </w:pPr>
      <w:r>
        <w:rPr/>
      </w:r>
    </w:p>
    <w:p>
      <w:pPr>
        <w:pStyle w:val="TextBody"/>
        <w:bidi w:val="0"/>
        <w:spacing w:lineRule="auto" w:line="288"/>
        <w:jc w:val="left"/>
        <w:rPr>
          <w:rFonts w:ascii="Arial;sans-serif" w:hAnsi="Arial;sans-serif"/>
          <w:b/>
          <w:color w:val="000000"/>
          <w:sz w:val="18"/>
        </w:rPr>
      </w:pPr>
      <w:r>
        <w:rPr>
          <w:rFonts w:ascii="Arial;sans-serif" w:hAnsi="Arial;sans-serif"/>
          <w:b/>
          <w:color w:val="000000"/>
          <w:sz w:val="18"/>
        </w:rPr>
        <w:t>Important Notice Regarding the Availability of Proxy Materials for the 2023 Annual Meeting of Stockholders to Be Held on June 9, 2023: The Notice of 2023 Annual Meeting of Stockholders, Proxy Statement for the 2023 Annual Meeting and our Annual Report on Form 10-K for the fiscal year ended December 31, 2022 are available on our proxy website (www.proxydocs.com/XGN).</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413</Words>
  <Characters>2112</Characters>
  <CharactersWithSpaces>2478</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