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Adawi Kamal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EXAGEN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CFO and Corporate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03/04/2024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9,297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1.9089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247,236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03/04/2024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3,487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1.9099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243,749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by the reporting person to generate proceeds used to satisfy the tax withholding obligation that arose upon the vesting of certain restricted stock units granted to the reporting person on March 1, 2023.</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by the reporting person to generate proceeds used to satisfy the tax withholding obligation that arose upon the vesting of certain restricted stock units granted to the reporting person on February 23, 2021.</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Kamal Adawi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03/06/2024</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9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2024-03-06T15:16:34Z</dcterms:created>
  <dcterms:modified xsi:type="dcterms:W3CDTF">2024-03-06T15:16:34Z</dcterms:modified>
</cp:coreProperties>
</file>