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Exagen Inc. (the "Company") held its 2026 annual meeting of stockholders (the "Annual Meeting") on June 9, 2026. At the Annual Meeting, the Company's stockholders voted on three proposals, as described below. Each of the proposals was described in detail in the Company's definitive proxy statement on Schedule 14A filed with the U.S. Securities and Exchange Commission on April 27, 2026 (the “Proxy Statement”).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1</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two Class I directors for a three-year term of office expiring at the Company's 2029 annual meeting of stockholders and until their successors are duly elected and qualified or until such director's earlier death, resignation or removal.</w:t>
      </w:r>
    </w:p>
    <w:p>
      <w:pPr>
        <w:spacing w:after="0" w:line="13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3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77"/>
        </w:trPr>
        <w:tc>
          <w:tcPr>
            <w:tcW w:w="24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Tina S. Nova, Ph.D.</w:t>
            </w:r>
          </w:p>
        </w:tc>
        <w:tc>
          <w:tcPr>
            <w:tcW w:w="17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8,094,349</w:t>
            </w:r>
          </w:p>
        </w:tc>
        <w:tc>
          <w:tcPr>
            <w:tcW w:w="940" w:type="dxa"/>
            <w:vAlign w:val="bottom"/>
          </w:tcPr>
          <w:p>
            <w:pPr>
              <w:spacing w:after="0"/>
              <w:rPr>
                <w:sz w:val="24"/>
                <w:szCs w:val="24"/>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220,954</w:t>
            </w:r>
          </w:p>
        </w:tc>
        <w:tc>
          <w:tcPr>
            <w:tcW w:w="12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8,663,346</w:t>
            </w:r>
          </w:p>
        </w:tc>
      </w:tr>
      <w:tr>
        <w:trPr>
          <w:trHeight w:val="257"/>
        </w:trPr>
        <w:tc>
          <w:tcPr>
            <w:tcW w:w="24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Scott Kahn, Ph.D.</w:t>
            </w:r>
          </w:p>
        </w:tc>
        <w:tc>
          <w:tcPr>
            <w:tcW w:w="17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6,295,837</w:t>
            </w:r>
          </w:p>
        </w:tc>
        <w:tc>
          <w:tcPr>
            <w:tcW w:w="940" w:type="dxa"/>
            <w:vAlign w:val="bottom"/>
          </w:tcPr>
          <w:p>
            <w:pPr>
              <w:spacing w:after="0"/>
              <w:rPr>
                <w:sz w:val="22"/>
                <w:szCs w:val="22"/>
                <w:color w:val="auto"/>
              </w:rPr>
            </w:pP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2,019,466</w:t>
            </w:r>
          </w:p>
        </w:tc>
        <w:tc>
          <w:tcPr>
            <w:tcW w:w="12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8,663,346</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2</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BDO USA, P.C. as the Company's independent registered public accounting firm for the fiscal year ending December 31, 2026.</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9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w w:val="96"/>
              </w:rPr>
              <w:t>16,955,368</w:t>
            </w:r>
          </w:p>
        </w:tc>
        <w:tc>
          <w:tcPr>
            <w:tcW w:w="2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23,277</w:t>
            </w:r>
          </w:p>
        </w:tc>
        <w:tc>
          <w:tcPr>
            <w:tcW w:w="2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__</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3</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by an advisory vote, the compensation of the Company’s named executive officers as disclosed in the Proxy Statement.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1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8"/>
                <w:szCs w:val="18"/>
                <w:color w:val="auto"/>
              </w:rPr>
            </w:pPr>
          </w:p>
        </w:tc>
        <w:tc>
          <w:tcPr>
            <w:tcW w:w="19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7"/>
        </w:trPr>
        <w:tc>
          <w:tcPr>
            <w:tcW w:w="116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8,271,156</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22,870</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21,277</w:t>
            </w:r>
          </w:p>
        </w:tc>
        <w:tc>
          <w:tcPr>
            <w:tcW w:w="1400" w:type="dxa"/>
            <w:vAlign w:val="bottom"/>
          </w:tcPr>
          <w:p>
            <w:pPr>
              <w:spacing w:after="0"/>
              <w:rPr>
                <w:sz w:val="24"/>
                <w:szCs w:val="24"/>
                <w:color w:val="auto"/>
              </w:rPr>
            </w:pPr>
          </w:p>
        </w:tc>
        <w:tc>
          <w:tcPr>
            <w:tcW w:w="13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8,663,346</w:t>
            </w:r>
          </w:p>
        </w:tc>
        <w:tc>
          <w:tcPr>
            <w:tcW w:w="520" w:type="dxa"/>
            <w:vAlign w:val="bottom"/>
          </w:tcPr>
          <w:p>
            <w:pPr>
              <w:spacing w:after="0"/>
              <w:rPr>
                <w:sz w:val="24"/>
                <w:szCs w:val="24"/>
                <w:color w:val="auto"/>
              </w:rPr>
            </w:pPr>
          </w:p>
        </w:tc>
      </w:tr>
      <w:tr>
        <w:trPr>
          <w:trHeight w:val="1451"/>
        </w:trPr>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2026-06-09T15:18:14Z</dcterms:created>
  <dcterms:modified xsi:type="dcterms:W3CDTF">2026-06-09T15:18:14Z</dcterms:modified>
</cp:coreProperties>
</file>