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517525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483235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80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3078480</wp:posOffset>
            </wp:positionH>
            <wp:positionV relativeFrom="paragraph">
              <wp:posOffset>23495</wp:posOffset>
            </wp:positionV>
            <wp:extent cx="977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4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00" w:lineRule="exact"/>
        <w:rPr>
          <w:sz w:val="24"/>
          <w:szCs w:val="24"/>
          <w:color w:val="auto"/>
        </w:rPr>
      </w:pPr>
    </w:p>
    <w:p>
      <w:pPr>
        <w:jc w:val="right"/>
        <w:ind w:right="1059"/>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3078480</wp:posOffset>
            </wp:positionH>
            <wp:positionV relativeFrom="paragraph">
              <wp:posOffset>118110</wp:posOffset>
            </wp:positionV>
            <wp:extent cx="977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8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34" w:lineRule="exact"/>
        <w:rPr>
          <w:sz w:val="24"/>
          <w:szCs w:val="2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9"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41" w:lineRule="exact"/>
        <w:rPr>
          <w:rFonts w:ascii="MS PGothic" w:cs="MS PGothic" w:eastAsia="MS PGothic" w:hAnsi="MS PGothic"/>
          <w:sz w:val="14"/>
          <w:szCs w:val="14"/>
          <w:color w:val="auto"/>
        </w:rPr>
      </w:pPr>
    </w:p>
    <w:p>
      <w:pPr>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41"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41"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00"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Exagen Inc.</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44"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42" w:lineRule="exact"/>
        <w:rPr>
          <w:sz w:val="24"/>
          <w:szCs w:val="24"/>
          <w:color w:val="auto"/>
        </w:rPr>
      </w:pPr>
    </w:p>
    <w:p>
      <w:pPr>
        <w:ind w:left="540" w:hanging="53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49" w:lineRule="exact"/>
        <w:rPr>
          <w:sz w:val="24"/>
          <w:szCs w:val="2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41" w:lineRule="exact"/>
        <w:rPr>
          <w:rFonts w:ascii="MS PGothic" w:cs="MS PGothic" w:eastAsia="MS PGothic" w:hAnsi="MS PGothic"/>
          <w:sz w:val="14"/>
          <w:szCs w:val="1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803275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430530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396240</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119"/>
          </w:cols>
          <w:pgMar w:left="340" w:top="100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732155</wp:posOffset>
            </wp:positionV>
            <wp:extent cx="1611630"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43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2026 ANNUAL MEETING OF STOCKHOLDERS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June 9, 2026</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EXAGEN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April 27, 2026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4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You are cordially invited to attend the 2026 Annual Meeting of Stockholders (the "Annual Meeting") of Exagen Inc., a Delaware corporation (the "Company"). The Annual Meeting is to be held on Tuesday, June 9, 2026 at 9:00 a.m. Pacific Time in the Exagen Administrative Offices, Training Room, 2175 Salk Avenue, 3rd Floor, Carlsbad, California 92008.</w:t>
      </w:r>
    </w:p>
    <w:p>
      <w:pPr>
        <w:spacing w:after="0" w:line="19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e-mailed copy of our proxy materials, please follow the instructions for requesting the materials in the Notice of Internet Availability of Proxy Materials that is being sent to you.</w:t>
      </w:r>
    </w:p>
    <w:p>
      <w:pPr>
        <w:spacing w:after="0" w:line="20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Notice of Annual Meeting of Stockholders and proxy statement on the following pages describe the matters to be presented at the Annual Meeting. Please see the section entitled "Who Can Attend the Annual Meeting of Stockholders?" of the proxy statement for more information about how to attend the meeting in person. 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our proxy materials and vote are contained on the proxy card. If you decide to attend the Annual Meeting, you will be able to vote in person, even if you have previously submitted your proxy. If you hold your shares through a bank or broker, you will need a proxy from your bank or broker to vote your shares in person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 John Aballi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Aballi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154305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60007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2026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Tuesday,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2026 Annual Meeting of Stockholders (the "Annual Meeting") of Exagen Inc. (the "Company"), will be held in the Exagen Administrative Offices, Training Room, 2175 Salk Avenue, 3rd Floor, Carlsbad, California 92008 on Tuesday, June 9, 2026, at 9:00 a.m. Pacific Time, for the following purposes:</w:t>
      </w:r>
    </w:p>
    <w:p>
      <w:pPr>
        <w:spacing w:after="0" w:line="102" w:lineRule="exact"/>
        <w:rPr>
          <w:sz w:val="20"/>
          <w:szCs w:val="20"/>
          <w:color w:val="auto"/>
        </w:rPr>
      </w:pPr>
    </w:p>
    <w:p>
      <w:pPr>
        <w:ind w:left="660" w:right="640" w:hanging="328"/>
        <w:spacing w:after="0" w:line="30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directors to serve as Class I directors for a three-year term expiring at the 2029 Annual Meeting of Stockholders and until their respective successors shall have been duly elected and qualified;</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BDO USA, P.C. as our independent registered public accounting firm for the fiscal year ending December 31, 2026;</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by an advisory vote the compensation of our named executive officers, as disclosed in this proxy statement; and</w:t>
      </w:r>
    </w:p>
    <w:p>
      <w:pPr>
        <w:spacing w:after="0" w:line="180" w:lineRule="exact"/>
        <w:rPr>
          <w:rFonts w:ascii="Arial" w:cs="Arial" w:eastAsia="Arial" w:hAnsi="Arial"/>
          <w:sz w:val="16"/>
          <w:szCs w:val="16"/>
          <w:color w:val="auto"/>
        </w:rPr>
      </w:pPr>
    </w:p>
    <w:p>
      <w:pPr>
        <w:ind w:left="660" w:right="20"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continuation, postponement or adjournment of the Annual Meeting.</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3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e-mailed copy of our proxy materials, please follow the instructions for requesting the materials in the Notice of Internet Availability of Proxy Materials that is being sent to you.</w:t>
      </w:r>
    </w:p>
    <w:p>
      <w:pPr>
        <w:spacing w:after="0" w:line="12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foregoing items of business are more fully described in the attached proxy statement, which forms a part of this notice and is incorporated herein by reference. Holders of record of our common stock, $0.001 par value per share, as of the close of business on April 15, 2026 are entitled to notice of and to vote at the Annual Meeting, or any continuation, postponement or adjournment of the Annual Meeting.</w:t>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color w:val="auto"/>
        </w:rPr>
        <w:t>It is important that your shares be represented regardless of the number of shares you may hold. Whether or not you plan to attend the Annual Meeting in person, we urge you to vote your shares as soon as possible via the toll-free telephone number or over the Internet, as described in the enclosed proxy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For specific voting instructions, please refer to the information provided in the accompanying proxy statement and in the Notice of Internet Availability of Proxy Materials.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continued support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 John Aballi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Aballi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40" w:type="dxa"/>
            <w:vAlign w:val="bottom"/>
            <w:gridSpan w:val="3"/>
          </w:tcPr>
          <w:p>
            <w:pPr>
              <w:ind w:left="4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0" w:type="dxa"/>
            <w:vAlign w:val="bottom"/>
            <w:gridSpan w:val="19"/>
          </w:tcPr>
          <w:p>
            <w:pPr>
              <w:spacing w:after="0" w:line="176" w:lineRule="exact"/>
              <w:rPr>
                <w:sz w:val="20"/>
                <w:szCs w:val="20"/>
                <w:color w:val="auto"/>
              </w:rPr>
            </w:pPr>
            <w:r>
              <w:rPr>
                <w:rFonts w:ascii="Arial" w:cs="Arial" w:eastAsia="Arial" w:hAnsi="Arial"/>
                <w:sz w:val="16"/>
                <w:szCs w:val="16"/>
                <w:b w:val="1"/>
                <w:bCs w:val="1"/>
                <w:color w:val="0000FF"/>
              </w:rPr>
              <w:t>General</w:t>
            </w:r>
          </w:p>
        </w:tc>
        <w:tc>
          <w:tcPr>
            <w:tcW w:w="720" w:type="dxa"/>
            <w:vAlign w:val="bottom"/>
            <w:gridSpan w:val="2"/>
          </w:tcPr>
          <w:p>
            <w:pPr>
              <w:jc w:val="center"/>
              <w:ind w:left="559"/>
              <w:spacing w:after="0" w:line="176" w:lineRule="exact"/>
              <w:rPr>
                <w:sz w:val="20"/>
                <w:szCs w:val="20"/>
                <w:color w:val="auto"/>
              </w:rPr>
            </w:pPr>
            <w:r>
              <w:rPr>
                <w:rFonts w:ascii="Arial" w:cs="Arial" w:eastAsia="Arial" w:hAnsi="Arial"/>
                <w:sz w:val="16"/>
                <w:szCs w:val="16"/>
                <w:color w:val="0000FF"/>
                <w:w w:val="89"/>
              </w:rPr>
              <w:t>1</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880" w:type="dxa"/>
            <w:vAlign w:val="bottom"/>
            <w:gridSpan w:val="16"/>
          </w:tcPr>
          <w:p>
            <w:pPr>
              <w:spacing w:after="0"/>
              <w:rPr>
                <w:sz w:val="20"/>
                <w:szCs w:val="20"/>
                <w:color w:val="auto"/>
              </w:rPr>
            </w:pPr>
            <w:r>
              <w:rPr>
                <w:rFonts w:ascii="Arial" w:cs="Arial" w:eastAsia="Arial" w:hAnsi="Arial"/>
                <w:sz w:val="16"/>
                <w:szCs w:val="16"/>
                <w:b w:val="1"/>
                <w:bCs w:val="1"/>
                <w:color w:val="0000FF"/>
              </w:rPr>
              <w:t>Questions and Answers About Annual Meeting of Stockholders</w:t>
            </w:r>
          </w:p>
        </w:tc>
        <w:tc>
          <w:tcPr>
            <w:tcW w:w="3720" w:type="dxa"/>
            <w:vAlign w:val="bottom"/>
            <w:gridSpan w:val="3"/>
          </w:tcPr>
          <w:p>
            <w:pPr>
              <w:spacing w:after="0"/>
              <w:rPr>
                <w:sz w:val="17"/>
                <w:szCs w:val="17"/>
                <w:color w:val="auto"/>
              </w:rPr>
            </w:pPr>
          </w:p>
        </w:tc>
        <w:tc>
          <w:tcPr>
            <w:tcW w:w="720" w:type="dxa"/>
            <w:vAlign w:val="bottom"/>
            <w:gridSpan w:val="2"/>
          </w:tcPr>
          <w:p>
            <w:pPr>
              <w:jc w:val="center"/>
              <w:ind w:left="559"/>
              <w:spacing w:after="0"/>
              <w:rPr>
                <w:sz w:val="20"/>
                <w:szCs w:val="20"/>
                <w:color w:val="auto"/>
              </w:rPr>
            </w:pPr>
            <w:r>
              <w:rPr>
                <w:rFonts w:ascii="Arial" w:cs="Arial" w:eastAsia="Arial" w:hAnsi="Arial"/>
                <w:sz w:val="16"/>
                <w:szCs w:val="16"/>
                <w:color w:val="0000FF"/>
                <w:w w:val="89"/>
              </w:rPr>
              <w:t>3</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880" w:type="dxa"/>
            <w:vAlign w:val="bottom"/>
            <w:gridSpan w:val="16"/>
          </w:tcPr>
          <w:p>
            <w:pPr>
              <w:spacing w:after="0"/>
              <w:rPr>
                <w:sz w:val="20"/>
                <w:szCs w:val="20"/>
                <w:color w:val="auto"/>
              </w:rPr>
            </w:pPr>
            <w:r>
              <w:rPr>
                <w:rFonts w:ascii="Arial" w:cs="Arial" w:eastAsia="Arial" w:hAnsi="Arial"/>
                <w:sz w:val="16"/>
                <w:szCs w:val="16"/>
                <w:b w:val="1"/>
                <w:bCs w:val="1"/>
                <w:color w:val="0000FF"/>
              </w:rPr>
              <w:t>Proposals to be Voted On</w:t>
            </w:r>
          </w:p>
        </w:tc>
        <w:tc>
          <w:tcPr>
            <w:tcW w:w="3720" w:type="dxa"/>
            <w:vAlign w:val="bottom"/>
            <w:gridSpan w:val="3"/>
          </w:tcPr>
          <w:p>
            <w:pPr>
              <w:spacing w:after="0"/>
              <w:rPr>
                <w:sz w:val="17"/>
                <w:szCs w:val="17"/>
                <w:color w:val="auto"/>
              </w:rPr>
            </w:pPr>
          </w:p>
        </w:tc>
        <w:tc>
          <w:tcPr>
            <w:tcW w:w="720" w:type="dxa"/>
            <w:vAlign w:val="bottom"/>
            <w:gridSpan w:val="2"/>
          </w:tcPr>
          <w:p>
            <w:pPr>
              <w:jc w:val="center"/>
              <w:ind w:left="559"/>
              <w:spacing w:after="0"/>
              <w:rPr>
                <w:sz w:val="20"/>
                <w:szCs w:val="20"/>
                <w:color w:val="auto"/>
              </w:rPr>
            </w:pPr>
            <w:r>
              <w:rPr>
                <w:rFonts w:ascii="Arial" w:cs="Arial" w:eastAsia="Arial" w:hAnsi="Arial"/>
                <w:sz w:val="16"/>
                <w:szCs w:val="16"/>
                <w:color w:val="0000FF"/>
                <w:w w:val="89"/>
              </w:rPr>
              <w:t>8</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320" w:type="dxa"/>
            <w:vAlign w:val="bottom"/>
            <w:gridSpan w:val="9"/>
          </w:tcPr>
          <w:p>
            <w:pPr>
              <w:spacing w:after="0"/>
              <w:rPr>
                <w:sz w:val="20"/>
                <w:szCs w:val="20"/>
                <w:color w:val="auto"/>
              </w:rPr>
            </w:pPr>
            <w:r>
              <w:rPr>
                <w:rFonts w:ascii="Arial" w:cs="Arial" w:eastAsia="Arial" w:hAnsi="Arial"/>
                <w:sz w:val="16"/>
                <w:szCs w:val="16"/>
                <w:color w:val="0000FF"/>
              </w:rPr>
              <w:t>Proposal 1: Election of Directors</w:t>
            </w:r>
          </w:p>
        </w:tc>
        <w:tc>
          <w:tcPr>
            <w:tcW w:w="6280" w:type="dxa"/>
            <w:vAlign w:val="bottom"/>
            <w:gridSpan w:val="10"/>
          </w:tcPr>
          <w:p>
            <w:pPr>
              <w:spacing w:after="0"/>
              <w:rPr>
                <w:sz w:val="17"/>
                <w:szCs w:val="17"/>
                <w:color w:val="auto"/>
              </w:rPr>
            </w:pPr>
          </w:p>
        </w:tc>
        <w:tc>
          <w:tcPr>
            <w:tcW w:w="720" w:type="dxa"/>
            <w:vAlign w:val="bottom"/>
            <w:gridSpan w:val="2"/>
          </w:tcPr>
          <w:p>
            <w:pPr>
              <w:jc w:val="center"/>
              <w:ind w:left="559"/>
              <w:spacing w:after="0"/>
              <w:rPr>
                <w:sz w:val="20"/>
                <w:szCs w:val="20"/>
                <w:color w:val="auto"/>
              </w:rPr>
            </w:pPr>
            <w:r>
              <w:rPr>
                <w:rFonts w:ascii="Arial" w:cs="Arial" w:eastAsia="Arial" w:hAnsi="Arial"/>
                <w:sz w:val="16"/>
                <w:szCs w:val="16"/>
                <w:color w:val="0000FF"/>
                <w:w w:val="89"/>
              </w:rPr>
              <w:t>8</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46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Proposal 2: Ratification of Appointment of Independent Registered Public Accounting Firm</w:t>
            </w:r>
          </w:p>
        </w:tc>
        <w:tc>
          <w:tcPr>
            <w:tcW w:w="2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60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rPr>
              <w:t>Proposal 3: Advisory Vote on Approval of the Compensation of Our Named Executive Officers as Disclosed in this Proxy</w:t>
            </w:r>
          </w:p>
        </w:tc>
        <w:tc>
          <w:tcPr>
            <w:tcW w:w="640" w:type="dxa"/>
            <w:vAlign w:val="bottom"/>
            <w:vMerge w:val="restart"/>
          </w:tcPr>
          <w:p>
            <w:pPr>
              <w:spacing w:after="0"/>
              <w:rPr>
                <w:sz w:val="17"/>
                <w:szCs w:val="17"/>
                <w:color w:val="auto"/>
              </w:rPr>
            </w:pPr>
          </w:p>
        </w:tc>
        <w:tc>
          <w:tcPr>
            <w:tcW w:w="80" w:type="dxa"/>
            <w:vAlign w:val="bottom"/>
            <w:vMerge w:val="restart"/>
          </w:tcPr>
          <w:p>
            <w:pPr>
              <w:jc w:val="center"/>
              <w:spacing w:after="0"/>
              <w:rPr>
                <w:sz w:val="20"/>
                <w:szCs w:val="20"/>
                <w:color w:val="auto"/>
              </w:rPr>
            </w:pPr>
            <w:r>
              <w:rPr>
                <w:rFonts w:ascii="Arial" w:cs="Arial" w:eastAsia="Arial" w:hAnsi="Arial"/>
                <w:sz w:val="15"/>
                <w:szCs w:val="15"/>
                <w:color w:val="0000FF"/>
                <w:w w:val="71"/>
              </w:rPr>
              <w:t>14</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4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8"/>
              </w:rPr>
              <w:t>Statement</w:t>
            </w:r>
          </w:p>
        </w:tc>
        <w:tc>
          <w:tcPr>
            <w:tcW w:w="7860" w:type="dxa"/>
            <w:vAlign w:val="bottom"/>
            <w:gridSpan w:val="17"/>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Borders>
              <w:bottom w:val="single" w:sz="8" w:color="0000FF"/>
            </w:tcBorders>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rPr>
              <w:t>Executive Officers</w:t>
            </w:r>
          </w:p>
        </w:tc>
        <w:tc>
          <w:tcPr>
            <w:tcW w:w="718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16</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7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Corporate Governance</w:t>
            </w:r>
          </w:p>
        </w:tc>
        <w:tc>
          <w:tcPr>
            <w:tcW w:w="684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16</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4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b w:val="1"/>
                <w:bCs w:val="1"/>
                <w:color w:val="0000FF"/>
              </w:rPr>
              <w:t>Committees of the Board and Independence</w:t>
            </w:r>
          </w:p>
        </w:tc>
        <w:tc>
          <w:tcPr>
            <w:tcW w:w="520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20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600" w:type="dxa"/>
            <w:vAlign w:val="bottom"/>
            <w:gridSpan w:val="19"/>
          </w:tcPr>
          <w:p>
            <w:pPr>
              <w:spacing w:after="0"/>
              <w:rPr>
                <w:sz w:val="20"/>
                <w:szCs w:val="20"/>
                <w:color w:val="auto"/>
              </w:rPr>
            </w:pPr>
            <w:r>
              <w:rPr>
                <w:rFonts w:ascii="Arial" w:cs="Arial" w:eastAsia="Arial" w:hAnsi="Arial"/>
                <w:sz w:val="16"/>
                <w:szCs w:val="16"/>
                <w:b w:val="1"/>
                <w:bCs w:val="1"/>
                <w:color w:val="0000FF"/>
              </w:rPr>
              <w:t>Executive and Director Compensation</w:t>
            </w:r>
          </w:p>
        </w:tc>
        <w:tc>
          <w:tcPr>
            <w:tcW w:w="720" w:type="dxa"/>
            <w:vAlign w:val="bottom"/>
            <w:gridSpan w:val="2"/>
          </w:tcPr>
          <w:p>
            <w:pPr>
              <w:jc w:val="center"/>
              <w:ind w:left="459"/>
              <w:spacing w:after="0"/>
              <w:rPr>
                <w:sz w:val="20"/>
                <w:szCs w:val="20"/>
                <w:color w:val="auto"/>
              </w:rPr>
            </w:pPr>
            <w:r>
              <w:rPr>
                <w:rFonts w:ascii="Arial" w:cs="Arial" w:eastAsia="Arial" w:hAnsi="Arial"/>
                <w:sz w:val="16"/>
                <w:szCs w:val="16"/>
                <w:color w:val="0000FF"/>
              </w:rPr>
              <w:t>23</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920" w:type="dxa"/>
            <w:vAlign w:val="bottom"/>
            <w:tcBorders>
              <w:top w:val="single" w:sz="8" w:color="0000FF"/>
            </w:tcBorders>
            <w:gridSpan w:val="12"/>
          </w:tcPr>
          <w:p>
            <w:pPr>
              <w:spacing w:after="0"/>
              <w:rPr>
                <w:sz w:val="20"/>
                <w:szCs w:val="20"/>
                <w:color w:val="auto"/>
              </w:rPr>
            </w:pPr>
            <w:r>
              <w:rPr>
                <w:rFonts w:ascii="Arial" w:cs="Arial" w:eastAsia="Arial" w:hAnsi="Arial"/>
                <w:sz w:val="16"/>
                <w:szCs w:val="16"/>
                <w:b w:val="1"/>
                <w:bCs w:val="1"/>
                <w:color w:val="0000FF"/>
              </w:rPr>
              <w:t>Pay Versus Performance</w:t>
            </w:r>
          </w:p>
        </w:tc>
        <w:tc>
          <w:tcPr>
            <w:tcW w:w="568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600" w:type="dxa"/>
            <w:vAlign w:val="bottom"/>
            <w:gridSpan w:val="19"/>
          </w:tcPr>
          <w:p>
            <w:pPr>
              <w:spacing w:after="0"/>
              <w:rPr>
                <w:sz w:val="20"/>
                <w:szCs w:val="20"/>
                <w:color w:val="auto"/>
              </w:rPr>
            </w:pPr>
            <w:r>
              <w:rPr>
                <w:rFonts w:ascii="Arial" w:cs="Arial" w:eastAsia="Arial" w:hAnsi="Arial"/>
                <w:sz w:val="16"/>
                <w:szCs w:val="16"/>
                <w:b w:val="1"/>
                <w:bCs w:val="1"/>
                <w:color w:val="0000FF"/>
              </w:rPr>
              <w:t>Equity Compensation Plan Information</w:t>
            </w:r>
          </w:p>
        </w:tc>
        <w:tc>
          <w:tcPr>
            <w:tcW w:w="720" w:type="dxa"/>
            <w:vAlign w:val="bottom"/>
            <w:gridSpan w:val="2"/>
          </w:tcPr>
          <w:p>
            <w:pPr>
              <w:jc w:val="center"/>
              <w:ind w:left="459"/>
              <w:spacing w:after="0"/>
              <w:rPr>
                <w:sz w:val="20"/>
                <w:szCs w:val="20"/>
                <w:color w:val="auto"/>
              </w:rPr>
            </w:pPr>
            <w:r>
              <w:rPr>
                <w:rFonts w:ascii="Arial" w:cs="Arial" w:eastAsia="Arial" w:hAnsi="Arial"/>
                <w:sz w:val="16"/>
                <w:szCs w:val="16"/>
                <w:color w:val="0000FF"/>
              </w:rPr>
              <w:t>33</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600" w:type="dxa"/>
            <w:vAlign w:val="bottom"/>
            <w:gridSpan w:val="19"/>
          </w:tcPr>
          <w:p>
            <w:pPr>
              <w:spacing w:after="0"/>
              <w:rPr>
                <w:sz w:val="20"/>
                <w:szCs w:val="20"/>
                <w:color w:val="auto"/>
              </w:rPr>
            </w:pPr>
            <w:r>
              <w:rPr>
                <w:rFonts w:ascii="Arial" w:cs="Arial" w:eastAsia="Arial" w:hAnsi="Arial"/>
                <w:sz w:val="16"/>
                <w:szCs w:val="16"/>
                <w:b w:val="1"/>
                <w:bCs w:val="1"/>
                <w:color w:val="0000FF"/>
              </w:rPr>
              <w:t>Security Ownership of Certain Beneficial Owners and Management</w:t>
            </w:r>
          </w:p>
        </w:tc>
        <w:tc>
          <w:tcPr>
            <w:tcW w:w="720" w:type="dxa"/>
            <w:vAlign w:val="bottom"/>
            <w:gridSpan w:val="2"/>
          </w:tcPr>
          <w:p>
            <w:pPr>
              <w:jc w:val="center"/>
              <w:ind w:left="459"/>
              <w:spacing w:after="0"/>
              <w:rPr>
                <w:sz w:val="20"/>
                <w:szCs w:val="20"/>
                <w:color w:val="auto"/>
              </w:rPr>
            </w:pPr>
            <w:r>
              <w:rPr>
                <w:rFonts w:ascii="Arial" w:cs="Arial" w:eastAsia="Arial" w:hAnsi="Arial"/>
                <w:sz w:val="16"/>
                <w:szCs w:val="16"/>
                <w:color w:val="0000FF"/>
              </w:rPr>
              <w:t>35</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140" w:type="dxa"/>
            <w:vAlign w:val="bottom"/>
            <w:tcBorders>
              <w:top w:val="single" w:sz="8" w:color="0000FF"/>
            </w:tcBorders>
            <w:gridSpan w:val="17"/>
          </w:tcPr>
          <w:p>
            <w:pPr>
              <w:spacing w:after="0"/>
              <w:rPr>
                <w:sz w:val="20"/>
                <w:szCs w:val="20"/>
                <w:color w:val="auto"/>
              </w:rPr>
            </w:pPr>
            <w:r>
              <w:rPr>
                <w:rFonts w:ascii="Arial" w:cs="Arial" w:eastAsia="Arial" w:hAnsi="Arial"/>
                <w:sz w:val="16"/>
                <w:szCs w:val="16"/>
                <w:b w:val="1"/>
                <w:bCs w:val="1"/>
                <w:color w:val="0000FF"/>
              </w:rPr>
              <w:t>Certain Relationships and Related Party Transactions</w:t>
            </w:r>
          </w:p>
        </w:tc>
        <w:tc>
          <w:tcPr>
            <w:tcW w:w="34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37</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tcBorders>
              <w:top w:val="single" w:sz="8" w:color="0000FF"/>
            </w:tcBorders>
            <w:gridSpan w:val="15"/>
          </w:tcPr>
          <w:p>
            <w:pPr>
              <w:spacing w:after="0"/>
              <w:rPr>
                <w:sz w:val="20"/>
                <w:szCs w:val="20"/>
                <w:color w:val="auto"/>
              </w:rPr>
            </w:pPr>
            <w:r>
              <w:rPr>
                <w:rFonts w:ascii="Arial" w:cs="Arial" w:eastAsia="Arial" w:hAnsi="Arial"/>
                <w:sz w:val="16"/>
                <w:szCs w:val="16"/>
                <w:b w:val="1"/>
                <w:bCs w:val="1"/>
                <w:color w:val="0000FF"/>
              </w:rPr>
              <w:t>Delinquent Section 16(a) Reports</w:t>
            </w:r>
          </w:p>
        </w:tc>
        <w:tc>
          <w:tcPr>
            <w:tcW w:w="44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37</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540" w:type="dxa"/>
            <w:vAlign w:val="bottom"/>
            <w:tcBorders>
              <w:top w:val="single" w:sz="8" w:color="0000FF"/>
            </w:tcBorders>
            <w:gridSpan w:val="11"/>
          </w:tcPr>
          <w:p>
            <w:pPr>
              <w:spacing w:after="0"/>
              <w:rPr>
                <w:sz w:val="20"/>
                <w:szCs w:val="20"/>
                <w:color w:val="auto"/>
              </w:rPr>
            </w:pPr>
            <w:r>
              <w:rPr>
                <w:rFonts w:ascii="Arial" w:cs="Arial" w:eastAsia="Arial" w:hAnsi="Arial"/>
                <w:sz w:val="16"/>
                <w:szCs w:val="16"/>
                <w:b w:val="1"/>
                <w:bCs w:val="1"/>
                <w:color w:val="0000FF"/>
              </w:rPr>
              <w:t>Stockholder Proposals</w:t>
            </w:r>
          </w:p>
        </w:tc>
        <w:tc>
          <w:tcPr>
            <w:tcW w:w="606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37</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9"/>
              </w:rPr>
              <w:t>Other Matters</w:t>
            </w:r>
          </w:p>
        </w:tc>
        <w:tc>
          <w:tcPr>
            <w:tcW w:w="700" w:type="dxa"/>
            <w:vAlign w:val="bottom"/>
            <w:tcBorders>
              <w:top w:val="single" w:sz="8" w:color="0000FF"/>
            </w:tcBorders>
            <w:gridSpan w:val="4"/>
          </w:tcPr>
          <w:p>
            <w:pPr>
              <w:spacing w:after="0"/>
              <w:rPr>
                <w:sz w:val="17"/>
                <w:szCs w:val="17"/>
                <w:color w:val="auto"/>
              </w:rPr>
            </w:pPr>
          </w:p>
        </w:tc>
        <w:tc>
          <w:tcPr>
            <w:tcW w:w="684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38</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600" w:type="dxa"/>
            <w:vAlign w:val="bottom"/>
            <w:gridSpan w:val="19"/>
          </w:tcPr>
          <w:p>
            <w:pPr>
              <w:spacing w:after="0"/>
              <w:rPr>
                <w:sz w:val="20"/>
                <w:szCs w:val="20"/>
                <w:color w:val="auto"/>
              </w:rPr>
            </w:pPr>
            <w:r>
              <w:rPr>
                <w:rFonts w:ascii="Arial" w:cs="Arial" w:eastAsia="Arial" w:hAnsi="Arial"/>
                <w:sz w:val="16"/>
                <w:szCs w:val="16"/>
                <w:b w:val="1"/>
                <w:bCs w:val="1"/>
                <w:color w:val="0000FF"/>
              </w:rPr>
              <w:t>No Incorporation by Reference</w:t>
            </w:r>
          </w:p>
        </w:tc>
        <w:tc>
          <w:tcPr>
            <w:tcW w:w="720" w:type="dxa"/>
            <w:vAlign w:val="bottom"/>
            <w:gridSpan w:val="2"/>
          </w:tcPr>
          <w:p>
            <w:pPr>
              <w:jc w:val="center"/>
              <w:ind w:left="459"/>
              <w:spacing w:after="0"/>
              <w:rPr>
                <w:sz w:val="20"/>
                <w:szCs w:val="20"/>
                <w:color w:val="auto"/>
              </w:rPr>
            </w:pPr>
            <w:r>
              <w:rPr>
                <w:rFonts w:ascii="Arial" w:cs="Arial" w:eastAsia="Arial" w:hAnsi="Arial"/>
                <w:sz w:val="16"/>
                <w:szCs w:val="16"/>
                <w:color w:val="0000FF"/>
              </w:rPr>
              <w:t>38</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360" w:type="dxa"/>
            <w:vAlign w:val="bottom"/>
            <w:tcBorders>
              <w:top w:val="single" w:sz="8" w:color="0000FF"/>
            </w:tcBorders>
            <w:gridSpan w:val="10"/>
          </w:tcPr>
          <w:p>
            <w:pPr>
              <w:spacing w:after="0"/>
              <w:rPr>
                <w:sz w:val="20"/>
                <w:szCs w:val="20"/>
                <w:color w:val="auto"/>
              </w:rPr>
            </w:pPr>
            <w:r>
              <w:rPr>
                <w:rFonts w:ascii="Arial" w:cs="Arial" w:eastAsia="Arial" w:hAnsi="Arial"/>
                <w:sz w:val="16"/>
                <w:szCs w:val="16"/>
                <w:b w:val="1"/>
                <w:bCs w:val="1"/>
                <w:color w:val="0000FF"/>
              </w:rPr>
              <w:t>Solicitation of Proxies</w:t>
            </w:r>
          </w:p>
        </w:tc>
        <w:tc>
          <w:tcPr>
            <w:tcW w:w="62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38</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70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0000FF"/>
              </w:rPr>
              <w:t>2025 Annual Report</w:t>
            </w:r>
          </w:p>
        </w:tc>
        <w:tc>
          <w:tcPr>
            <w:tcW w:w="690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39</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7"/>
        </w:trPr>
        <w:tc>
          <w:tcPr>
            <w:tcW w:w="7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50165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1261 LIBERTY WAY,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9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Exagen Inc. (the "Board") of proxies to be voted at our 2026 Annual Meeting of Stockholders to be held on Tuesday, June 9, 2026 (the "Annual Meeting"), in the Exagen Administrative Offices, Training Room, 2175 Salk Avenue, 3rd Floor, Carlsbad, California 92008 at 9:00 a.m. Pacific Time and at any continuation, postponement or adjournment thereof. We may decide to hold the Annual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 Holders of record of shares of common stock, $0.001 par value per share ("Common Stock"), as of the close of business on April 15, 2026 (the "Record Date"), will be entitled to notice of and to vote at the Annual Meeting and any continuation, postponement or adjournment thereof. As of the Record Date, there were 24,142,122 shares of our Common Stock outstanding and entitled to vote at the Annual Meeting. Each share of Common Stock is entitled to one vote on any matter presented to stockholders at the Annual Meeting. No other class of capital stock was outstanding as of the Record Date.</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or about April 27, 2026, we intend to begin sending to our stockholders as of the Record Date the Notice of Internet Availability of Proxy Materials (the “Internet Notice”) containing instructions on how to access this proxy statement, how to vote online and our annual report, which includes our Annual Report on Form 10-K for the fiscal year ended December 31, 2025 (the “2025 Annual Report”) filed with the U.S. Securities and Exchange Commission (the “SEC”) on March 10,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"Exagen," the "Company," "we," "us" and "our" refer to Exagen Inc.</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STOCKHOLDER MEETING TO BE HELD ON TUESDAY, JUNE 9,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the Internet Notice, our form of proxy card, and our 2025 Annual Report are available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http://www.proxydocs.com/XGN/.</w:t>
      </w:r>
    </w:p>
    <w:p>
      <w:pPr>
        <w:spacing w:after="0" w:line="23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At this website, you will find a complete set of the following proxy materials: the Internet Notice; this proxy statement (with sample proxy card); and the 2025 Annual Report. You are encouraged to access and review all of the important information contained in the proxy materials before submitting a proxy or voting at the meeting.</w:t>
      </w:r>
    </w:p>
    <w:p>
      <w:pPr>
        <w:spacing w:after="0" w:line="198"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To view these materials please have your 12-digit control number(s) available that appears on your Internet Notice or proxy card. On this website, you can also elect to receive future distributions of our proxy statements and annual reports to stockholders by electronic delivery.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review directions to attend the meeting in person on our proxy website (www.proxydocs.com/XGN).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you can find a copy of our 2025 Annual Report, which includes our financial statements for the fiscal year ended December 31, 2025, on the website of the SEC, at www.sec.gov, or in the “SEC Filings” section of the “Investors” section of our website at www.exagen.com. You may also obtain a printed copy of our 2025 Annual Report, including our financial statements, free of charge, from us by sending a written request to our Corporate Secretary at 1261 Liberty Way, Vista, CA 92081. Exhibits will be provided upon written request and payment of an appropriate processing fee.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8"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there are three proposals scheduled for a vote:</w:t>
      </w:r>
    </w:p>
    <w:p>
      <w:pPr>
        <w:spacing w:after="0" w:line="117" w:lineRule="exact"/>
        <w:rPr>
          <w:sz w:val="20"/>
          <w:szCs w:val="20"/>
          <w:color w:val="auto"/>
        </w:rPr>
      </w:pPr>
    </w:p>
    <w:p>
      <w:pPr>
        <w:ind w:left="660" w:right="360" w:hanging="328"/>
        <w:spacing w:after="0" w:line="28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directors, Tina S. Nova, Ph.D. and Scott D. Kahn, Ph.D., as Class I directors for a three-year term that expires at the 2029 Annual Meeting of Stockholders and until their respective successors shall have been duly elected and qualified;</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BDO USA, P.C. as our independent registered public accounting firm for the fiscal year ending December 31, 2026; and</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(“NEOs”), as disclosed in this proxy statement.</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proxy card will vote your shares in accordance with their best judgment.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Board recommends that you vote your shares as indicated below. If you return a properly completed proxy card or vote your shares by telephone or Internet, your shares will be voted on your behalf as you direct. If not otherwise specified, the shares represented by the proxies will be voted, and the Board recommends that you vote, as follows:</w:t>
      </w:r>
    </w:p>
    <w:p>
      <w:pPr>
        <w:spacing w:after="0" w:line="6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election as a Class I director as set forth in this proxy statement;</w:t>
      </w:r>
    </w:p>
    <w:p>
      <w:pPr>
        <w:spacing w:after="0" w:line="117" w:lineRule="exact"/>
        <w:rPr>
          <w:rFonts w:ascii="Arial" w:cs="Arial" w:eastAsia="Arial" w:hAnsi="Arial"/>
          <w:sz w:val="18"/>
          <w:szCs w:val="18"/>
          <w:color w:val="auto"/>
        </w:rPr>
      </w:pPr>
    </w:p>
    <w:p>
      <w:pPr>
        <w:ind w:left="660" w:right="36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BDO USA, P.C. as our independent registered public accounting firm for the fiscal year ending December 31, 2026; and</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the advisory vote on the compensation of our NEOs, as disclosed in this proxy statement.</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proxy card will vote your shares in accordance with their best judgment.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the Board is soliciting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your shares at the Annual Meeting. This proxy statement includes information that we are required to provide to you under the rules of the SEC and that is designed to assist you in voting your shares.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our 2025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our stockholders electronically via the Internet. On or about April 27, 2026, we will begin mailing to our stockholders the Internet Notice, which contains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We encourage our stockholders to take advantage of the availability of the proxy materials on the Internet to help reduce the environmental impact of our annual meetings and reduce the cost to us associated with the printing and mailing of materials.</w:t>
      </w:r>
    </w:p>
    <w:p>
      <w:pPr>
        <w:spacing w:after="0" w:line="20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Internet Notice or set of proxy materials to one address shared by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or oral request to Exagen Inc., 1261 Liberty Way, Vista, California 92081, (760) 560-1501. Such requests by street name holders should be made through their bank, broker or other holder of record.</w:t>
      </w:r>
    </w:p>
    <w:p>
      <w:pPr>
        <w:spacing w:after="0" w:line="2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Stockholders sharing an address that are receiving multiple copies of the Internet Notice can request delivery of a single copy of the proxy statement, 2025 Annual Report or Internet Notice by contacting their broker, bank or other intermediary or sending a written request to Exagen Inc. at the above address or by calling (760) 560-1501.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on matters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Record Date for the Annual Meeting is April 15, 2026. You are entitled to vote on the matters presented at the Annual Meeting if you were a record holder of the Company's Common Stock at the close of business on the Record Date. Each outstanding share of Common Stock is entitled to one vote. At the close of business on the Record Date, there were 24,142,122 shares of Common Stock outstanding and entitled to vote at the Annual Meeting. Common Stock is our only class of stock entitled to vote.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If, on the Record Date, your shares were registered directly in your name then you are a stockholder of record.</w:t>
      </w:r>
    </w:p>
    <w:p>
      <w:pPr>
        <w:spacing w:after="0" w:line="25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Yes. If your shares are held by a brokerage firm, bank, dealer or other similar organization, you are considered the “beneficial owner” of those shares held in “street name.”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on how to vote your shares, and such organizations are required to vote your shares in accordance with your instructions. If your shares are held in street name, you may not vote your shares in person at the Annual Meeting, unless you obtain, and present at the Annual Meeting, a legal proxy from your brokerage firm, bank, dealer or other similar organization.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quorum must be present at the Annual Meeting for any business to be conducted. Under the Delaware General Corporation Law and our Amended and Restated Bylaws, as amended (the "Bylaws"), the presence at the Annual Meeting of the holders of a majority in voting power of the Common Stock issued and outstanding and entitled to vote, present in person, or by remote communication, if applicable, or represented by proxy, on the Record Date, will constitute a quorum for the transaction of business at the Annual Meeting. The inspector of election will determine whether a quorum is present and will tabulate the votes cast at the Annual Meeting.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Who can attend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brokerage firm, bank, dealer or other similar organization to vote at the Annual Meeting. We currently intend to hold the Annual Meeting in person. However, we may decide to hold the meeting in a different location or as a virtual -only meeting. If we hold a virtual-only meeting, we will announce the decision to do so in advance, and details on how to participate will be set forth in a press release issued by us and available on our website (www.exagen.com) and on our proxy website (www.proxydocs.com/XGN). We encourage you to check this website prior to the Annual Meeting if you plan to attend.</w:t>
      </w:r>
    </w:p>
    <w:p>
      <w:pPr>
        <w:spacing w:after="0" w:line="210" w:lineRule="exact"/>
        <w:rPr>
          <w:sz w:val="20"/>
          <w:szCs w:val="20"/>
          <w:color w:val="auto"/>
        </w:rPr>
      </w:pPr>
    </w:p>
    <w:p>
      <w:pPr>
        <w:ind w:right="420"/>
        <w:spacing w:after="0" w:line="273" w:lineRule="auto"/>
        <w:rPr>
          <w:sz w:val="20"/>
          <w:szCs w:val="20"/>
          <w:color w:val="auto"/>
        </w:rPr>
      </w:pPr>
      <w:r>
        <w:rPr>
          <w:rFonts w:ascii="Arial" w:cs="Arial" w:eastAsia="Arial" w:hAnsi="Arial"/>
          <w:sz w:val="18"/>
          <w:szCs w:val="18"/>
          <w:color w:val="auto"/>
        </w:rPr>
        <w:t>If you are a record holder, in order to be admitted into the Annual Meeting, your name must appear on the list of record holders, and you must present government-issued photo identification (such as a driver’s license or passport). If your bank or broker holds your shares in</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street name, to attend the Annual Meeting you will also be required to present government-issued photo identification (such as a driver’s license or passport) and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 quorum, once established at a meeting, will not be broken by the withdrawal of enough votes to leave less than a quorum. If a quorum is not present at the scheduled time of the Annual Meeting (i) the Chairman of the Annual Meeting or (ii) the holders of a majority of the shares</w:t>
      </w:r>
    </w:p>
    <w:p>
      <w:pPr>
        <w:spacing w:after="0" w:line="1" w:lineRule="exact"/>
        <w:rPr>
          <w:sz w:val="20"/>
          <w:szCs w:val="20"/>
          <w:color w:val="auto"/>
        </w:rPr>
      </w:pPr>
    </w:p>
    <w:p>
      <w:pPr>
        <w:jc w:val="both"/>
        <w:ind w:right="220"/>
        <w:spacing w:after="0" w:line="242" w:lineRule="auto"/>
        <w:rPr>
          <w:sz w:val="20"/>
          <w:szCs w:val="20"/>
          <w:color w:val="auto"/>
        </w:rPr>
      </w:pPr>
      <w:r>
        <w:rPr>
          <w:rFonts w:ascii="Arial" w:cs="Arial" w:eastAsia="Arial" w:hAnsi="Arial"/>
          <w:sz w:val="18"/>
          <w:szCs w:val="18"/>
          <w:color w:val="auto"/>
        </w:rPr>
        <w:t>entitled to vote, present in person, or by remote communication, if applicable, or represented by proxy, at the Annual Meeting, may adjourn the Annual Meeting until a quorum is present or represented. At such adjourned meeting at which a quorum is present or represented, any business may be transacted that might have been transacted at the meeting as originally noticed.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With respect to the election of directors, you may either vote "For" any one or more of the nominees to the Board or you may "Withhold" your vote for any one or more of the nominees. With respect to the ratification of the appointment of BDO USA, P.C. as our independent registered public accounting firm and the advisory vote to approve the compensation of our NEOs, you may vote "For," "Against" or "Abstain" from voting.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recommend that stockholders vote by proxy even if they plan to attend the Annual Meeting and vote in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record holder, there are several ways for you to vote your shares:</w:t>
      </w:r>
    </w:p>
    <w:p>
      <w:pPr>
        <w:spacing w:after="0" w:line="63" w:lineRule="exact"/>
        <w:rPr>
          <w:sz w:val="20"/>
          <w:szCs w:val="20"/>
          <w:color w:val="auto"/>
        </w:rPr>
      </w:pPr>
    </w:p>
    <w:p>
      <w:pPr>
        <w:ind w:left="660" w:right="14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You can vote by telephone by calling 1-866-475-8889 and following the instructions provided in the Internet Notice or on the proxy card. Telephone voting facilities for stockholders of record will be available 24 hours a day, seven days a week. Votes can be made up to 9:00 a.m. Pacific Time on Tuesday, June 9, 2026.</w:t>
      </w:r>
    </w:p>
    <w:p>
      <w:pPr>
        <w:spacing w:after="0" w:line="8"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You can vote over the Internet at www.proxypush.com/XGN by following the instructions provided in the Internet Notice or on the proxy card. Internet voting facilities for stockholders of record will be available 24 hours a day, seven days a week. Votes can be made up to 9:00 a.m. Pacific Time on Tuesday, June 9, 2026.</w:t>
      </w:r>
    </w:p>
    <w:p>
      <w:pPr>
        <w:spacing w:after="0" w:line="8" w:lineRule="exact"/>
        <w:rPr>
          <w:rFonts w:ascii="Arial" w:cs="Arial" w:eastAsia="Arial" w:hAnsi="Arial"/>
          <w:sz w:val="18"/>
          <w:szCs w:val="18"/>
          <w:color w:val="auto"/>
        </w:rPr>
      </w:pPr>
    </w:p>
    <w:p>
      <w:pPr>
        <w:jc w:val="both"/>
        <w:ind w:left="660" w:right="8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If you received a printed copy of the proxy materials, you can vote by mail by signing, dating and mailing the proxy card that accompanied the printed proxy materials and returning the proxy card in the self-addressed, postage-paid envelope provided. If you properly complete your proxy card and send it to us in time to vote, your proxy (one of the individuals named on your proxy card) will vote your shares as you have directed.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ind w:left="660" w:right="2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Person: You may still attend the meeting and vote in person even if you have already voted by proxy. We will provide you with a ballot at the Annual Meeting.</w:t>
      </w:r>
    </w:p>
    <w:p>
      <w:pPr>
        <w:spacing w:after="0" w:line="180"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If you are a beneficial owner of shares that are held in street name through a brokerage firm, bank, dealer or other similar organization, you will receive instructions on how to vote from that organization rather than from us. You must follow their instructions in order for your shares to be voted. Generally, you will have three options for returning your proxy and voting your shares.</w:t>
      </w:r>
    </w:p>
    <w:p>
      <w:pPr>
        <w:spacing w:after="0" w:line="9" w:lineRule="exact"/>
        <w:rPr>
          <w:sz w:val="20"/>
          <w:szCs w:val="20"/>
          <w:color w:val="auto"/>
        </w:rPr>
      </w:pPr>
    </w:p>
    <w:p>
      <w:pPr>
        <w:ind w:left="660" w:right="4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Method Listed on your Voting Instruction Card: Please refer to your voting instruction card or other information provided by your bank, broker or other agent to determine whether you may vote by telephone or electronically on the Internet and follow the instructions on the voting instruction card or other information provided by your broker, bank or other agent. A large number of banks and brokerage firms offer Internet and telephone voting. If your bank, broker or other agent does not offer Internet or telephone voting information, please follow the other voting instructions they provide to vote your shares.</w:t>
      </w:r>
    </w:p>
    <w:p>
      <w:pPr>
        <w:spacing w:after="0" w:line="17"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 You may vote by signing, dating and returning your voting instruction card in the pre-addressed envelope provided by your broker, bank or other agent.</w:t>
      </w:r>
    </w:p>
    <w:p>
      <w:pPr>
        <w:spacing w:after="0" w:line="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If you would like to vote your shares in person at the Annual Meeting, you will need to contact your brokerage firm, bank, dealer or other similar organization to obtain a legal proxy and bring it to the Annual Meeting in order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or revoke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record holder, you may revoke your proxy and change your vote any time before the proxy is voted at the Annual Meeting:</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than your prior proxy;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the Company prior to or at the Annual Meeting;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25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may decide to hold the meeting in a different location or as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w:t>
      </w:r>
    </w:p>
    <w:p>
      <w:pPr>
        <w:spacing w:after="0" w:line="18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at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Mediant Communications, Inc. is expected to tabulate the votes and an employee of the Company is expected to be our inspector of election and will certify the votes.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two of this proxy statement, along with the description of each proposal in this proxy statement.</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If you are a beneficial owner of shares held in street name and do not provide the organization that holds your shares with specific voting instructions, then, the organization that holds your shares may generally vote your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9" w:name="page10"/>
    <w:bookmarkEnd w:id="9"/>
    <w:p>
      <w:pPr>
        <w:ind w:right="80"/>
        <w:spacing w:after="0" w:line="268" w:lineRule="auto"/>
        <w:rPr>
          <w:sz w:val="20"/>
          <w:szCs w:val="20"/>
          <w:color w:val="auto"/>
        </w:rPr>
      </w:pPr>
      <w:r>
        <w:rPr>
          <w:rFonts w:ascii="Arial" w:cs="Arial" w:eastAsia="Arial" w:hAnsi="Arial"/>
          <w:sz w:val="18"/>
          <w:szCs w:val="18"/>
          <w:color w:val="auto"/>
        </w:rPr>
        <w:t>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represented by proxies that reflect a broker non-vote will be counted as present for purposes of determining the presence of a quorum.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BDO USA, P.C. as our independent registered public accounting firm. If a broker does not exercise this authority, this will have no effect on that proposal. Absent instructions from the beneficial owner of such shares, a broker is not entitled to vote shares held for a beneficial owner on non-routine matters. Broker non-votes on the election of directors and the non-binding advisory vote to approve the compensation of our NEOs, each a non-routine matter, will have no effect because they are not considered a vote cast. Therefore, we encourage you to provide voting instructions to your bank, broker or other nominee. This ensures your shares will be voted at the Annual Meeting and in the manner you desire. As described above, a “broker non-vote” will occur if your broker cannot vote your shares on a particular matter because it has not received instructions from you and does not have discretionary voting authority on that matter.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BDO USA, P.C. and the non-binding advisory vote to approve the compensation of our NEOs represents a stockholder's affirmative choice to decline to vote on a proposal. Votes withheld have no effect on the election of directors, as the two directors that receive the highest number of votes will be elected, and abstentions are not considered to be votes cast and will have no effect on the ratification of the appointment of BDO USA, P.C. and the non-binding advisory vote to approve the compensation of our NEOs.</w:t>
      </w:r>
    </w:p>
    <w:p>
      <w:pPr>
        <w:spacing w:after="0" w:line="210"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9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rPr>
              <w:t>Proposal</w:t>
            </w:r>
          </w:p>
        </w:tc>
        <w:tc>
          <w:tcPr>
            <w:tcW w:w="396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Votes Required</w:t>
            </w:r>
          </w:p>
        </w:tc>
        <w:tc>
          <w:tcPr>
            <w:tcW w:w="4820" w:type="dxa"/>
            <w:vAlign w:val="bottom"/>
          </w:tcPr>
          <w:p>
            <w:pPr>
              <w:ind w:left="1200"/>
              <w:spacing w:after="0"/>
              <w:rPr>
                <w:sz w:val="20"/>
                <w:szCs w:val="20"/>
                <w:color w:val="auto"/>
              </w:rPr>
            </w:pPr>
            <w:r>
              <w:rPr>
                <w:rFonts w:ascii="Arial" w:cs="Arial" w:eastAsia="Arial" w:hAnsi="Arial"/>
                <w:sz w:val="18"/>
                <w:szCs w:val="18"/>
                <w:b w:val="1"/>
                <w:bCs w:val="1"/>
                <w:color w:val="auto"/>
                <w:w w:val="99"/>
              </w:rPr>
              <w:t>Effect of Votes Withheld / Abstentions and</w:t>
            </w:r>
          </w:p>
        </w:tc>
        <w:tc>
          <w:tcPr>
            <w:tcW w:w="0" w:type="dxa"/>
            <w:vAlign w:val="bottom"/>
          </w:tcPr>
          <w:p>
            <w:pPr>
              <w:spacing w:after="0"/>
              <w:rPr>
                <w:sz w:val="1"/>
                <w:szCs w:val="1"/>
                <w:color w:val="auto"/>
              </w:rPr>
            </w:pPr>
          </w:p>
        </w:tc>
      </w:tr>
      <w:tr>
        <w:trPr>
          <w:trHeight w:val="243"/>
        </w:trPr>
        <w:tc>
          <w:tcPr>
            <w:tcW w:w="2240" w:type="dxa"/>
            <w:vAlign w:val="bottom"/>
            <w:vMerge w:val="continue"/>
          </w:tcPr>
          <w:p>
            <w:pPr>
              <w:spacing w:after="0"/>
              <w:rPr>
                <w:sz w:val="21"/>
                <w:szCs w:val="21"/>
                <w:color w:val="auto"/>
              </w:rPr>
            </w:pPr>
          </w:p>
        </w:tc>
        <w:tc>
          <w:tcPr>
            <w:tcW w:w="3960" w:type="dxa"/>
            <w:vAlign w:val="bottom"/>
            <w:vMerge w:val="continue"/>
          </w:tcPr>
          <w:p>
            <w:pPr>
              <w:spacing w:after="0"/>
              <w:rPr>
                <w:sz w:val="21"/>
                <w:szCs w:val="21"/>
                <w:color w:val="auto"/>
              </w:rPr>
            </w:pPr>
          </w:p>
        </w:tc>
        <w:tc>
          <w:tcPr>
            <w:tcW w:w="4820" w:type="dxa"/>
            <w:vAlign w:val="bottom"/>
          </w:tcPr>
          <w:p>
            <w:pPr>
              <w:ind w:left="1200"/>
              <w:spacing w:after="0"/>
              <w:rPr>
                <w:sz w:val="20"/>
                <w:szCs w:val="20"/>
                <w:color w:val="auto"/>
              </w:rPr>
            </w:pPr>
            <w:r>
              <w:rPr>
                <w:rFonts w:ascii="Arial" w:cs="Arial" w:eastAsia="Arial" w:hAnsi="Arial"/>
                <w:sz w:val="18"/>
                <w:szCs w:val="18"/>
                <w:b w:val="1"/>
                <w:bCs w:val="1"/>
                <w:color w:val="auto"/>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0</wp:posOffset>
            </wp:positionV>
            <wp:extent cx="24345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tbl>
      <w:tblPr>
        <w:tblLayout w:type="fixed"/>
        <w:tblInd w:w="0" w:type="dxa"/>
        <w:tblCellMar>
          <w:top w:w="0" w:type="dxa"/>
          <w:left w:w="0" w:type="dxa"/>
          <w:bottom w:w="0" w:type="dxa"/>
          <w:right w:w="0" w:type="dxa"/>
        </w:tblCellMar>
      </w:tblPr>
      <w:tr>
        <w:trPr>
          <w:trHeight w:val="169"/>
        </w:trPr>
        <w:tc>
          <w:tcPr>
            <w:tcW w:w="3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Proposal 1: Election of Directors</w:t>
            </w:r>
          </w:p>
        </w:tc>
        <w:tc>
          <w:tcPr>
            <w:tcW w:w="240" w:type="dxa"/>
            <w:vAlign w:val="bottom"/>
          </w:tcPr>
          <w:p>
            <w:pPr>
              <w:spacing w:after="0"/>
              <w:rPr>
                <w:sz w:val="14"/>
                <w:szCs w:val="14"/>
                <w:color w:val="auto"/>
              </w:rPr>
            </w:pPr>
          </w:p>
        </w:tc>
        <w:tc>
          <w:tcPr>
            <w:tcW w:w="3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The plurality of the votes cast. This means</w:t>
            </w:r>
          </w:p>
        </w:tc>
      </w:tr>
      <w:tr>
        <w:trPr>
          <w:trHeight w:val="184"/>
        </w:trPr>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60" w:type="dxa"/>
            <w:vAlign w:val="bottom"/>
          </w:tcPr>
          <w:p>
            <w:pPr>
              <w:ind w:left="20"/>
              <w:spacing w:after="0" w:line="183" w:lineRule="exact"/>
              <w:rPr>
                <w:sz w:val="20"/>
                <w:szCs w:val="20"/>
                <w:color w:val="auto"/>
              </w:rPr>
            </w:pPr>
            <w:r>
              <w:rPr>
                <w:rFonts w:ascii="Arial" w:cs="Arial" w:eastAsia="Arial" w:hAnsi="Arial"/>
                <w:sz w:val="18"/>
                <w:szCs w:val="18"/>
                <w:color w:val="auto"/>
              </w:rPr>
              <w:t>that the two nominees receiving the</w:t>
            </w:r>
          </w:p>
        </w:tc>
      </w:tr>
      <w:tr>
        <w:trPr>
          <w:trHeight w:val="181"/>
        </w:trPr>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60" w:type="dxa"/>
            <w:vAlign w:val="bottom"/>
          </w:tcPr>
          <w:p>
            <w:pPr>
              <w:ind w:left="20"/>
              <w:spacing w:after="0" w:line="181" w:lineRule="exact"/>
              <w:rPr>
                <w:sz w:val="20"/>
                <w:szCs w:val="20"/>
                <w:color w:val="auto"/>
              </w:rPr>
            </w:pPr>
            <w:r>
              <w:rPr>
                <w:rFonts w:ascii="Arial" w:cs="Arial" w:eastAsia="Arial" w:hAnsi="Arial"/>
                <w:sz w:val="18"/>
                <w:szCs w:val="18"/>
                <w:color w:val="auto"/>
              </w:rPr>
              <w:t>highest number of affirmative "FOR" votes</w:t>
            </w:r>
          </w:p>
        </w:tc>
      </w:tr>
      <w:tr>
        <w:trPr>
          <w:trHeight w:val="239"/>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will be elected as Class I directors.</w:t>
            </w:r>
          </w:p>
        </w:tc>
      </w:tr>
    </w:tbl>
    <w:p>
      <w:pPr>
        <w:spacing w:after="0" w:line="20" w:lineRule="exact"/>
        <w:rPr>
          <w:sz w:val="20"/>
          <w:szCs w:val="20"/>
          <w:color w:val="auto"/>
        </w:rPr>
      </w:pPr>
      <w:r>
        <w:rPr>
          <w:sz w:val="20"/>
          <w:szCs w:val="20"/>
          <w:color w:val="auto"/>
        </w:rPr>
        <w:br w:type="column"/>
      </w:r>
    </w:p>
    <w:p>
      <w:pPr>
        <w:ind w:right="120"/>
        <w:spacing w:after="0"/>
        <w:rPr>
          <w:sz w:val="20"/>
          <w:szCs w:val="20"/>
          <w:color w:val="auto"/>
        </w:rPr>
      </w:pPr>
      <w:r>
        <w:rPr>
          <w:rFonts w:ascii="Arial" w:cs="Arial" w:eastAsia="Arial" w:hAnsi="Arial"/>
          <w:sz w:val="18"/>
          <w:szCs w:val="18"/>
          <w:color w:val="auto"/>
        </w:rPr>
        <w:t>Abstentions and broker non-votes will have no effect.</w:t>
      </w:r>
    </w:p>
    <w:p>
      <w:pPr>
        <w:spacing w:after="0" w:line="371" w:lineRule="exact"/>
        <w:rPr>
          <w:sz w:val="20"/>
          <w:szCs w:val="20"/>
          <w:color w:val="auto"/>
        </w:rPr>
      </w:pPr>
    </w:p>
    <w:p>
      <w:pPr>
        <w:sectPr>
          <w:pgSz w:w="11900" w:h="16838" w:orient="portrait"/>
          <w:cols w:equalWidth="0" w:num="2">
            <w:col w:w="7160" w:space="260"/>
            <w:col w:w="3800"/>
          </w:cols>
          <w:pgMar w:left="320" w:top="890" w:right="359" w:bottom="1440" w:gutter="0" w:footer="0" w:header="0"/>
          <w:type w:val="continuous"/>
        </w:sectPr>
      </w:pPr>
    </w:p>
    <w:p>
      <w:pPr>
        <w:ind w:left="20"/>
        <w:spacing w:after="0" w:line="225" w:lineRule="auto"/>
        <w:rPr>
          <w:sz w:val="20"/>
          <w:szCs w:val="20"/>
          <w:color w:val="auto"/>
        </w:rPr>
      </w:pPr>
      <w:r>
        <w:rPr>
          <w:rFonts w:ascii="Arial" w:cs="Arial" w:eastAsia="Arial" w:hAnsi="Arial"/>
          <w:sz w:val="17"/>
          <w:szCs w:val="17"/>
          <w:color w:val="auto"/>
        </w:rPr>
        <w:t>Proposal 2: Ratification of Appointment of Independent Registered Public Accounting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Firm</w:t>
      </w:r>
    </w:p>
    <w:p>
      <w:pPr>
        <w:spacing w:after="0" w:line="200" w:lineRule="exact"/>
        <w:rPr>
          <w:sz w:val="20"/>
          <w:szCs w:val="20"/>
          <w:color w:val="auto"/>
        </w:rPr>
      </w:pPr>
    </w:p>
    <w:p>
      <w:pPr>
        <w:spacing w:after="0" w:line="345" w:lineRule="exact"/>
        <w:rPr>
          <w:sz w:val="20"/>
          <w:szCs w:val="20"/>
          <w:color w:val="auto"/>
        </w:rPr>
      </w:pPr>
    </w:p>
    <w:p>
      <w:pPr>
        <w:ind w:left="20" w:right="120"/>
        <w:spacing w:after="0"/>
        <w:rPr>
          <w:sz w:val="20"/>
          <w:szCs w:val="20"/>
          <w:color w:val="auto"/>
        </w:rPr>
      </w:pPr>
      <w:r>
        <w:rPr>
          <w:rFonts w:ascii="Arial" w:cs="Arial" w:eastAsia="Arial" w:hAnsi="Arial"/>
          <w:sz w:val="18"/>
          <w:szCs w:val="18"/>
          <w:color w:val="auto"/>
        </w:rPr>
        <w:t>Proposal 3: Advisory Vote to Approve the Compensation of our NEOs</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8"/>
          <w:szCs w:val="18"/>
          <w:color w:val="auto"/>
        </w:rPr>
        <w:t>The affirmative vote of a majority of the votes cast for or against the matter.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votes cast for or against the matter.</w:t>
      </w:r>
    </w:p>
    <w:p>
      <w:pPr>
        <w:spacing w:after="0" w:line="20" w:lineRule="exact"/>
        <w:rPr>
          <w:sz w:val="20"/>
          <w:szCs w:val="20"/>
          <w:color w:val="auto"/>
        </w:rPr>
      </w:pPr>
      <w:r>
        <w:rPr>
          <w:sz w:val="20"/>
          <w:szCs w:val="20"/>
          <w:color w:val="auto"/>
        </w:rPr>
        <w:br w:type="column"/>
      </w:r>
    </w:p>
    <w:p>
      <w:pPr>
        <w:ind w:right="40"/>
        <w:spacing w:after="0" w:line="213" w:lineRule="auto"/>
        <w:rPr>
          <w:sz w:val="20"/>
          <w:szCs w:val="20"/>
          <w:color w:val="auto"/>
        </w:rPr>
      </w:pPr>
      <w:r>
        <w:rPr>
          <w:rFonts w:ascii="Arial" w:cs="Arial" w:eastAsia="Arial" w:hAnsi="Arial"/>
          <w:sz w:val="18"/>
          <w:szCs w:val="18"/>
          <w:color w:val="auto"/>
        </w:rPr>
        <w:t>Abstentions and broker non-votes (if any) will have no effect. As this is a “routine” proposal, if</w:t>
      </w:r>
    </w:p>
    <w:p>
      <w:pPr>
        <w:ind w:right="120"/>
        <w:spacing w:after="0" w:line="221" w:lineRule="auto"/>
        <w:rPr>
          <w:sz w:val="20"/>
          <w:szCs w:val="20"/>
          <w:color w:val="auto"/>
        </w:rPr>
      </w:pPr>
      <w:r>
        <w:rPr>
          <w:rFonts w:ascii="Arial" w:cs="Arial" w:eastAsia="Arial" w:hAnsi="Arial"/>
          <w:sz w:val="17"/>
          <w:szCs w:val="17"/>
          <w:color w:val="auto"/>
        </w:rPr>
        <w:t>you do not provide voting instructions to your bank, broker or other nominee, your bank, broker or other nominee will have discretion to</w:t>
      </w:r>
    </w:p>
    <w:p>
      <w:pPr>
        <w:spacing w:after="0"/>
        <w:rPr>
          <w:sz w:val="20"/>
          <w:szCs w:val="20"/>
          <w:color w:val="auto"/>
        </w:rPr>
      </w:pPr>
      <w:r>
        <w:rPr>
          <w:rFonts w:ascii="Arial" w:cs="Arial" w:eastAsia="Arial" w:hAnsi="Arial"/>
          <w:sz w:val="18"/>
          <w:szCs w:val="18"/>
          <w:color w:val="auto"/>
        </w:rPr>
        <w:t>vote your shares on this proposal.</w:t>
      </w:r>
    </w:p>
    <w:p>
      <w:pPr>
        <w:spacing w:after="0" w:line="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Abstentions and broker non-votes will have no effect.</w:t>
      </w:r>
    </w:p>
    <w:p>
      <w:pPr>
        <w:spacing w:after="0" w:line="200" w:lineRule="exact"/>
        <w:rPr>
          <w:sz w:val="20"/>
          <w:szCs w:val="20"/>
          <w:color w:val="auto"/>
        </w:rPr>
      </w:pPr>
    </w:p>
    <w:p>
      <w:pPr>
        <w:sectPr>
          <w:pgSz w:w="11900" w:h="16838" w:orient="portrait"/>
          <w:cols w:equalWidth="0" w:num="3">
            <w:col w:w="3420" w:space="300"/>
            <w:col w:w="3120" w:space="580"/>
            <w:col w:w="3800"/>
          </w:cols>
          <w:pgMar w:left="320" w:top="89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(a "Form 8-K"), which we intend to file with the SEC within four business days after the Annual Meeting. If final voting results are not available to us in time to file a Form 8 -K within four business days after the Annual Meeting, we intend to file a Form 8-K to publish the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jc w:val="both"/>
        <w:ind w:right="220"/>
        <w:spacing w:after="0" w:line="282" w:lineRule="auto"/>
        <w:rPr>
          <w:sz w:val="20"/>
          <w:szCs w:val="20"/>
          <w:color w:val="auto"/>
        </w:rPr>
      </w:pPr>
      <w:r>
        <w:rPr>
          <w:rFonts w:ascii="Arial" w:cs="Arial" w:eastAsia="Arial" w:hAnsi="Arial"/>
          <w:sz w:val="17"/>
          <w:szCs w:val="17"/>
          <w:color w:val="auto"/>
        </w:rPr>
        <w:t>At the Annual Meeting, two (2) Class I directors are to be elected to hold office for three-year terms expiring at the 2029 annual meeting of stockholders and until each such director’s successor is elected and qualified or until such director’s earlier death, resignation or removal. Based on the recommendation of the Nominating and Corporate Governance Committee of the Board (the "Nominating Committee"), the Board has nominated Tina S. Nova, Ph.D. and Scott D. Kahn, Ph.D. for re-election as Class I directors at the Annual Meeting.</w:t>
      </w:r>
    </w:p>
    <w:p>
      <w:pPr>
        <w:spacing w:after="0" w:line="17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Amended and Restated Certificate of Incorporation (the “Charter”) and Bylaws provide that the authorized number of directors shall be fixed from time to time exclusively by resolution adopted by the Board. As of the date hereof, we have seven (7) authorized directors on our Board. On July 17, 2025, upon the recommendation of the Nominating Committee, and pursuant to the Bylaws of the Company, the Board appointed, effective as of July 17, 2025, Charles S. McKhann to serve as a Class III director, with an initial term expiring at the Company’s 2028 annual meeting of stockholders.</w:t>
      </w:r>
    </w:p>
    <w:p>
      <w:pPr>
        <w:spacing w:after="0" w:line="20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until such director's successor is elected and qualified or until such director's earlier death, resignation or removal. The following table summarizes the class, ages as of April 25, 2026, independence and committee membership of our director nominees and those directors whose terms will begin, or will not end, at the Annual Meeting: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Name</w:t>
            </w:r>
          </w:p>
        </w:tc>
        <w:tc>
          <w:tcPr>
            <w:tcW w:w="100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99"/>
              </w:rPr>
              <w:t>Age</w:t>
            </w:r>
          </w:p>
        </w:tc>
        <w:tc>
          <w:tcPr>
            <w:tcW w:w="260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Position</w:t>
            </w:r>
          </w:p>
        </w:tc>
        <w:tc>
          <w:tcPr>
            <w:tcW w:w="16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Independent</w:t>
            </w:r>
          </w:p>
        </w:tc>
        <w:tc>
          <w:tcPr>
            <w:tcW w:w="340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Committee Membership</w:t>
            </w:r>
          </w:p>
        </w:tc>
        <w:tc>
          <w:tcPr>
            <w:tcW w:w="0" w:type="dxa"/>
            <w:vAlign w:val="bottom"/>
          </w:tcPr>
          <w:p>
            <w:pPr>
              <w:spacing w:after="0"/>
              <w:rPr>
                <w:sz w:val="1"/>
                <w:szCs w:val="1"/>
                <w:color w:val="auto"/>
              </w:rPr>
            </w:pPr>
          </w:p>
        </w:tc>
      </w:tr>
      <w:tr>
        <w:trPr>
          <w:trHeight w:val="209"/>
        </w:trPr>
        <w:tc>
          <w:tcPr>
            <w:tcW w:w="11060" w:type="dxa"/>
            <w:vAlign w:val="bottom"/>
            <w:gridSpan w:val="5"/>
          </w:tcPr>
          <w:p>
            <w:pPr>
              <w:ind w:left="20"/>
              <w:spacing w:after="0"/>
              <w:rPr>
                <w:sz w:val="20"/>
                <w:szCs w:val="20"/>
                <w:color w:val="auto"/>
              </w:rPr>
            </w:pPr>
            <w:r>
              <w:rPr>
                <w:rFonts w:ascii="Arial" w:cs="Arial" w:eastAsia="Arial" w:hAnsi="Arial"/>
                <w:sz w:val="16"/>
                <w:szCs w:val="16"/>
                <w:b w:val="1"/>
                <w:bCs w:val="1"/>
                <w:color w:val="auto"/>
              </w:rPr>
              <w:t>CLASS I DIRECTOR NOMINEES - Nominated for Re-election with Terms to Expire at the 2029 Annual Meeting</w:t>
            </w:r>
          </w:p>
        </w:tc>
        <w:tc>
          <w:tcPr>
            <w:tcW w:w="0" w:type="dxa"/>
            <w:vAlign w:val="bottom"/>
          </w:tcPr>
          <w:p>
            <w:pPr>
              <w:spacing w:after="0"/>
              <w:rPr>
                <w:sz w:val="1"/>
                <w:szCs w:val="1"/>
                <w:color w:val="auto"/>
              </w:rPr>
            </w:pPr>
          </w:p>
        </w:tc>
      </w:tr>
      <w:tr>
        <w:trPr>
          <w:trHeight w:val="163"/>
        </w:trPr>
        <w:tc>
          <w:tcPr>
            <w:tcW w:w="2420" w:type="dxa"/>
            <w:vAlign w:val="bottom"/>
            <w:vMerge w:val="restart"/>
          </w:tcPr>
          <w:p>
            <w:pPr>
              <w:ind w:left="20"/>
              <w:spacing w:after="0"/>
              <w:rPr>
                <w:sz w:val="20"/>
                <w:szCs w:val="20"/>
                <w:color w:val="auto"/>
              </w:rPr>
            </w:pPr>
            <w:r>
              <w:rPr>
                <w:rFonts w:ascii="Arial" w:cs="Arial" w:eastAsia="Arial" w:hAnsi="Arial"/>
                <w:sz w:val="16"/>
                <w:szCs w:val="16"/>
                <w:color w:val="auto"/>
              </w:rPr>
              <w:t>Tina S. Nova, Ph.D.</w:t>
            </w:r>
          </w:p>
        </w:tc>
        <w:tc>
          <w:tcPr>
            <w:tcW w:w="1000" w:type="dxa"/>
            <w:vAlign w:val="bottom"/>
            <w:vMerge w:val="restart"/>
          </w:tcPr>
          <w:p>
            <w:pPr>
              <w:jc w:val="center"/>
              <w:ind w:left="139"/>
              <w:spacing w:after="0"/>
              <w:rPr>
                <w:sz w:val="20"/>
                <w:szCs w:val="20"/>
                <w:color w:val="auto"/>
              </w:rPr>
            </w:pPr>
            <w:r>
              <w:rPr>
                <w:rFonts w:ascii="Arial" w:cs="Arial" w:eastAsia="Arial" w:hAnsi="Arial"/>
                <w:sz w:val="16"/>
                <w:szCs w:val="16"/>
                <w:color w:val="auto"/>
              </w:rPr>
              <w:t>72</w:t>
            </w:r>
          </w:p>
        </w:tc>
        <w:tc>
          <w:tcPr>
            <w:tcW w:w="2600" w:type="dxa"/>
            <w:vAlign w:val="bottom"/>
          </w:tcPr>
          <w:p>
            <w:pPr>
              <w:ind w:left="240"/>
              <w:spacing w:after="0" w:line="163" w:lineRule="exact"/>
              <w:rPr>
                <w:sz w:val="20"/>
                <w:szCs w:val="20"/>
                <w:color w:val="auto"/>
              </w:rPr>
            </w:pPr>
            <w:r>
              <w:rPr>
                <w:rFonts w:ascii="Arial" w:cs="Arial" w:eastAsia="Arial" w:hAnsi="Arial"/>
                <w:sz w:val="16"/>
                <w:szCs w:val="16"/>
                <w:color w:val="auto"/>
              </w:rPr>
              <w:t>Executive Chairman of the</w:t>
            </w:r>
          </w:p>
        </w:tc>
        <w:tc>
          <w:tcPr>
            <w:tcW w:w="1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0" w:type="dxa"/>
            <w:vAlign w:val="bottom"/>
          </w:tcPr>
          <w:p>
            <w:pPr>
              <w:ind w:left="240"/>
              <w:spacing w:after="0"/>
              <w:rPr>
                <w:sz w:val="20"/>
                <w:szCs w:val="20"/>
                <w:color w:val="auto"/>
              </w:rPr>
            </w:pPr>
            <w:r>
              <w:rPr>
                <w:rFonts w:ascii="Arial" w:cs="Arial" w:eastAsia="Arial" w:hAnsi="Arial"/>
                <w:sz w:val="16"/>
                <w:szCs w:val="16"/>
                <w:color w:val="auto"/>
              </w:rPr>
              <w:t>Board</w:t>
            </w:r>
          </w:p>
        </w:tc>
        <w:tc>
          <w:tcPr>
            <w:tcW w:w="16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20" w:type="dxa"/>
            <w:vAlign w:val="bottom"/>
            <w:vMerge w:val="restart"/>
          </w:tcPr>
          <w:p>
            <w:pPr>
              <w:ind w:left="20"/>
              <w:spacing w:after="0"/>
              <w:rPr>
                <w:sz w:val="20"/>
                <w:szCs w:val="20"/>
                <w:color w:val="auto"/>
              </w:rPr>
            </w:pPr>
            <w:r>
              <w:rPr>
                <w:rFonts w:ascii="Arial" w:cs="Arial" w:eastAsia="Arial" w:hAnsi="Arial"/>
                <w:sz w:val="16"/>
                <w:szCs w:val="16"/>
                <w:color w:val="auto"/>
              </w:rPr>
              <w:t>Scott D. Kahn, Ph.D.</w:t>
            </w:r>
          </w:p>
        </w:tc>
        <w:tc>
          <w:tcPr>
            <w:tcW w:w="1000" w:type="dxa"/>
            <w:vAlign w:val="bottom"/>
            <w:vMerge w:val="restart"/>
          </w:tcPr>
          <w:p>
            <w:pPr>
              <w:jc w:val="center"/>
              <w:ind w:left="139"/>
              <w:spacing w:after="0"/>
              <w:rPr>
                <w:sz w:val="20"/>
                <w:szCs w:val="20"/>
                <w:color w:val="auto"/>
              </w:rPr>
            </w:pPr>
            <w:r>
              <w:rPr>
                <w:rFonts w:ascii="Arial" w:cs="Arial" w:eastAsia="Arial" w:hAnsi="Arial"/>
                <w:sz w:val="16"/>
                <w:szCs w:val="16"/>
                <w:color w:val="auto"/>
              </w:rPr>
              <w:t>66</w:t>
            </w:r>
          </w:p>
        </w:tc>
        <w:tc>
          <w:tcPr>
            <w:tcW w:w="2600" w:type="dxa"/>
            <w:vAlign w:val="bottom"/>
            <w:vMerge w:val="restart"/>
          </w:tcPr>
          <w:p>
            <w:pPr>
              <w:ind w:left="240"/>
              <w:spacing w:after="0"/>
              <w:rPr>
                <w:sz w:val="20"/>
                <w:szCs w:val="20"/>
                <w:color w:val="auto"/>
              </w:rPr>
            </w:pPr>
            <w:r>
              <w:rPr>
                <w:rFonts w:ascii="Arial" w:cs="Arial" w:eastAsia="Arial" w:hAnsi="Arial"/>
                <w:sz w:val="16"/>
                <w:szCs w:val="16"/>
                <w:color w:val="auto"/>
              </w:rPr>
              <w:t>Director</w:t>
            </w:r>
          </w:p>
        </w:tc>
        <w:tc>
          <w:tcPr>
            <w:tcW w:w="1640" w:type="dxa"/>
            <w:vAlign w:val="bottom"/>
            <w:vMerge w:val="restart"/>
          </w:tcPr>
          <w:p>
            <w:pPr>
              <w:jc w:val="center"/>
              <w:ind w:left="139"/>
              <w:spacing w:after="0"/>
              <w:rPr>
                <w:sz w:val="20"/>
                <w:szCs w:val="20"/>
                <w:color w:val="auto"/>
              </w:rPr>
            </w:pPr>
            <w:r>
              <w:rPr>
                <w:rFonts w:ascii="Arial" w:cs="Arial" w:eastAsia="Arial" w:hAnsi="Arial"/>
                <w:sz w:val="16"/>
                <w:szCs w:val="16"/>
                <w:color w:val="auto"/>
                <w:w w:val="93"/>
              </w:rPr>
              <w:t>X</w:t>
            </w:r>
          </w:p>
        </w:tc>
        <w:tc>
          <w:tcPr>
            <w:tcW w:w="3400" w:type="dxa"/>
            <w:vAlign w:val="bottom"/>
          </w:tcPr>
          <w:p>
            <w:pPr>
              <w:ind w:left="240"/>
              <w:spacing w:after="0" w:line="164" w:lineRule="exact"/>
              <w:rPr>
                <w:sz w:val="20"/>
                <w:szCs w:val="20"/>
                <w:color w:val="auto"/>
              </w:rPr>
            </w:pPr>
            <w:r>
              <w:rPr>
                <w:rFonts w:ascii="Arial" w:cs="Arial" w:eastAsia="Arial" w:hAnsi="Arial"/>
                <w:sz w:val="16"/>
                <w:szCs w:val="16"/>
                <w:color w:val="auto"/>
              </w:rPr>
              <w:t>Compensation, Nominating and</w:t>
            </w:r>
          </w:p>
        </w:tc>
        <w:tc>
          <w:tcPr>
            <w:tcW w:w="0" w:type="dxa"/>
            <w:vAlign w:val="bottom"/>
          </w:tcPr>
          <w:p>
            <w:pPr>
              <w:spacing w:after="0"/>
              <w:rPr>
                <w:sz w:val="1"/>
                <w:szCs w:val="1"/>
                <w:color w:val="auto"/>
              </w:rPr>
            </w:pPr>
          </w:p>
        </w:tc>
      </w:tr>
      <w:tr>
        <w:trPr>
          <w:trHeight w:val="215"/>
        </w:trPr>
        <w:tc>
          <w:tcPr>
            <w:tcW w:w="24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6"/>
                <w:szCs w:val="16"/>
                <w:color w:val="auto"/>
              </w:rPr>
              <w:t>Governance (Chair)</w:t>
            </w:r>
          </w:p>
        </w:tc>
        <w:tc>
          <w:tcPr>
            <w:tcW w:w="0" w:type="dxa"/>
            <w:vAlign w:val="bottom"/>
          </w:tcPr>
          <w:p>
            <w:pPr>
              <w:spacing w:after="0"/>
              <w:rPr>
                <w:sz w:val="1"/>
                <w:szCs w:val="1"/>
                <w:color w:val="auto"/>
              </w:rPr>
            </w:pPr>
          </w:p>
        </w:tc>
      </w:tr>
      <w:tr>
        <w:trPr>
          <w:trHeight w:val="487"/>
        </w:trPr>
        <w:tc>
          <w:tcPr>
            <w:tcW w:w="602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II DIRECTORS - Terms to Expire at the 2027 Annual Meeting</w:t>
            </w:r>
          </w:p>
        </w:tc>
        <w:tc>
          <w:tcPr>
            <w:tcW w:w="1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Paul Kim</w:t>
            </w:r>
          </w:p>
        </w:tc>
        <w:tc>
          <w:tcPr>
            <w:tcW w:w="1000" w:type="dxa"/>
            <w:vAlign w:val="bottom"/>
          </w:tcPr>
          <w:p>
            <w:pPr>
              <w:jc w:val="center"/>
              <w:ind w:left="139"/>
              <w:spacing w:after="0"/>
              <w:rPr>
                <w:sz w:val="20"/>
                <w:szCs w:val="20"/>
                <w:color w:val="auto"/>
              </w:rPr>
            </w:pPr>
            <w:r>
              <w:rPr>
                <w:rFonts w:ascii="Arial" w:cs="Arial" w:eastAsia="Arial" w:hAnsi="Arial"/>
                <w:sz w:val="16"/>
                <w:szCs w:val="16"/>
                <w:color w:val="auto"/>
              </w:rPr>
              <w:t>58</w:t>
            </w:r>
          </w:p>
        </w:tc>
        <w:tc>
          <w:tcPr>
            <w:tcW w:w="2600" w:type="dxa"/>
            <w:vAlign w:val="bottom"/>
          </w:tcPr>
          <w:p>
            <w:pPr>
              <w:ind w:left="240"/>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c>
          <w:tcPr>
            <w:tcW w:w="3400" w:type="dxa"/>
            <w:vAlign w:val="bottom"/>
          </w:tcPr>
          <w:p>
            <w:pPr>
              <w:ind w:left="240"/>
              <w:spacing w:after="0"/>
              <w:rPr>
                <w:sz w:val="20"/>
                <w:szCs w:val="20"/>
                <w:color w:val="auto"/>
              </w:rPr>
            </w:pPr>
            <w:r>
              <w:rPr>
                <w:rFonts w:ascii="Arial" w:cs="Arial" w:eastAsia="Arial" w:hAnsi="Arial"/>
                <w:sz w:val="16"/>
                <w:szCs w:val="16"/>
                <w:color w:val="auto"/>
              </w:rPr>
              <w:t>Audit, Compensation</w:t>
            </w: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6"/>
                <w:szCs w:val="16"/>
                <w:color w:val="auto"/>
              </w:rPr>
              <w:t>Frank Stokes</w:t>
            </w:r>
          </w:p>
        </w:tc>
        <w:tc>
          <w:tcPr>
            <w:tcW w:w="1000" w:type="dxa"/>
            <w:vAlign w:val="bottom"/>
          </w:tcPr>
          <w:p>
            <w:pPr>
              <w:jc w:val="center"/>
              <w:ind w:left="139"/>
              <w:spacing w:after="0"/>
              <w:rPr>
                <w:sz w:val="20"/>
                <w:szCs w:val="20"/>
                <w:color w:val="auto"/>
              </w:rPr>
            </w:pPr>
            <w:r>
              <w:rPr>
                <w:rFonts w:ascii="Arial" w:cs="Arial" w:eastAsia="Arial" w:hAnsi="Arial"/>
                <w:sz w:val="16"/>
                <w:szCs w:val="16"/>
                <w:color w:val="auto"/>
              </w:rPr>
              <w:t>56</w:t>
            </w:r>
          </w:p>
        </w:tc>
        <w:tc>
          <w:tcPr>
            <w:tcW w:w="2600" w:type="dxa"/>
            <w:vAlign w:val="bottom"/>
          </w:tcPr>
          <w:p>
            <w:pPr>
              <w:ind w:left="240"/>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c>
          <w:tcPr>
            <w:tcW w:w="3400" w:type="dxa"/>
            <w:vAlign w:val="bottom"/>
          </w:tcPr>
          <w:p>
            <w:pPr>
              <w:ind w:left="240"/>
              <w:spacing w:after="0"/>
              <w:rPr>
                <w:sz w:val="20"/>
                <w:szCs w:val="20"/>
                <w:color w:val="auto"/>
              </w:rPr>
            </w:pPr>
            <w:r>
              <w:rPr>
                <w:rFonts w:ascii="Arial" w:cs="Arial" w:eastAsia="Arial" w:hAnsi="Arial"/>
                <w:sz w:val="16"/>
                <w:szCs w:val="16"/>
                <w:color w:val="auto"/>
              </w:rPr>
              <w:t>Audit (Chair), Nominating and Governance</w:t>
            </w:r>
          </w:p>
        </w:tc>
        <w:tc>
          <w:tcPr>
            <w:tcW w:w="0" w:type="dxa"/>
            <w:vAlign w:val="bottom"/>
          </w:tcPr>
          <w:p>
            <w:pPr>
              <w:spacing w:after="0"/>
              <w:rPr>
                <w:sz w:val="1"/>
                <w:szCs w:val="1"/>
                <w:color w:val="auto"/>
              </w:rPr>
            </w:pPr>
          </w:p>
        </w:tc>
      </w:tr>
      <w:tr>
        <w:trPr>
          <w:trHeight w:val="474"/>
        </w:trPr>
        <w:tc>
          <w:tcPr>
            <w:tcW w:w="602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III DIRECTORS - Terms to Expire at the 2028 Annual Meeting</w:t>
            </w:r>
          </w:p>
        </w:tc>
        <w:tc>
          <w:tcPr>
            <w:tcW w:w="1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420" w:type="dxa"/>
            <w:vAlign w:val="bottom"/>
            <w:vMerge w:val="restart"/>
          </w:tcPr>
          <w:p>
            <w:pPr>
              <w:ind w:left="20"/>
              <w:spacing w:after="0"/>
              <w:rPr>
                <w:sz w:val="20"/>
                <w:szCs w:val="20"/>
                <w:color w:val="auto"/>
              </w:rPr>
            </w:pPr>
            <w:r>
              <w:rPr>
                <w:rFonts w:ascii="Arial" w:cs="Arial" w:eastAsia="Arial" w:hAnsi="Arial"/>
                <w:sz w:val="16"/>
                <w:szCs w:val="16"/>
                <w:color w:val="auto"/>
              </w:rPr>
              <w:t>John Aballi</w:t>
            </w:r>
          </w:p>
        </w:tc>
        <w:tc>
          <w:tcPr>
            <w:tcW w:w="1000" w:type="dxa"/>
            <w:vAlign w:val="bottom"/>
            <w:vMerge w:val="restart"/>
          </w:tcPr>
          <w:p>
            <w:pPr>
              <w:jc w:val="center"/>
              <w:ind w:left="139"/>
              <w:spacing w:after="0"/>
              <w:rPr>
                <w:sz w:val="20"/>
                <w:szCs w:val="20"/>
                <w:color w:val="auto"/>
              </w:rPr>
            </w:pPr>
            <w:r>
              <w:rPr>
                <w:rFonts w:ascii="Arial" w:cs="Arial" w:eastAsia="Arial" w:hAnsi="Arial"/>
                <w:sz w:val="16"/>
                <w:szCs w:val="16"/>
                <w:color w:val="auto"/>
              </w:rPr>
              <w:t>41</w:t>
            </w:r>
          </w:p>
        </w:tc>
        <w:tc>
          <w:tcPr>
            <w:tcW w:w="2600" w:type="dxa"/>
            <w:vAlign w:val="bottom"/>
          </w:tcPr>
          <w:p>
            <w:pPr>
              <w:ind w:left="240"/>
              <w:spacing w:after="0" w:line="163" w:lineRule="exact"/>
              <w:rPr>
                <w:sz w:val="20"/>
                <w:szCs w:val="20"/>
                <w:color w:val="auto"/>
              </w:rPr>
            </w:pPr>
            <w:r>
              <w:rPr>
                <w:rFonts w:ascii="Arial" w:cs="Arial" w:eastAsia="Arial" w:hAnsi="Arial"/>
                <w:sz w:val="16"/>
                <w:szCs w:val="16"/>
                <w:color w:val="auto"/>
              </w:rPr>
              <w:t>President, Chief Executive</w:t>
            </w:r>
          </w:p>
        </w:tc>
        <w:tc>
          <w:tcPr>
            <w:tcW w:w="1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0" w:type="dxa"/>
            <w:vAlign w:val="bottom"/>
          </w:tcPr>
          <w:p>
            <w:pPr>
              <w:ind w:left="240"/>
              <w:spacing w:after="0"/>
              <w:rPr>
                <w:sz w:val="20"/>
                <w:szCs w:val="20"/>
                <w:color w:val="auto"/>
              </w:rPr>
            </w:pPr>
            <w:r>
              <w:rPr>
                <w:rFonts w:ascii="Arial" w:cs="Arial" w:eastAsia="Arial" w:hAnsi="Arial"/>
                <w:sz w:val="16"/>
                <w:szCs w:val="16"/>
                <w:color w:val="auto"/>
              </w:rPr>
              <w:t>Officer, and Director</w:t>
            </w:r>
          </w:p>
        </w:tc>
        <w:tc>
          <w:tcPr>
            <w:tcW w:w="16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20" w:type="dxa"/>
            <w:vAlign w:val="bottom"/>
            <w:vMerge w:val="restart"/>
          </w:tcPr>
          <w:p>
            <w:pPr>
              <w:ind w:left="20"/>
              <w:spacing w:after="0"/>
              <w:rPr>
                <w:sz w:val="20"/>
                <w:szCs w:val="20"/>
                <w:color w:val="auto"/>
              </w:rPr>
            </w:pPr>
            <w:r>
              <w:rPr>
                <w:rFonts w:ascii="Arial" w:cs="Arial" w:eastAsia="Arial" w:hAnsi="Arial"/>
                <w:sz w:val="16"/>
                <w:szCs w:val="16"/>
                <w:color w:val="auto"/>
              </w:rPr>
              <w:t>Bruce C. Robertson, Ph.D.</w:t>
            </w:r>
          </w:p>
        </w:tc>
        <w:tc>
          <w:tcPr>
            <w:tcW w:w="1000" w:type="dxa"/>
            <w:vAlign w:val="bottom"/>
            <w:vMerge w:val="restart"/>
          </w:tcPr>
          <w:p>
            <w:pPr>
              <w:jc w:val="center"/>
              <w:ind w:left="139"/>
              <w:spacing w:after="0"/>
              <w:rPr>
                <w:sz w:val="20"/>
                <w:szCs w:val="20"/>
                <w:color w:val="auto"/>
              </w:rPr>
            </w:pPr>
            <w:r>
              <w:rPr>
                <w:rFonts w:ascii="Arial" w:cs="Arial" w:eastAsia="Arial" w:hAnsi="Arial"/>
                <w:sz w:val="16"/>
                <w:szCs w:val="16"/>
                <w:color w:val="auto"/>
              </w:rPr>
              <w:t>63</w:t>
            </w:r>
          </w:p>
        </w:tc>
        <w:tc>
          <w:tcPr>
            <w:tcW w:w="2600" w:type="dxa"/>
            <w:vAlign w:val="bottom"/>
            <w:vMerge w:val="restart"/>
          </w:tcPr>
          <w:p>
            <w:pPr>
              <w:ind w:left="240"/>
              <w:spacing w:after="0"/>
              <w:rPr>
                <w:sz w:val="20"/>
                <w:szCs w:val="20"/>
                <w:color w:val="auto"/>
              </w:rPr>
            </w:pPr>
            <w:r>
              <w:rPr>
                <w:rFonts w:ascii="Arial" w:cs="Arial" w:eastAsia="Arial" w:hAnsi="Arial"/>
                <w:sz w:val="16"/>
                <w:szCs w:val="16"/>
                <w:color w:val="auto"/>
              </w:rPr>
              <w:t>Director</w:t>
            </w:r>
          </w:p>
        </w:tc>
        <w:tc>
          <w:tcPr>
            <w:tcW w:w="1640" w:type="dxa"/>
            <w:vAlign w:val="bottom"/>
            <w:vMerge w:val="restart"/>
          </w:tcPr>
          <w:p>
            <w:pPr>
              <w:jc w:val="center"/>
              <w:ind w:left="139"/>
              <w:spacing w:after="0"/>
              <w:rPr>
                <w:sz w:val="20"/>
                <w:szCs w:val="20"/>
                <w:color w:val="auto"/>
              </w:rPr>
            </w:pPr>
            <w:r>
              <w:rPr>
                <w:rFonts w:ascii="Arial" w:cs="Arial" w:eastAsia="Arial" w:hAnsi="Arial"/>
                <w:sz w:val="16"/>
                <w:szCs w:val="16"/>
                <w:color w:val="auto"/>
                <w:w w:val="93"/>
              </w:rPr>
              <w:t>X</w:t>
            </w:r>
          </w:p>
        </w:tc>
        <w:tc>
          <w:tcPr>
            <w:tcW w:w="3400" w:type="dxa"/>
            <w:vAlign w:val="bottom"/>
          </w:tcPr>
          <w:p>
            <w:pPr>
              <w:ind w:left="240"/>
              <w:spacing w:after="0" w:line="164" w:lineRule="exact"/>
              <w:rPr>
                <w:sz w:val="20"/>
                <w:szCs w:val="20"/>
                <w:color w:val="auto"/>
              </w:rPr>
            </w:pPr>
            <w:r>
              <w:rPr>
                <w:rFonts w:ascii="Arial" w:cs="Arial" w:eastAsia="Arial" w:hAnsi="Arial"/>
                <w:sz w:val="16"/>
                <w:szCs w:val="16"/>
                <w:color w:val="auto"/>
              </w:rPr>
              <w:t>Compensation, Nominating and</w:t>
            </w:r>
          </w:p>
        </w:tc>
        <w:tc>
          <w:tcPr>
            <w:tcW w:w="0" w:type="dxa"/>
            <w:vAlign w:val="bottom"/>
          </w:tcPr>
          <w:p>
            <w:pPr>
              <w:spacing w:after="0"/>
              <w:rPr>
                <w:sz w:val="1"/>
                <w:szCs w:val="1"/>
                <w:color w:val="auto"/>
              </w:rPr>
            </w:pPr>
          </w:p>
        </w:tc>
      </w:tr>
      <w:tr>
        <w:trPr>
          <w:trHeight w:val="215"/>
        </w:trPr>
        <w:tc>
          <w:tcPr>
            <w:tcW w:w="24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color w:val="auto"/>
              </w:rPr>
              <w:t>Charles S. McKhann</w:t>
            </w:r>
          </w:p>
        </w:tc>
        <w:tc>
          <w:tcPr>
            <w:tcW w:w="1000" w:type="dxa"/>
            <w:vAlign w:val="bottom"/>
          </w:tcPr>
          <w:p>
            <w:pPr>
              <w:jc w:val="center"/>
              <w:ind w:left="139"/>
              <w:spacing w:after="0"/>
              <w:rPr>
                <w:sz w:val="20"/>
                <w:szCs w:val="20"/>
                <w:color w:val="auto"/>
              </w:rPr>
            </w:pPr>
            <w:r>
              <w:rPr>
                <w:rFonts w:ascii="Arial" w:cs="Arial" w:eastAsia="Arial" w:hAnsi="Arial"/>
                <w:sz w:val="16"/>
                <w:szCs w:val="16"/>
                <w:color w:val="auto"/>
              </w:rPr>
              <w:t>57</w:t>
            </w:r>
          </w:p>
        </w:tc>
        <w:tc>
          <w:tcPr>
            <w:tcW w:w="2600" w:type="dxa"/>
            <w:vAlign w:val="bottom"/>
          </w:tcPr>
          <w:p>
            <w:pPr>
              <w:ind w:left="240"/>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c>
          <w:tcPr>
            <w:tcW w:w="3400" w:type="dxa"/>
            <w:vAlign w:val="bottom"/>
          </w:tcPr>
          <w:p>
            <w:pPr>
              <w:ind w:left="240"/>
              <w:spacing w:after="0"/>
              <w:rPr>
                <w:sz w:val="20"/>
                <w:szCs w:val="20"/>
                <w:color w:val="auto"/>
              </w:rPr>
            </w:pPr>
            <w:r>
              <w:rPr>
                <w:rFonts w:ascii="Arial" w:cs="Arial" w:eastAsia="Arial" w:hAnsi="Arial"/>
                <w:sz w:val="16"/>
                <w:szCs w:val="16"/>
                <w:color w:val="auto"/>
              </w:rPr>
              <w:t>Audit, Compensation (Chair)</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division of our Board into three classes with staggered three-year terms may delay or prevent a change of our management or a change in control of our Company. Our directors may be removed only for cause and only by the affirmative vote of the holders of at least two-thirds of the voting power of the then-outstanding shares of capital stock entitled to vote in the election of directors.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event any of the director nominees should become unable to serve, or will not serve, as a director, it is intended that votes will be cast for a substitute nominee designated by the Board or the Board may elect to reduce its size. The Board has no reason to believe that the nominees named below will be unable to serve if elected. Each of the director nominees has consented to being named in this proxy statement and to serve if elected.</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Each of our directors and director nominees brings to the Board significant leadership experience derived from their professional experience and service as executives or board members of other companies. The process undertaken</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12" w:name="page13"/>
    <w:bookmarkEnd w:id="12"/>
    <w:p>
      <w:pPr>
        <w:ind w:right="540"/>
        <w:spacing w:after="0" w:line="268" w:lineRule="auto"/>
        <w:rPr>
          <w:sz w:val="20"/>
          <w:szCs w:val="20"/>
          <w:color w:val="auto"/>
        </w:rPr>
      </w:pPr>
      <w:r>
        <w:rPr>
          <w:rFonts w:ascii="Arial" w:cs="Arial" w:eastAsia="Arial" w:hAnsi="Arial"/>
          <w:sz w:val="18"/>
          <w:szCs w:val="18"/>
          <w:color w:val="auto"/>
        </w:rPr>
        <w:t>by the Nominating Committee in recommending qualified director candidates is described below under "Director Nomination Process." Certain individual qualifications and skills of our directors that contribute to the Board's effectiveness as a whole are described in the following paragraphs.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the directors and director nominees has been furnished to us by the directors and director nominees: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to Expire at the 2029 Annual Meeting, if reelected)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i w:val="1"/>
          <w:iCs w:val="1"/>
          <w:color w:val="auto"/>
        </w:rPr>
        <w:t>Tina S. Nova, Ph.D.</w:t>
      </w:r>
      <w:r>
        <w:rPr>
          <w:rFonts w:ascii="Arial" w:cs="Arial" w:eastAsia="Arial" w:hAnsi="Arial"/>
          <w:sz w:val="17"/>
          <w:szCs w:val="17"/>
          <w:color w:val="auto"/>
        </w:rPr>
        <w:t>, has served as a member of our Board since July 2019 and became the Board’s Executive Chairman in June 2023.</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she served as President of the U.S. CLIA business at Veracyte from March 2021 until her retirement in September 2023. Prior to</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that time, Dr. Nova served as Chief Executive Officer and President of Genoptix, Inc., a clinical oncology lab ("Genoptix"), from March 2000 to February 2014. When Genoptix was acquired by Novartis AG (NYSE: NVS), a pharmaceutical company, she continued with the company</w:t>
      </w:r>
    </w:p>
    <w:p>
      <w:pPr>
        <w:spacing w:after="0" w:line="1" w:lineRule="exact"/>
        <w:rPr>
          <w:sz w:val="20"/>
          <w:szCs w:val="20"/>
          <w:color w:val="auto"/>
        </w:rPr>
      </w:pPr>
    </w:p>
    <w:p>
      <w:pPr>
        <w:jc w:val="both"/>
        <w:ind w:right="240"/>
        <w:spacing w:after="0" w:line="234" w:lineRule="auto"/>
        <w:rPr>
          <w:sz w:val="20"/>
          <w:szCs w:val="20"/>
          <w:color w:val="auto"/>
        </w:rPr>
      </w:pPr>
      <w:r>
        <w:rPr>
          <w:rFonts w:ascii="Arial" w:cs="Arial" w:eastAsia="Arial" w:hAnsi="Arial"/>
          <w:sz w:val="18"/>
          <w:szCs w:val="18"/>
          <w:color w:val="auto"/>
        </w:rPr>
        <w:t>until April 2014. She then joined Decipher, a biotechnology company focused on genomic tests for urological cancers, in August 2015 and served as its Chief Executive Officer and President of Decipher from August 2018 to March 2021. From September 2015 to July 2018, Dr. Nova served as Chief Executive Officer and President of Molecular Stethoscope, a molecular diagnostics company. Prior to that time, Dr.</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Nova joined Illumina, Inc. (NASDAQ: ILMN) (“Illumina”), a biotechnology company, in April 2014, and served as its Executive Vice President General Manager of its oncology business unit from July 2014 to September 2015. Dr. Nova formerly served on the board of directors and as board chairman of the biotechnology companies Arena Pharmaceuticals, Inc., from September 2004 to March 2022, OpGen, Inc. (NASDAQ: OPGN) (“OpGen”) from April 2017 to March 2020, and Veracyte from November 2015 to February 2021. Dr. Nova has served as a member of the board of directors of Aurinia Pharmaceuticals Inc. (NASDAQ: AUPH), a biopharmaceutical company, since April 2025, Azenta, Inc. (NASDAQ: AZTA), a genomics and bioprocessing technology company, since February 2023, and as a member of the non-profit board of directors of Rady Children’s Institute of Genomic Medicine, a nonprofit research organization seeking to improve diagnostic care for neonatal</w:t>
      </w:r>
    </w:p>
    <w:p>
      <w:pPr>
        <w:spacing w:after="0" w:line="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and pediatric rare disease patients, since July 2016. She previously served as a member of the board of directors of Veracyte from November 2015 to February 2021, and OpGen from April 2017 to March 2020. She holds a B.S. in biological sciences from the University of</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California, Irvine and a Ph.D. in biochemistry from the University of California, Riverside, and completed a postdoctoral fellowship at New York University Medical School. The Board believes Dr. Nova is qualified to serve as a member of the Board because of her extensive leadership, business, and scientific expertise in diagnostics and the biopharmaceutical industry, and her experience in successfully developing, launching, and commercializing medical products.</w:t>
      </w:r>
    </w:p>
    <w:p>
      <w:pPr>
        <w:spacing w:after="0" w:line="2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Scott D. Kahn, Ph.D., </w:t>
      </w:r>
      <w:r>
        <w:rPr>
          <w:rFonts w:ascii="Arial" w:cs="Arial" w:eastAsia="Arial" w:hAnsi="Arial"/>
          <w:sz w:val="18"/>
          <w:szCs w:val="18"/>
          <w:color w:val="auto"/>
        </w:rPr>
        <w:t>has served as a member of our Board since June 2024. From January 2018 until February 2024, he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Information and Privacy Officer at LunaPBC, Inc., a privately-held, venture-backed public benefit corporation and corporate founder of LunaDNA (a community-owned genomic and health data platform). At LunaPBC, Dr. Kahn was responsible for all informatics and data science strategy. Through his work with the Helmsley Charitable Trust (a global philanthropy organization) from April 2017 to December 2021, Dr. Kahn worked on data privacy and data sharing policies for biomedical organizations globally. Since January 2019, he has served on the Board of Directors for the Rady Children’s Institute of Genomic Medicine, a nonprofit research organization seeking to improve diagnostic care for neonatal and pediatric rare disease patients. Since December 2021, Dr. Kahn has also served as the Chairman of the Board for Blue Circle Health, a nonprofit organization offering virtual care programs for adults with type 1 diabetes. Previously, Dr. Kahn served 11 years as the first Chief Information Officer for Illumina (NASDAQ: ILMN), and he was also an executive leader in Illumina’s Enterprise Informatics Unit. He organized the Genome Informatics Alliance for five years to drive interdisciplinary thought leadership focused on the future of Next Generation Sequencing and its role in precision medicine, healthcare, and other applied markets. Dr. Kahn has a Ph.D. in Theoretical Organic Chemistry from the University of California, Irvine and was a Fellow Commoner of Churchill College at the University of Cambridge in England. The Board believes that Dr. Kahn is qualified to serve as a member of the Board because of his extensive experience in health data sharing and data privacy and his service as a director for numerous companies.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Other Members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(Terms to Expire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Paul Kim </w:t>
      </w:r>
      <w:r>
        <w:rPr>
          <w:rFonts w:ascii="Arial" w:cs="Arial" w:eastAsia="Arial" w:hAnsi="Arial"/>
          <w:sz w:val="18"/>
          <w:szCs w:val="18"/>
          <w:color w:val="auto"/>
        </w:rPr>
        <w:t>has served as a member of our Board since July 2023. Mr. Kim has served as Chief Financial Officer of Fulgent Genetics, Inc.</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(NASDAQ: FLGT) (“Fulgent”), a genetic testing company, since February 2016. Prior to his service at Fulgent, Mr. Kim was retired from 2011 until 2015 and served as Chief Financial Officer of Cogent Biosciences, Inc., a publicly traded biometric identification services and product</w:t>
      </w:r>
    </w:p>
    <w:p>
      <w:pPr>
        <w:spacing w:after="0" w:line="1"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company (NASDAQ: COGT), from 2004 to 2011. Mr. Kim’s past experience also includes service as the Chief Financial Officer of JNI Corporation (NASDAQ: JNIC) (“JNI”), a publicly traded storage area network technology company, from 2002 to 2003, as Vice President, Finance and Corporate Controller at JNI from October 1999 to August 2002 and as Vice President of Finance and Administration of Datafusion Inc., a privately held software development company, from 1998 to 1999. From April 1996 to January 1998, Mr. Kim was the Corporate Controller of Interlink Computer Sciences, Inc., a publicly traded enterprise software company. From 1990 to 1996, Mr. Kim worked as an accountant and later an Audit Manager for Coopers and Lybrand L.L.P., an accounting firm. Mr. Kim received a B.A. in economics from the University of California, Berkeley and is a Certified Public Accountant. The Board believes that Mr. Kim is qualified to serve on the Board because of his financial and executive experience in the life sciences and technology industries.</w:t>
      </w:r>
    </w:p>
    <w:p>
      <w:pPr>
        <w:spacing w:after="0" w:line="197" w:lineRule="exact"/>
        <w:rPr>
          <w:sz w:val="20"/>
          <w:szCs w:val="20"/>
          <w:color w:val="auto"/>
        </w:rPr>
      </w:pPr>
    </w:p>
    <w:p>
      <w:pPr>
        <w:ind w:right="480"/>
        <w:spacing w:after="0" w:line="259" w:lineRule="auto"/>
        <w:rPr>
          <w:sz w:val="20"/>
          <w:szCs w:val="20"/>
          <w:color w:val="auto"/>
        </w:rPr>
      </w:pPr>
      <w:r>
        <w:rPr>
          <w:rFonts w:ascii="Arial" w:cs="Arial" w:eastAsia="Arial" w:hAnsi="Arial"/>
          <w:sz w:val="17"/>
          <w:szCs w:val="17"/>
          <w:i w:val="1"/>
          <w:iCs w:val="1"/>
          <w:color w:val="auto"/>
        </w:rPr>
        <w:t xml:space="preserve">Frank Stokes </w:t>
      </w:r>
      <w:r>
        <w:rPr>
          <w:rFonts w:ascii="Arial" w:cs="Arial" w:eastAsia="Arial" w:hAnsi="Arial"/>
          <w:sz w:val="17"/>
          <w:szCs w:val="17"/>
          <w:color w:val="auto"/>
        </w:rPr>
        <w:t>has served as a member of our Board since June 2021. Mr. Stokes has served as Chief Financial Officer of Castle</w:t>
      </w:r>
      <w:r>
        <w:rPr>
          <w:rFonts w:ascii="Arial" w:cs="Arial" w:eastAsia="Arial" w:hAnsi="Arial"/>
          <w:sz w:val="17"/>
          <w:szCs w:val="17"/>
          <w:i w:val="1"/>
          <w:iCs w:val="1"/>
          <w:color w:val="auto"/>
        </w:rPr>
        <w:t xml:space="preserve"> </w:t>
      </w:r>
      <w:r>
        <w:rPr>
          <w:rFonts w:ascii="Arial" w:cs="Arial" w:eastAsia="Arial" w:hAnsi="Arial"/>
          <w:sz w:val="17"/>
          <w:szCs w:val="17"/>
          <w:color w:val="auto"/>
        </w:rPr>
        <w:t>Biosciences, Inc. (NASDAQ: CSTL), a diagnostics company, since December 2017. From January 2017 to December 2017, Mr. Stokes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served as Chief Financial Officer of Hammock Pharmaceuticals, Inc., a specialty pharmaceutical company focused on the development and commercialization of women’s health and urology products. From May 2011 to December 2016, Mr. Stokes served as a Managing Director of</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Leerink Swann LLC (now Leerink Partners LLC (“Leerink”)). Mr. Stokes also held positions as Managing Director at Robert W. Baird &amp; Co. Incorporated and Wachovia Securities, LLC, both of which are financial services companies. While at Leerink and Robert W. Baird &amp; Co., Mr. Stokes led the Life Sciences, Tools and Diagnostics Sector investment banking efforts, and managed financings and mergers and acquisitions transactions. Mr. Stokes holds a B.S. in business administration, a J.D., and an M.B.A. from the University of North Carolina at Chapel Hill. The Board believes Mr. Stokes is qualified to serve on the Board because of his financial expertise and executive experience and experience in the diagnostics and life sciences industries.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to Expire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89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7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i w:val="1"/>
          <w:iCs w:val="1"/>
          <w:color w:val="auto"/>
        </w:rPr>
        <w:t xml:space="preserve">John Aballi </w:t>
      </w:r>
      <w:r>
        <w:rPr>
          <w:rFonts w:ascii="Arial" w:cs="Arial" w:eastAsia="Arial" w:hAnsi="Arial"/>
          <w:sz w:val="18"/>
          <w:szCs w:val="18"/>
          <w:color w:val="auto"/>
        </w:rPr>
        <w:t>has served as President and Chief Executive Officer of the Company and a member of our Board since October 2022. Mr. Aballi</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General Manager of Urology and Clinical Laboratory Improvement Amendments (“CLIA”) and as Chief Operating Officer of Veracyte, Inc. (NASDAQ: VCYT) (“Veracyte”), a molecular diagnostic company, from April 2021 to October 2022. In this role, he maintained profit and loss responsibility for the business unit, ultimately expanding the urology franchise to over $120 million in annual revenue while maintaining responsibility for the company’s market access, billing, and customer service functions in addition to</w:t>
      </w:r>
    </w:p>
    <w:p>
      <w:pPr>
        <w:spacing w:after="0" w:line="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Veracyte’s four U.S.-based CLIA laboratories. Prior to this role, from August 2018 to March 2021, Mr. Aballi served as the Senior Vice President and Chief Operating Officer of Decipher Biosciences, Inc. (“Decipher”), a biotechnology company focused on genomic tests for</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urological cancers. Mr. Aballi was a key member of the leadership team which transformed Decipher to the market leader in genomic testing for prostate cancer. Mr. Aballi was responsible for all aspects of operations including sales, quality management, medical operations, customer service, software development, assay development, billing, managed care, and laboratory operations. From September 2015 to August 2018, Mr. Aballi served as the Head of Operations of Molecular Stethoscope, Inc. (“Molecular Stethoscope”), a company developing cell-free RNA based diagnostics. Prior to joining Molecular Stethoscope, Mr. Aballi served in various senior roles at Genoptix, from January 2007 to September 2015. Mr. Aballi was a member of the board of directors of PFS Genomics Inc., a molecular diagnostic company specializing in proprietary signature development in breast cancer, from March 2021 to May 2021. Mr. Aballi holds a B.S. and a B.A. from University of California, San Diego in biochemistry and cell biology and economics, respectively, and an M.B.A. from California Baptist University. The Board believes Mr. Aballi is qualified to serve as a member of the Board because of his extensive experience in management of life sciences and diagnostic companies and board service.</w:t>
      </w:r>
    </w:p>
    <w:p>
      <w:pPr>
        <w:spacing w:after="0" w:line="22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Bruce C. Robertson, Ph.D., </w:t>
      </w:r>
      <w:r>
        <w:rPr>
          <w:rFonts w:ascii="Arial" w:cs="Arial" w:eastAsia="Arial" w:hAnsi="Arial"/>
          <w:sz w:val="18"/>
          <w:szCs w:val="18"/>
          <w:color w:val="auto"/>
        </w:rPr>
        <w:t>has served as a member of our Board since July 2019. Since October 2005, Dr. Robertson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of H.I.G. Capital, LLC, a global private equity and investment firm. Dr. Robertson previously served as a Managing Director of Toucan Capital, an early-stage venture capital firm, from December 2003 to September 2005. Dr. Robertson served as a member of the board of directors of Augmedics, Inc., since March 2021, CardioFocus, Inc. since April 2016, and Zerigo Health, Inc. since May 2021. Dr. Robertson has also previously served as a member of the board of directors of Clarus Therapeutics, Inc. from November 2007 to September 2021, Iconic Therapeutics, Inc. from April 2014 to July 2022, RxSight, Inc. (NASDAQ: RXST) from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380"/>
        <w:spacing w:after="0" w:line="282" w:lineRule="auto"/>
        <w:rPr>
          <w:sz w:val="20"/>
          <w:szCs w:val="20"/>
          <w:color w:val="auto"/>
        </w:rPr>
      </w:pPr>
      <w:r>
        <w:rPr>
          <w:rFonts w:ascii="Arial" w:cs="Arial" w:eastAsia="Arial" w:hAnsi="Arial"/>
          <w:sz w:val="17"/>
          <w:szCs w:val="17"/>
          <w:color w:val="auto"/>
        </w:rPr>
        <w:t>June 2015 to July 2021, and Apollo Endosurgery, Inc. from September 2017 to February 2022. Dr. Robertson holds a B.S.E. in chemical engineering and a B.A. in mathematics from the University of Pennsylvania, an M.B.A. from Harvard Business School, and a Ph.D. in chemical engineering from the University of Delaware. The Board believes Dr. Robertson is qualified to serve as a member of the Board because of his medical and research background and his extensive experience as an investor in the medical technologies industry.</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Charles S. McKhann </w:t>
      </w:r>
      <w:r>
        <w:rPr>
          <w:rFonts w:ascii="Arial" w:cs="Arial" w:eastAsia="Arial" w:hAnsi="Arial"/>
          <w:sz w:val="18"/>
          <w:szCs w:val="18"/>
          <w:color w:val="auto"/>
        </w:rPr>
        <w:t>has served as a member of our Board since July 2025. Since April 2026, Mr. McKhann has served on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Envoy Medical, Inc., a publicly traded medical technology company, and since November 2025, Mr. McKhann has served as Chairman of the Board for Distalmotion SA, a medical device company. Mr. McKhann served as the President, Chief Executive Officer, and a member of the board of directors of Silk Road Medical, Inc. (“Silk Road”), a medical device company, from November 2023 to September 2024, when Silk Road was purchased by Boston Scientific Corporation (“Boston Scientific”), and served as Chief Executive Officer, President and a member of the Board of Directors of Apollo Endosurgery, Inc. (“Apollo”), a medical device company, from March 2021 to April 4, 2023, when Apollo was purchased by Boston Scientific. From October 2017 to December 2018, Mr. McKhann served as Chief Commercial Officer at ROX Medical, Inc., a medical device company. From July 2016 to April 2017, he served as Chief Commercial Officer of Torax Medical, Inc., a medical device company acquired by Johnson &amp; Johnson in April 2017. From January 2015 to July 2016, he served as Chief Commercial Officer of Intersect ENT, Inc., a medical device company. In addition, from September 2012 to March 2021, he served as Managing Director of Vernon Consulting, Inc. Mr. McKhann holds a B.A. in Political Science and an M.B.A. from Stanford University. The Board believes Mr. McKhann is qualified to serve as a member of the Board because of his extensive executive leadership experience in medical device companies and his deep commercial strategy and operating expertise in the healthcare industry.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plurality of the shares voted for each nominee at the Annual Meeting is required to elect each nominee as a Class I director.</w:t>
      </w:r>
    </w:p>
    <w:p>
      <w:pPr>
        <w:spacing w:after="0" w:line="225" w:lineRule="exact"/>
        <w:rPr>
          <w:sz w:val="20"/>
          <w:szCs w:val="20"/>
          <w:color w:val="auto"/>
        </w:rPr>
      </w:pPr>
    </w:p>
    <w:p>
      <w:pPr>
        <w:jc w:val="center"/>
        <w:ind w:left="380" w:right="100"/>
        <w:spacing w:after="0" w:line="273" w:lineRule="auto"/>
        <w:rPr>
          <w:sz w:val="20"/>
          <w:szCs w:val="20"/>
          <w:color w:val="auto"/>
        </w:rPr>
      </w:pPr>
      <w:r>
        <w:rPr>
          <w:rFonts w:ascii="Arial" w:cs="Arial" w:eastAsia="Arial" w:hAnsi="Arial"/>
          <w:sz w:val="18"/>
          <w:szCs w:val="18"/>
          <w:b w:val="1"/>
          <w:bCs w:val="1"/>
          <w:color w:val="auto"/>
        </w:rPr>
        <w:t>THE BOARD UNANIMOUSLY RECOMMENDS A VOTE FOR THE ELECTION OF TINA S. NOVA, PH.D. AND SCOTT D. KAHN, PH.D. AS CLASS I DIRECTORS, AND PROXIES SOLICITED BY THE BOARD WILL BE VOTED IN FAVOR THEREOF UNLESS A STOCKHOLDER HAS INDICATED OTHERWISE ON THE PROXY.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Audit Committee of the Board (the "Audit Committee") has appointed BDO USA, P.C. as our independent registered public accounting firm for the fiscal year ending December 31, 2026. The Board has directed that this appointment be submitted to our stockholders for ratification. Although ratification of our appointment of BDO USA, P.C. is not required, we value the opinions of our stockholders and believe that stockholder ratification of our appointment is good corporate governance practice.</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BDO USA, P.C. has served as our independent registered public accounting firm since 2017. Neither the accounting firm nor any of its members has any direct or indirect financial interest in or any connection with us in any capacity other than as our auditors, providing audit and non-audit services. A representative of BDO USA, P.C. is expected to attend the Annual Meeting and to have an opportunity to make a statement if they intend to do so. This representative will also be available to respond to appropriate questions from stockholders.</w:t>
      </w:r>
    </w:p>
    <w:p>
      <w:pPr>
        <w:spacing w:after="0" w:line="203"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 the event that the appointment of BDO USA, P.C. is not ratified by the stockholders, the Audit Committee will consider this fact when it appoints the independent registered public accounting firm for the fiscal year ending December 31, 2026. Even if the appointment of BDO USA, P.C. is ratified, the Audit Committee retains the discretion to appoint a different independent registered public accounting firm at any time if it determines that such a change is in the interests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shares cast affirmatively or negatively for this proposal is required to approve this proposal.</w:t>
      </w:r>
    </w:p>
    <w:p>
      <w:pPr>
        <w:spacing w:after="0" w:line="252" w:lineRule="exact"/>
        <w:rPr>
          <w:sz w:val="20"/>
          <w:szCs w:val="20"/>
          <w:color w:val="auto"/>
        </w:rPr>
      </w:pPr>
    </w:p>
    <w:p>
      <w:pPr>
        <w:jc w:val="center"/>
        <w:ind w:left="340" w:right="60"/>
        <w:spacing w:after="0" w:line="273"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BDO USA, P.C. AS OUR INDEPENDENT REGISTERED PUBLIC ACCOUNTING FIRM, AND PROXIES SOLICITED BY THE BOARD WILL BE VOTED IN FAVOR THEREOF UNLESS A STOCKHOLDER HAS INDICATED OTHERWISE ON THE PROXY.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0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the fees of BDO USA, P.C., our independent registered public accounting firm, billed to us for each of the last two fiscal years for audit and other services:</w:t>
      </w:r>
    </w:p>
    <w:p>
      <w:pPr>
        <w:spacing w:after="0" w:line="41"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Fiscal 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Fees(1)</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784,644</w:t>
            </w: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616,454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0" w:type="dxa"/>
            <w:vAlign w:val="bottom"/>
          </w:tcPr>
          <w:p>
            <w:pPr>
              <w:ind w:left="20"/>
              <w:spacing w:after="0"/>
              <w:rPr>
                <w:sz w:val="20"/>
                <w:szCs w:val="20"/>
                <w:color w:val="auto"/>
              </w:rPr>
            </w:pPr>
            <w:r>
              <w:rPr>
                <w:rFonts w:ascii="Arial" w:cs="Arial" w:eastAsia="Arial" w:hAnsi="Arial"/>
                <w:sz w:val="14"/>
                <w:szCs w:val="14"/>
                <w:color w:val="auto"/>
              </w:rPr>
              <w:t>Audit-Related Fees</w:t>
            </w:r>
          </w:p>
        </w:tc>
        <w:tc>
          <w:tcPr>
            <w:tcW w:w="540" w:type="dxa"/>
            <w:vAlign w:val="bottom"/>
          </w:tcPr>
          <w:p>
            <w:pPr>
              <w:spacing w:after="0"/>
              <w:rPr>
                <w:sz w:val="17"/>
                <w:szCs w:val="17"/>
                <w:color w:val="auto"/>
              </w:rPr>
            </w:pPr>
          </w:p>
        </w:tc>
        <w:tc>
          <w:tcPr>
            <w:tcW w:w="20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19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Fees</w:t>
            </w:r>
          </w:p>
        </w:tc>
        <w:tc>
          <w:tcPr>
            <w:tcW w:w="5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20"/>
              <w:spacing w:after="0"/>
              <w:rPr>
                <w:sz w:val="20"/>
                <w:szCs w:val="20"/>
                <w:color w:val="auto"/>
              </w:rPr>
            </w:pPr>
            <w:r>
              <w:rPr>
                <w:rFonts w:ascii="Arial" w:cs="Arial" w:eastAsia="Arial" w:hAnsi="Arial"/>
                <w:sz w:val="14"/>
                <w:szCs w:val="14"/>
                <w:color w:val="auto"/>
              </w:rPr>
              <w:t>All Other Fees</w:t>
            </w:r>
          </w:p>
        </w:tc>
        <w:tc>
          <w:tcPr>
            <w:tcW w:w="540" w:type="dxa"/>
            <w:vAlign w:val="bottom"/>
          </w:tcPr>
          <w:p>
            <w:pPr>
              <w:spacing w:after="0"/>
              <w:rPr>
                <w:sz w:val="17"/>
                <w:szCs w:val="17"/>
                <w:color w:val="auto"/>
              </w:rPr>
            </w:pPr>
          </w:p>
        </w:tc>
        <w:tc>
          <w:tcPr>
            <w:tcW w:w="20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19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Fees</w:t>
            </w: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784,644</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616,454</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6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jc w:val="both"/>
        <w:spacing w:after="0" w:line="283" w:lineRule="auto"/>
        <w:rPr>
          <w:sz w:val="20"/>
          <w:szCs w:val="20"/>
          <w:color w:val="auto"/>
        </w:rPr>
      </w:pPr>
      <w:r>
        <w:rPr>
          <w:rFonts w:ascii="Arial" w:cs="Arial" w:eastAsia="Arial" w:hAnsi="Arial"/>
          <w:sz w:val="16"/>
          <w:szCs w:val="16"/>
          <w:color w:val="auto"/>
        </w:rPr>
        <w:t>Audit fees consist of fees for the audit of our financial statements, the review of the unaudited interim financial statements included in our quarterly reports on Form 10-Q and the issuance of consents and comfort letters in connection with registration statements.</w:t>
      </w:r>
    </w:p>
    <w:p>
      <w:pPr>
        <w:spacing w:after="0" w:line="28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Audit Committee has considered whether the provision of non-audit services is compatible with maintaining the independence of BDO USA, P.C., and has concluded that the provision of such services is compatible with maintaining the independence of our auditors.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Audit Committee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Audit Committee has established a policy that prior to engagement of an independent registered public accounting firm for the next year's audit, management will submit an aggregate of services expected to be rendered during that fiscal year for each of four categories of services to the Audit Committee for approval.</w:t>
      </w:r>
    </w:p>
    <w:p>
      <w:pPr>
        <w:spacing w:after="0" w:line="198" w:lineRule="exact"/>
        <w:rPr>
          <w:sz w:val="20"/>
          <w:szCs w:val="20"/>
          <w:color w:val="auto"/>
        </w:rPr>
      </w:pPr>
    </w:p>
    <w:p>
      <w:pPr>
        <w:ind w:left="660" w:right="4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services include audit work performed in the preparation of financial statements, as well as work that generally only an independent registered public accounting firm can reasonably be expected to provide, including comfort letters, statutory audits, and attest services.</w:t>
      </w:r>
    </w:p>
    <w:p>
      <w:pPr>
        <w:spacing w:after="0" w:line="170" w:lineRule="exact"/>
        <w:rPr>
          <w:rFonts w:ascii="Arial" w:cs="Arial" w:eastAsia="Arial" w:hAnsi="Arial"/>
          <w:sz w:val="18"/>
          <w:szCs w:val="18"/>
          <w:color w:val="auto"/>
        </w:rPr>
      </w:pPr>
    </w:p>
    <w:p>
      <w:pPr>
        <w:jc w:val="both"/>
        <w:ind w:left="660" w:right="18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170" w:lineRule="exact"/>
        <w:rPr>
          <w:rFonts w:ascii="Arial" w:cs="Arial" w:eastAsia="Arial" w:hAnsi="Arial"/>
          <w:sz w:val="18"/>
          <w:szCs w:val="18"/>
          <w:color w:val="auto"/>
        </w:rPr>
      </w:pPr>
    </w:p>
    <w:p>
      <w:pPr>
        <w:ind w:left="660" w:right="200" w:hanging="328"/>
        <w:spacing w:after="0" w:line="26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spacing w:after="0" w:line="170" w:lineRule="exact"/>
        <w:rPr>
          <w:rFonts w:ascii="Arial" w:cs="Arial" w:eastAsia="Arial" w:hAnsi="Arial"/>
          <w:sz w:val="18"/>
          <w:szCs w:val="18"/>
          <w:color w:val="auto"/>
        </w:rPr>
      </w:pPr>
    </w:p>
    <w:p>
      <w:pPr>
        <w:ind w:left="660" w:right="140" w:hanging="328"/>
        <w:spacing w:after="0" w:line="28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Fees are those associated with services not captured in the other categories. The Company generally does not request such services from our independent registered public accounting firm.</w:t>
      </w:r>
    </w:p>
    <w:p>
      <w:pPr>
        <w:spacing w:after="0" w:line="3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Audit Committee pre-approves the engagement of the independent registered public accounting firm and the provision of audit services and audit-related services on an annual basis. The Audit Committee also pre-approves the particular tax and all other services on a case-by-case basis and does not delegate approval to management. All of the services of BDO USA, P.C., for fiscal years ended December 31, 2025 and 2024 described above were pre-approved by the Audit Committee in accordance with this policy.</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Audit Committee considers whether the provision of each non-audit service is compatible with maintaining the independence of our auditors. Pre -approval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Proposal 3 - Advisory Vote on Approval of the Compensation of Our NEOs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(the “Exchange Act”), on the approval of the compensation of our NEOs as described in the compensation tables and related material contained in this proxy</w:t>
      </w:r>
    </w:p>
    <w:p>
      <w:pPr>
        <w:spacing w:after="0" w:line="2" w:lineRule="exact"/>
        <w:rPr>
          <w:sz w:val="20"/>
          <w:szCs w:val="20"/>
          <w:color w:val="auto"/>
        </w:rPr>
      </w:pPr>
    </w:p>
    <w:p>
      <w:pPr>
        <w:ind w:right="920"/>
        <w:spacing w:after="0" w:line="290" w:lineRule="auto"/>
        <w:rPr>
          <w:sz w:val="20"/>
          <w:szCs w:val="20"/>
          <w:color w:val="auto"/>
        </w:rPr>
      </w:pPr>
      <w:r>
        <w:rPr>
          <w:rFonts w:ascii="Arial" w:cs="Arial" w:eastAsia="Arial" w:hAnsi="Arial"/>
          <w:sz w:val="17"/>
          <w:szCs w:val="17"/>
          <w:color w:val="auto"/>
        </w:rPr>
        <w:t>statement. Because your vote is advisory, it will not be binding on our Compensation Committee of the Board (the "Compensation Committee") or our Board. However, the Compensation Committee and the Board will review the voting results and take them into</w:t>
      </w:r>
    </w:p>
    <w:p>
      <w:pPr>
        <w:ind w:right="40"/>
        <w:spacing w:after="0" w:line="268" w:lineRule="auto"/>
        <w:rPr>
          <w:sz w:val="20"/>
          <w:szCs w:val="20"/>
          <w:color w:val="auto"/>
        </w:rPr>
      </w:pPr>
      <w:r>
        <w:rPr>
          <w:rFonts w:ascii="Arial" w:cs="Arial" w:eastAsia="Arial" w:hAnsi="Arial"/>
          <w:sz w:val="18"/>
          <w:szCs w:val="18"/>
          <w:color w:val="auto"/>
        </w:rPr>
        <w:t>consideration when making future decisions regarding executive compensation. We have determined to hold an advisory vote to approve the compensation of our named executive officers annually, and the next such advisory vote will occur at the 2027 annual meeting of stockholders.</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compensation philosophy is designed to align each executive’s compensation with our short-term and long -term performance and to provide the compensation and incentives needed to attract, motivate and retain key executives who are crucial to our long-term success. Consistent with this philosophy, a significant portion of the total compensation opportunity for each of our executives is directly related to performance factors that measure our progress against the goals of our strategic and operating plans, as well as our performance against that of our peer companies. We take into account various financial measures including, but not limited to, revenue, cost of goods sold ("COGS"), gross margin, trailing twelve months average sales price, adjusted EDBITA, and employee turnover, among others, when setting executive compensation.</w:t>
      </w:r>
    </w:p>
    <w:p>
      <w:pPr>
        <w:spacing w:after="0" w:line="210"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Annual Meeting:</w:t>
      </w:r>
    </w:p>
    <w:p>
      <w:pPr>
        <w:spacing w:after="0" w:line="1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“RESOLVED, that the compensation paid to the named executive officers of Exagen Inc., as disclosed pursuant to the compensation disclosure rules of the U.S. Securities and Exchange Commission, including the compensation tables and the related material disclosed in this proxy statement, is hereby APPROVED.”</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affirmative vote of a majority of the shares cast affirmatively or negatively for this proposal is required to approve, on an advisory basis, this proposal.</w:t>
      </w:r>
    </w:p>
    <w:p>
      <w:pPr>
        <w:spacing w:after="0" w:line="180" w:lineRule="exact"/>
        <w:rPr>
          <w:sz w:val="20"/>
          <w:szCs w:val="20"/>
          <w:color w:val="auto"/>
        </w:rPr>
      </w:pPr>
    </w:p>
    <w:p>
      <w:pPr>
        <w:jc w:val="center"/>
        <w:ind w:left="340"/>
        <w:spacing w:after="0" w:line="273" w:lineRule="auto"/>
        <w:rPr>
          <w:sz w:val="20"/>
          <w:szCs w:val="20"/>
          <w:color w:val="auto"/>
        </w:rPr>
      </w:pPr>
      <w:r>
        <w:rPr>
          <w:rFonts w:ascii="Arial" w:cs="Arial" w:eastAsia="Arial" w:hAnsi="Arial"/>
          <w:sz w:val="18"/>
          <w:szCs w:val="18"/>
          <w:b w:val="1"/>
          <w:bCs w:val="1"/>
          <w:color w:val="auto"/>
        </w:rPr>
        <w:t>THE BOARD UNANIMOUSLY RECOMMENDS A VOTE TO APPROVE THE COMPENSATION OF OUR NAMED EXECUTIVE OFFICERS, AND PROXIES SOLICITED BY THE BOARD OF DIRECTORS WILL BE VOTED IN FAVOR OF SUCH APPROVAL UNLESS A STOCKHOLDER INDICATES OTHERWISE ON THE PROXY CARD.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REPORT OF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(“PCAOB”) and the SEC.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The Audit Committee also considered whether the independent registered public accounting firm’s provision of certain other non-audit related services to the Company is compatible with maintaining such firm’s independence.</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Company’s Annual Report on Form 10-K for the fiscal year ended December 31, 2025. The Audit Committee and the Board have also recommended, subject to stockholder approval, the ratification of the appointment of BDO USA, P.C. as the Company’s independent registered public accounting firm for the fiscal year ending December 31, 2026.</w:t>
      </w:r>
    </w:p>
    <w:p>
      <w:pPr>
        <w:spacing w:after="0" w:line="20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report has been furnished by the Audit Committee.</w:t>
      </w:r>
    </w:p>
    <w:p>
      <w:pPr>
        <w:spacing w:after="0" w:line="29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Respectfully submitted,</w:t>
      </w:r>
    </w:p>
    <w:p>
      <w:pPr>
        <w:spacing w:after="0" w:line="200" w:lineRule="exact"/>
        <w:rPr>
          <w:sz w:val="20"/>
          <w:szCs w:val="20"/>
          <w:color w:val="auto"/>
        </w:rPr>
      </w:pPr>
    </w:p>
    <w:p>
      <w:pPr>
        <w:spacing w:after="0" w:line="36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Audit Committee</w:t>
      </w:r>
    </w:p>
    <w:p>
      <w:pPr>
        <w:spacing w:after="0" w:line="4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 xml:space="preserve">Frank Stokes, </w:t>
      </w:r>
      <w:r>
        <w:rPr>
          <w:rFonts w:ascii="Arial" w:cs="Arial" w:eastAsia="Arial" w:hAnsi="Arial"/>
          <w:sz w:val="18"/>
          <w:szCs w:val="18"/>
          <w:i w:val="1"/>
          <w:iCs w:val="1"/>
          <w:color w:val="auto"/>
        </w:rPr>
        <w:t>Chair</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Paul Kim</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Chas McKhann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and their respective ages as of April 15, 2026: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Age</w:t>
            </w:r>
          </w:p>
        </w:tc>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08"/>
        </w:trPr>
        <w:tc>
          <w:tcPr>
            <w:tcW w:w="3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John Aballi</w:t>
            </w:r>
          </w:p>
        </w:tc>
        <w:tc>
          <w:tcPr>
            <w:tcW w:w="3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340" w:type="dxa"/>
            <w:vAlign w:val="bottom"/>
          </w:tcPr>
          <w:p>
            <w:pPr>
              <w:spacing w:after="0"/>
              <w:rPr>
                <w:sz w:val="18"/>
                <w:szCs w:val="18"/>
                <w:color w:val="auto"/>
              </w:rPr>
            </w:pPr>
          </w:p>
        </w:tc>
        <w:tc>
          <w:tcPr>
            <w:tcW w:w="6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President, Chief Executive Officer and Director</w:t>
            </w:r>
          </w:p>
        </w:tc>
      </w:tr>
      <w:tr>
        <w:trPr>
          <w:trHeight w:val="215"/>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Jeffrey Black</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Chief Financial Officer and Corporate Secretary</w:t>
            </w:r>
          </w:p>
        </w:tc>
      </w:tr>
    </w:tbl>
    <w:p>
      <w:pPr>
        <w:spacing w:after="0" w:line="2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is biographical information for our executive officers other than Mr. Aballi, whose biographical information is included under the heading "Class III Directors (Terms to Expire at the 2028 Annual Meeting)” above.</w:t>
      </w:r>
    </w:p>
    <w:p>
      <w:pPr>
        <w:spacing w:after="0" w:line="1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 xml:space="preserve">Jeffrey Black </w:t>
      </w:r>
      <w:r>
        <w:rPr>
          <w:rFonts w:ascii="Arial" w:cs="Arial" w:eastAsia="Arial" w:hAnsi="Arial"/>
          <w:sz w:val="18"/>
          <w:szCs w:val="18"/>
          <w:color w:val="auto"/>
        </w:rPr>
        <w:t>has served as our Chief Financial Officer and Corporate Secretary since September 2024. Mr. Black previously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Standard BioTools Inc. (NASDAQ: LAB), a publicly traded, biological research equipment company, from May 2023 to August 2024. Previously, Mr. Black served as Senior Vice President and Chief Financial Officer of Apollo Endosurgery Inc. (“Apollo”) (NASDAQ: APEN), a publicly traded, medical technology company focused on endoscopic therapies for gastrointestinal conditions and interventional treatment of obesity, from August 2021 to April 2023. Prior to joining Apollo, Mr. Black served as Executive Vice President and Chief Financial Officer of Alphatec Holdings, Inc. (“Alphatec”) (NASDAQ: ATEC), a publicly traded, medical technology company focused on the surgical treatment of spinal disorders, from March 2017 to April 2021. Prior to joining Alphatec, Mr. Black was Senior Vice President and Chief Financial Officer of Applied Proteomics, Inc., a proteomics-based diagnostics company; Senior Vice President and Chief Financial</w:t>
      </w:r>
    </w:p>
    <w:p>
      <w:pPr>
        <w:spacing w:after="0" w:line="3"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Officer of AltheaDx, Inc., a pharmacogenetics diagnostics company; and Senior Vice President and Chief Financial Officer of Verenium Corporation, an industrial biotechnology company. Mr. Black began his career at Ernst &amp; Young LLP. Mr. Black previously served as a</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member of the board of directors and audit chairperson of Cellana, Inc., a privately held company and developer of algae-based bioproducts until March 2025. Mr. Black received his B.S. in business from the University of Arizona.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Board has adopted Corporate Governance Guidelines, a Code of Conduct and Ethics and charters for our Nominating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Conduct and Ethics in the “Corporate Governance” section of the “Investors” page of our website located at www.exagen.com, or by writing to our Corporate Secretary at our offices at 1261 Liberty Way, Vista, CA 92081. Please note, however, that the information contained on the website is not incorporated by reference in, or considered part of, this proxy statement.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currently consists of seven members. The Board has determined that all of our current directors, other than Mr. Aballi and Dr. Nova, are independent directors in accordance with the applicable SEC rules and listing requirements of the Nasdaq Stock Market LLC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and director nominee that no relationships exist, which, in the opinion of the Board, would interfere with the exercise of independent judgment in carrying out the responsibilities of a director. In making these determinations, the Board reviewed and discussed information provided by the directors (and director nominees) and us with regard to each director’s or director nominee's business and personal activities and relationships as they may relate to us and our management. There are no family relationships among any of our directors, director nominees or executive officers.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Nominating Committee is responsible for reviewing with the Board,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Committee, in recommending candidates for election, and the Board will take into account many factors, including the following:</w:t>
      </w:r>
    </w:p>
    <w:p>
      <w:pPr>
        <w:spacing w:after="0" w:line="6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publicly-held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strong finance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of background and perspective;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relevant to our business industry and with relevant social policy concerns;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relevant academic expertise or other proficiency in an area of our business operations.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Committee may also consider such other factors as it may deem to be in the best interests of our Company and our stockholders. The Nominating Committee does, however, believe it appropriate for at least one member of our Board to meet the criteria for an “audit committee financial expert” as defined by SEC rules, and that a majority of the members of our Board meet the definition of “independent director” under Nasdaq qualification standards. The Nominating Committee also believes it is appropriate for our President and Chief Executive Officer to serve as a member of our Board.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Evaluation of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Nominating Committee identifies nominees for director by first evaluating the current members of our Board willing to continue in service. Current members with qualifications and skills that are consistent with the Nominating Committee's criteria for Board service and who are willing to continue in service are considered for re-nomination, balancing the value of continuity of service by existing members of our Board with that of obtaining a new perspective or expertise.</w:t>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any member of our Board does not wish to continue in service or if our Board decides not to re-nominate a member for re-election or if the Board decides to expand its size, the Nominating Committee identifies the desired skills and experience of a new nominee in light of the criteria above. The Nominating Committee generally polls our Board and members of management for their recommendations. The Nominating Committee may also review the composition and qualification of the boards of directors of our competitors and may seek input from industry experts or analysts. The Nominating Committee reviews the qualifications, experience and background of the candidates. Final candidates are interviewed by the members of the Nominating Committee and by certain of our other independent directors and executive management. In making its determinations, the Nominating Committee evaluates each individual in the context of our Board as a whole, with the objective of assembling a group that can best contribute to the success of our Company and represent stockholder interests through the exercise of sound business judgment. After review and deliberation of all feedback and data, the Nominating Committee makes its recommendation to our Board.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1" w:name="page22"/>
    <w:bookmarkEnd w:id="21"/>
    <w:p>
      <w:pPr>
        <w:ind w:right="160"/>
        <w:spacing w:after="0" w:line="268" w:lineRule="auto"/>
        <w:rPr>
          <w:sz w:val="20"/>
          <w:szCs w:val="20"/>
          <w:color w:val="auto"/>
        </w:rPr>
      </w:pPr>
      <w:r>
        <w:rPr>
          <w:rFonts w:ascii="Arial" w:cs="Arial" w:eastAsia="Arial" w:hAnsi="Arial"/>
          <w:sz w:val="18"/>
          <w:szCs w:val="18"/>
          <w:color w:val="auto"/>
        </w:rPr>
        <w:t>We have not received director candidate recommendations from our stockholders, and we do not have a formal policy regarding consideration of such recommendations. However, any recommendations received from stockholders will be evaluated in the same manner that potential nominees suggested by members of our Board, management or other parties are evaluated.</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our Bylaws, a stockholder wishing to suggest a candidate for director should write to our Corporate Secretary and provide such information about the stockholder and the proposed candidate as is set forth in our Bylaws and as would be required by SEC rules to be included in a proxy statement. In addition, the stockholder must include the consent of the candidate and describe any arrangements or undertakings between the stockholder and the candidate regarding the nomination. In order to give the Nominating Committee sufficient time to evaluate a recommended candidate and include the candidate in our proxy statement for the 2027 Annual Meeting, the recommendation should be received by our Corporate Secretary at our principal executive offices located at 1261 Liberty Way, Vista, California 92081 in accordance with our procedures detailed in the section below entitled "Stockholder Proposals."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Corporate Secretary and Executive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Exagen Inc., 1261 Liberty Way, Vista, California 92081.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April 2024, the Company adopted a policy requiring that each member of the Board make every effort to attend the annual meetings of stockholders of the Company. Six members of our Board attended our 2025 Annual Meeting.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 Separate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is currently led by its Executive Chairman, Tina S. Nova, Ph.D. The Board recognizes that it is important to determine an optimal board leadership structure to ensure the independent oversight of management as we continue to grow. We separate the roles of Chief Executive Officer and Executive Chairman of the Board in recognition of the differences between the two roles. The Chief Executive Officer is responsible for setting the strategic direction for our Company and the day-to-day leadership and performance of our Company, while the Executive Chairman of the Board provides guidance to the Chief Executive Officer and presides over meetings of the full Board. We believe that this separation of responsibilities provides a balanced approach to managing the Board and overseeing our Company.</w:t>
      </w:r>
    </w:p>
    <w:p>
      <w:pPr>
        <w:spacing w:after="0" w:line="20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ind w:right="160"/>
        <w:spacing w:after="0" w:line="268" w:lineRule="auto"/>
        <w:rPr>
          <w:sz w:val="20"/>
          <w:szCs w:val="20"/>
          <w:color w:val="auto"/>
        </w:rPr>
      </w:pPr>
      <w:r>
        <w:rPr>
          <w:rFonts w:ascii="Arial" w:cs="Arial" w:eastAsia="Arial" w:hAnsi="Arial"/>
          <w:sz w:val="18"/>
          <w:szCs w:val="18"/>
          <w:color w:val="auto"/>
        </w:rPr>
        <w:t>Board committees and members of senior management to enable the Board to understand our risk identification, risk management and risk mitigation strategies with respect to areas of potential material risk, including operations, cybersecurity, finance, legal, regulatory, strategic and reputational risk.</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Committee manages risks associated with the independence of the Board, corporate disclosure practices, potential conflicts of interest, and cybersecurity.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Corporate Governance Guidelines require the Nominating Committee to oversee an annual assessment by the Board of the Board’s performance. As provided in our Corporate Governance Guidelines, the Nominating Committee is responsible for establishing the evaluation criteria and implementing the process for such evaluation.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6"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on our website located at www.exagen.com.</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we intend to post in the "Corporate Governance" section of the "Investors" page on our website located at www.exagen.com all disclosures that are required by law or the listing standards of Nasdaq concerning any amendments to, or waivers from, any provision of the code.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Board has adopted an insider trading policy governing the purchase, sale and other transactions in our securities by our directors, officers, employees and certain other covered persons. We believe our insider trading policy is reasonably designed to promote compliance with insider trading laws, rules and regulations, and any listing standards. The policy prohibits our directors, officers, employees and certain other covered persons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Chief Financial Officer prior to trading. Our insider trading policy is filed as Exhibit 19 to our Annual Report on Form 10-K for the fiscal year ended December 31,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Insider Trading Compliance Policy applies to all officers, directors, employees of the Company and certain consultants specified by management and prohibits all hedging transactions involving the Company's equity securities, such as zero-cost collars and forward sale contracts.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3" w:name="page24"/>
    <w:bookmarkEnd w:id="23"/>
    <w:p>
      <w:pPr>
        <w:ind w:right="160"/>
        <w:spacing w:after="0" w:line="287" w:lineRule="auto"/>
        <w:rPr>
          <w:sz w:val="20"/>
          <w:szCs w:val="20"/>
          <w:color w:val="auto"/>
        </w:rPr>
      </w:pPr>
      <w:r>
        <w:rPr>
          <w:rFonts w:ascii="Arial" w:cs="Arial" w:eastAsia="Arial" w:hAnsi="Arial"/>
          <w:sz w:val="18"/>
          <w:szCs w:val="18"/>
          <w:color w:val="auto"/>
        </w:rPr>
        <w:t>Our equity awards, including stock options, are granted in connection with our yearly compensation cycle and regularly scheduled meetings of the compensation committee.</w:t>
      </w:r>
    </w:p>
    <w:p>
      <w:pPr>
        <w:spacing w:after="0" w:line="1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Typically, our practice is to make annual award grants at regularly scheduled meetings. Our policy is to not grant stock options or similar awards in anticipation of the release of material non-public information and to not time the release of material non-public information based on an equity award grant date, but some option grants may be granted close in time to the release of material non-public information to the extent those options are being granted upon hiring of new executive officers or in connection with annual grants being made as part of our director compensation policy.</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year ended December 31, 2025, we did not time the disclosure of material non-public information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There were four regular meetings of the Board (including telephonic meetings) and one special meeting during the fiscal year ended December 31, 2025. During the fiscal year ended December 31, 2025, each director attended at least 75% of the aggregate of all meetings of the Board and each director attended at least 75% of meetings of the committees on which such director served, during the period in which he or she served as a 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established three standing committees - audit, compensation and nominating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each of the Board committees and committee chairs are set forth in the following chart.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Director</w:t>
            </w:r>
          </w:p>
        </w:tc>
        <w:tc>
          <w:tcPr>
            <w:tcW w:w="360" w:type="dxa"/>
            <w:vAlign w:val="bottom"/>
            <w:vMerge w:val="restart"/>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360" w:type="dxa"/>
            <w:vAlign w:val="bottom"/>
            <w:vMerge w:val="restart"/>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360" w:type="dxa"/>
            <w:vAlign w:val="bottom"/>
            <w:vMerge w:val="restart"/>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188"/>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 xml:space="preserve">Paul Kim </w:t>
            </w:r>
            <w:r>
              <w:rPr>
                <w:rFonts w:ascii="Arial" w:cs="Arial" w:eastAsia="Arial" w:hAnsi="Arial"/>
                <w:sz w:val="9"/>
                <w:szCs w:val="9"/>
                <w:color w:val="auto"/>
              </w:rPr>
              <w:t>†</w:t>
            </w:r>
          </w:p>
        </w:tc>
        <w:tc>
          <w:tcPr>
            <w:tcW w:w="2580" w:type="dxa"/>
            <w:vAlign w:val="bottom"/>
            <w:gridSpan w:val="2"/>
          </w:tcPr>
          <w:p>
            <w:pPr>
              <w:jc w:val="center"/>
              <w:ind w:right="360"/>
              <w:spacing w:after="0"/>
              <w:rPr>
                <w:sz w:val="20"/>
                <w:szCs w:val="20"/>
                <w:color w:val="auto"/>
              </w:rPr>
            </w:pPr>
            <w:r>
              <w:rPr>
                <w:rFonts w:ascii="Arial" w:cs="Arial" w:eastAsia="Arial" w:hAnsi="Arial"/>
                <w:sz w:val="14"/>
                <w:szCs w:val="14"/>
                <w:color w:val="auto"/>
              </w:rPr>
              <w:t>X</w:t>
            </w:r>
          </w:p>
        </w:tc>
        <w:tc>
          <w:tcPr>
            <w:tcW w:w="2580" w:type="dxa"/>
            <w:vAlign w:val="bottom"/>
            <w:gridSpan w:val="2"/>
          </w:tcPr>
          <w:p>
            <w:pPr>
              <w:jc w:val="center"/>
              <w:ind w:right="360"/>
              <w:spacing w:after="0"/>
              <w:rPr>
                <w:sz w:val="20"/>
                <w:szCs w:val="20"/>
                <w:color w:val="auto"/>
              </w:rPr>
            </w:pPr>
            <w:r>
              <w:rPr>
                <w:rFonts w:ascii="Arial" w:cs="Arial" w:eastAsia="Arial" w:hAnsi="Arial"/>
                <w:sz w:val="14"/>
                <w:szCs w:val="14"/>
                <w:color w:val="auto"/>
              </w:rPr>
              <w:t>X</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Scott D. Kahn, Ph.D.</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gridSpan w:val="2"/>
          </w:tcPr>
          <w:p>
            <w:pPr>
              <w:jc w:val="center"/>
              <w:ind w:right="360"/>
              <w:spacing w:after="0"/>
              <w:rPr>
                <w:sz w:val="20"/>
                <w:szCs w:val="20"/>
                <w:color w:val="auto"/>
              </w:rPr>
            </w:pPr>
            <w:r>
              <w:rPr>
                <w:rFonts w:ascii="Arial" w:cs="Arial" w:eastAsia="Arial" w:hAnsi="Arial"/>
                <w:sz w:val="14"/>
                <w:szCs w:val="14"/>
                <w:color w:val="auto"/>
              </w:rPr>
              <w:t>X</w:t>
            </w:r>
          </w:p>
        </w:tc>
        <w:tc>
          <w:tcPr>
            <w:tcW w:w="2220" w:type="dxa"/>
            <w:vAlign w:val="bottom"/>
          </w:tcPr>
          <w:p>
            <w:pPr>
              <w:jc w:val="center"/>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203"/>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Tina S. Nova, Ph.D.</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Bruce C. Robertson, Ph.D.</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gridSpan w:val="2"/>
          </w:tcPr>
          <w:p>
            <w:pPr>
              <w:jc w:val="center"/>
              <w:ind w:right="360"/>
              <w:spacing w:after="0"/>
              <w:rPr>
                <w:sz w:val="20"/>
                <w:szCs w:val="20"/>
                <w:color w:val="auto"/>
              </w:rPr>
            </w:pPr>
            <w:r>
              <w:rPr>
                <w:rFonts w:ascii="Arial" w:cs="Arial" w:eastAsia="Arial" w:hAnsi="Arial"/>
                <w:sz w:val="14"/>
                <w:szCs w:val="14"/>
                <w:color w:val="auto"/>
              </w:rPr>
              <w:t>X</w:t>
            </w:r>
          </w:p>
        </w:tc>
        <w:tc>
          <w:tcPr>
            <w:tcW w:w="22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3"/>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 xml:space="preserve">Frank Stokes </w:t>
            </w:r>
            <w:r>
              <w:rPr>
                <w:rFonts w:ascii="Arial" w:cs="Arial" w:eastAsia="Arial" w:hAnsi="Arial"/>
                <w:sz w:val="9"/>
                <w:szCs w:val="9"/>
                <w:color w:val="auto"/>
              </w:rPr>
              <w:t>†</w:t>
            </w:r>
          </w:p>
        </w:tc>
        <w:tc>
          <w:tcPr>
            <w:tcW w:w="258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C</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3"/>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Charles S. McKhann</w:t>
            </w:r>
          </w:p>
        </w:tc>
        <w:tc>
          <w:tcPr>
            <w:tcW w:w="2580" w:type="dxa"/>
            <w:vAlign w:val="bottom"/>
            <w:gridSpan w:val="2"/>
          </w:tcPr>
          <w:p>
            <w:pPr>
              <w:jc w:val="center"/>
              <w:ind w:right="360"/>
              <w:spacing w:after="0"/>
              <w:rPr>
                <w:sz w:val="20"/>
                <w:szCs w:val="20"/>
                <w:color w:val="auto"/>
              </w:rPr>
            </w:pPr>
            <w:r>
              <w:rPr>
                <w:rFonts w:ascii="Arial" w:cs="Arial" w:eastAsia="Arial" w:hAnsi="Arial"/>
                <w:sz w:val="14"/>
                <w:szCs w:val="14"/>
                <w:color w:val="auto"/>
              </w:rPr>
              <w:t>X</w:t>
            </w:r>
          </w:p>
        </w:tc>
        <w:tc>
          <w:tcPr>
            <w:tcW w:w="258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C</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Committee Chairman</w:t>
      </w:r>
    </w:p>
    <w:p>
      <w:pPr>
        <w:spacing w:after="0" w:line="1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  Financial Expert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9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registered public accounting firm;</w:t>
      </w:r>
    </w:p>
    <w:p>
      <w:pPr>
        <w:spacing w:after="0" w:line="117"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p>
      <w:pPr>
        <w:ind w:left="660" w:right="1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44" w:lineRule="exact"/>
        <w:rPr>
          <w:rFonts w:ascii="Arial" w:cs="Arial" w:eastAsia="Arial" w:hAnsi="Arial"/>
          <w:sz w:val="18"/>
          <w:szCs w:val="18"/>
          <w:color w:val="auto"/>
        </w:rPr>
      </w:pPr>
    </w:p>
    <w:p>
      <w:pPr>
        <w:ind w:left="660" w:right="8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44"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on a periodic basis, or as appropriate, any investment policy and recommending to the Board any changes to such investment policy;</w:t>
      </w:r>
    </w:p>
    <w:p>
      <w:pPr>
        <w:spacing w:after="0" w:line="44"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17"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and reviewing and monitoring compliance with our code of conduct and ethics;</w:t>
      </w:r>
    </w:p>
    <w:p>
      <w:pPr>
        <w:spacing w:after="0" w:line="44"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evaluating, at least annually, the performance of the Audit Committee and its members including compliance of the Audit Committee with its charter;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the Company's policies with respect to risk assessment and risk management;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Company's Environmental, Social and Corporate Governance strategy, initiatives and policies.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members of our Audit Committee are Mr. Stokes, Mr. Kim and Mr. McKhann. Mr. Stokes serves as the Chairman of the Audit Committee. All members of our Audit Committee meet the requirements for financial literacy under the applicable rules and regulations of the SEC and Nasdaq. The Board has determined that Mr. Stokes and Mr. Kim are “audit committee financial experts” as defined by applicable SEC rules and have the requisite financial sophistication as defined under the applicable Nasdaq rules and regulations. The Board has determined each of Mr. Stokes, Mr. Kim and Mr. McKhann are independent under the applicable rules of the SEC and Nasdaq. The Audit Committee operates under a written charter that satisfies the applicable standards of the SEC and Nasdaq, which the Audit Committee will review and evaluate at least annually. A copy of the charter for our Audit Committee is available on our investor relations website at investors.exagen.com under Investors - Governance—Governance Documents. The Audit Committee met four times during the fiscal year ended December 31, 2025.</w:t>
      </w:r>
    </w:p>
    <w:p>
      <w:pPr>
        <w:spacing w:after="0" w:line="20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Both our external auditor and internal financial personnel meet privately with the Audit Committee and have unrestricted access to this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our incentive compensation plans, equity-based plans and executive severance plans and arrangements. The Compensation Committee has the authority to administer any such plans and arrangements and to approve grants of cash-based and equity-based awards under such plans.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in carrying out its responsibilities. The Compensation Committee has engaged Frederick W. Cook &amp; Co., Inc. (“FW Cook"), an independent compensation consultant, to assist in making decisions regarding the amount and types of compensation to provide our executives and non-employee directors. FW Cook reported directly to the Compensation Committee. The Compensation Committee received and considered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ind w:right="160"/>
        <w:spacing w:after="0" w:line="287" w:lineRule="auto"/>
        <w:rPr>
          <w:sz w:val="20"/>
          <w:szCs w:val="20"/>
          <w:color w:val="auto"/>
        </w:rPr>
      </w:pPr>
      <w:r>
        <w:rPr>
          <w:rFonts w:ascii="Arial" w:cs="Arial" w:eastAsia="Arial" w:hAnsi="Arial"/>
          <w:sz w:val="18"/>
          <w:szCs w:val="18"/>
          <w:color w:val="auto"/>
        </w:rPr>
        <w:t>information and analysis from FW Cook. Except for its engagement by the Compensation Committee, FW Cook does not provide additional services to the Company.</w:t>
      </w:r>
    </w:p>
    <w:p>
      <w:pPr>
        <w:spacing w:after="0" w:line="16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Compensation Committee also seeks input and recommendations from Mr. Aballi regarding base salary, annual incentive award levels, and long-term incentive grants for our executive officers (other than himself), and Mr. Aballi and Jeff Black, our Chief Financial Officer, make recommendations to the Compensation Committee regarding the base salary, annual incentive award levels, and long-term incentive grants for certain other senior employees. Messrs. Aballi and Black make these recommendations based on guidelines provided by the Compensation Committee and judgments regarding individual performance. Neither Mr. Aballi nor Mr. Black is involved with any aspect of determining their own pay.</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members of our Compensation Committee are Dr. Robertson, Dr. Kahn, Mr. Kim, and Mr. McKhann. Mr. McKhann serves as the Chairman of the committee. Our Board has determined that each member of this committee is independent under the applicable rules and regulations of Nasdaq and is a “non-employee director” as defined in Rule 16b -3 promulgated under the Exchange Act. A copy of the charter for our Compensation Committee is available on our investor relations website at investors.exagen.com under Investors - Governance— Governance Documents. The Compensation Committee met three times during the fiscal year ended December 31, 2025.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Nominating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Committee is responsible for overseeing our corporate governance policies, reporting and making recommendations to the Board concerning governance matters and oversight of the evaluation of the Board. Furthermore, the Nominating Committee also provides oversight of our cybersecurity risk management and strategy processes. The members of our Nominating Committee are Dr. Kahn, Dr. Robertson, and Mr. Stokes. Dr. Kahn serves as the Chairperson of the Nominating Committee. The Board has determined that each member of this committee is independent under the applicable rules and regulations of</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Nasdaq relating to Nominating Committee independence. The Nominating Committee operates under a written charter, which the Nominating Committee will review and evaluate at least annually. A copy of the charter for our Nominating Committee is available on our investor</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relations website at investors.exagen.com under Investors - Governance— Governance Documents. The Nominating Committee met four times during the fiscal year ended December 31, 2025.</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our NEOs during the year ended December 31, 2025, who were:</w:t>
      </w:r>
    </w:p>
    <w:p>
      <w:pPr>
        <w:spacing w:after="0" w:line="45" w:lineRule="exact"/>
        <w:rPr>
          <w:sz w:val="20"/>
          <w:szCs w:val="20"/>
          <w:color w:val="auto"/>
        </w:rPr>
      </w:pPr>
    </w:p>
    <w:p>
      <w:pPr>
        <w:ind w:left="1300" w:hanging="52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John Aballi, President, Chief Executive Officer, Director and former Interim Chief Financial Officer; and</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Jeffrey Black, Chief Financial Officer and Corporate Secretary.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NEOs for services rendered during the years ended December 31, 2025 and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 ($)</w:t>
            </w: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Incentive Plan</w:t>
            </w:r>
          </w:p>
        </w:tc>
        <w:tc>
          <w:tcPr>
            <w:tcW w:w="152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vMerge w:val="restart"/>
          </w:tcPr>
          <w:p>
            <w:pPr>
              <w:spacing w:after="0"/>
              <w:rPr>
                <w:sz w:val="12"/>
                <w:szCs w:val="12"/>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Year</w:t>
            </w:r>
          </w:p>
        </w:tc>
        <w:tc>
          <w:tcPr>
            <w:tcW w:w="160" w:type="dxa"/>
            <w:vAlign w:val="bottom"/>
            <w:vMerge w:val="restart"/>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Salary ($)</w:t>
            </w:r>
          </w:p>
        </w:tc>
        <w:tc>
          <w:tcPr>
            <w:tcW w:w="16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Awards ($)</w:t>
            </w: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Awards ($)</w:t>
            </w:r>
          </w:p>
        </w:tc>
        <w:tc>
          <w:tcPr>
            <w:tcW w:w="15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Compensation ($)</w:t>
            </w:r>
          </w:p>
        </w:tc>
        <w:tc>
          <w:tcPr>
            <w:tcW w:w="15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rPr>
              <w:t>Compensation ($)</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402,750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203,018</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237,600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1,400,868</w:t>
            </w:r>
          </w:p>
        </w:tc>
        <w:tc>
          <w:tcPr>
            <w:tcW w:w="0" w:type="dxa"/>
            <w:vAlign w:val="bottom"/>
          </w:tcPr>
          <w:p>
            <w:pPr>
              <w:spacing w:after="0"/>
              <w:rPr>
                <w:sz w:val="1"/>
                <w:szCs w:val="1"/>
                <w:color w:val="auto"/>
              </w:rPr>
            </w:pPr>
          </w:p>
        </w:tc>
      </w:tr>
      <w:tr>
        <w:trPr>
          <w:trHeight w:val="155"/>
        </w:trPr>
        <w:tc>
          <w:tcPr>
            <w:tcW w:w="2500" w:type="dxa"/>
            <w:vAlign w:val="bottom"/>
            <w:gridSpan w:val="3"/>
          </w:tcPr>
          <w:p>
            <w:pPr>
              <w:ind w:left="140"/>
              <w:spacing w:after="0" w:line="155" w:lineRule="exact"/>
              <w:rPr>
                <w:sz w:val="20"/>
                <w:szCs w:val="20"/>
                <w:color w:val="auto"/>
              </w:rPr>
            </w:pPr>
            <w:r>
              <w:rPr>
                <w:rFonts w:ascii="Arial" w:cs="Arial" w:eastAsia="Arial" w:hAnsi="Arial"/>
                <w:sz w:val="14"/>
                <w:szCs w:val="14"/>
                <w:i w:val="1"/>
                <w:iCs w:val="1"/>
                <w:color w:val="auto"/>
              </w:rPr>
              <w:t>President, Chief Executive</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gridSpan w:val="3"/>
          </w:tcPr>
          <w:p>
            <w:pPr>
              <w:ind w:left="140"/>
              <w:spacing w:after="0" w:line="149" w:lineRule="exact"/>
              <w:rPr>
                <w:sz w:val="20"/>
                <w:szCs w:val="20"/>
                <w:color w:val="auto"/>
              </w:rPr>
            </w:pPr>
            <w:r>
              <w:rPr>
                <w:rFonts w:ascii="Arial" w:cs="Arial" w:eastAsia="Arial" w:hAnsi="Arial"/>
                <w:sz w:val="14"/>
                <w:szCs w:val="14"/>
                <w:i w:val="1"/>
                <w:iCs w:val="1"/>
                <w:color w:val="auto"/>
              </w:rPr>
              <w:t>Officer, Director and former</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525,000</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353,500</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288,750</w:t>
            </w:r>
          </w:p>
        </w:tc>
        <w:tc>
          <w:tcPr>
            <w:tcW w:w="1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17,250</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1,184,500</w:t>
            </w:r>
          </w:p>
        </w:tc>
        <w:tc>
          <w:tcPr>
            <w:tcW w:w="0" w:type="dxa"/>
            <w:vAlign w:val="bottom"/>
          </w:tcPr>
          <w:p>
            <w:pPr>
              <w:spacing w:after="0"/>
              <w:rPr>
                <w:sz w:val="1"/>
                <w:szCs w:val="1"/>
                <w:color w:val="auto"/>
              </w:rPr>
            </w:pPr>
          </w:p>
        </w:tc>
      </w:tr>
      <w:tr>
        <w:trPr>
          <w:trHeight w:val="183"/>
        </w:trPr>
        <w:tc>
          <w:tcPr>
            <w:tcW w:w="2500" w:type="dxa"/>
            <w:vAlign w:val="bottom"/>
            <w:gridSpan w:val="3"/>
          </w:tcPr>
          <w:p>
            <w:pPr>
              <w:ind w:left="140"/>
              <w:spacing w:after="0"/>
              <w:rPr>
                <w:sz w:val="20"/>
                <w:szCs w:val="20"/>
                <w:color w:val="auto"/>
              </w:rPr>
            </w:pPr>
            <w:r>
              <w:rPr>
                <w:rFonts w:ascii="Arial" w:cs="Arial" w:eastAsia="Arial" w:hAnsi="Arial"/>
                <w:sz w:val="14"/>
                <w:szCs w:val="14"/>
                <w:i w:val="1"/>
                <w:iCs w:val="1"/>
                <w:color w:val="auto"/>
              </w:rPr>
              <w:t>Interim Chief Financial Officer(6)</w:t>
            </w: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Jeffrey Black</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465,000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27,069</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186,000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746,190</w:t>
            </w:r>
          </w:p>
        </w:tc>
        <w:tc>
          <w:tcPr>
            <w:tcW w:w="0" w:type="dxa"/>
            <w:vAlign w:val="bottom"/>
          </w:tcPr>
          <w:p>
            <w:pPr>
              <w:spacing w:after="0"/>
              <w:rPr>
                <w:sz w:val="1"/>
                <w:szCs w:val="1"/>
                <w:color w:val="auto"/>
              </w:rPr>
            </w:pPr>
          </w:p>
        </w:tc>
      </w:tr>
      <w:tr>
        <w:trPr>
          <w:trHeight w:val="155"/>
        </w:trPr>
        <w:tc>
          <w:tcPr>
            <w:tcW w:w="2500" w:type="dxa"/>
            <w:vAlign w:val="bottom"/>
            <w:gridSpan w:val="3"/>
          </w:tcPr>
          <w:p>
            <w:pPr>
              <w:ind w:left="140"/>
              <w:spacing w:after="0" w:line="155" w:lineRule="exact"/>
              <w:rPr>
                <w:sz w:val="20"/>
                <w:szCs w:val="20"/>
                <w:color w:val="auto"/>
              </w:rPr>
            </w:pPr>
            <w:r>
              <w:rPr>
                <w:rFonts w:ascii="Arial" w:cs="Arial" w:eastAsia="Arial" w:hAnsi="Arial"/>
                <w:sz w:val="14"/>
                <w:szCs w:val="14"/>
                <w:i w:val="1"/>
                <w:iCs w:val="1"/>
                <w:color w:val="auto"/>
              </w:rPr>
              <w:t>Chief Financial Officer and</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141,536</w:t>
            </w:r>
          </w:p>
        </w:tc>
        <w:tc>
          <w:tcPr>
            <w:tcW w:w="16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670,500</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84,000</w:t>
            </w:r>
          </w:p>
        </w:tc>
        <w:tc>
          <w:tcPr>
            <w:tcW w:w="160" w:type="dxa"/>
            <w:vAlign w:val="bottom"/>
          </w:tcPr>
          <w:p>
            <w:pPr>
              <w:spacing w:after="0"/>
              <w:rPr>
                <w:sz w:val="13"/>
                <w:szCs w:val="13"/>
                <w:color w:val="auto"/>
              </w:rPr>
            </w:pPr>
          </w:p>
        </w:tc>
        <w:tc>
          <w:tcPr>
            <w:tcW w:w="15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1,021,036</w:t>
            </w:r>
          </w:p>
        </w:tc>
        <w:tc>
          <w:tcPr>
            <w:tcW w:w="0" w:type="dxa"/>
            <w:vAlign w:val="bottom"/>
          </w:tcPr>
          <w:p>
            <w:pPr>
              <w:spacing w:after="0"/>
              <w:rPr>
                <w:sz w:val="1"/>
                <w:szCs w:val="1"/>
                <w:color w:val="auto"/>
              </w:rPr>
            </w:pPr>
          </w:p>
        </w:tc>
      </w:tr>
      <w:tr>
        <w:trPr>
          <w:trHeight w:val="188"/>
        </w:trPr>
        <w:tc>
          <w:tcPr>
            <w:tcW w:w="2500" w:type="dxa"/>
            <w:vAlign w:val="bottom"/>
            <w:gridSpan w:val="3"/>
          </w:tcPr>
          <w:p>
            <w:pPr>
              <w:ind w:left="140"/>
              <w:spacing w:after="0"/>
              <w:rPr>
                <w:sz w:val="20"/>
                <w:szCs w:val="20"/>
                <w:color w:val="auto"/>
              </w:rPr>
            </w:pPr>
            <w:r>
              <w:rPr>
                <w:rFonts w:ascii="Arial" w:cs="Arial" w:eastAsia="Arial" w:hAnsi="Arial"/>
                <w:sz w:val="14"/>
                <w:szCs w:val="14"/>
                <w:i w:val="1"/>
                <w:iCs w:val="1"/>
                <w:color w:val="auto"/>
              </w:rPr>
              <w:t>Corporate Secretary(7)</w:t>
            </w: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9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hanging="534"/>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 represents a sign on bonus paid to Jeff Black in September 2024.</w:t>
      </w:r>
    </w:p>
    <w:p>
      <w:pPr>
        <w:spacing w:after="0" w:line="180" w:lineRule="exact"/>
        <w:rPr>
          <w:rFonts w:ascii="Arial" w:cs="Arial" w:eastAsia="Arial" w:hAnsi="Arial"/>
          <w:sz w:val="16"/>
          <w:szCs w:val="16"/>
          <w:color w:val="auto"/>
        </w:rPr>
      </w:pPr>
    </w:p>
    <w:p>
      <w:pPr>
        <w:ind w:left="560" w:right="220" w:hanging="534"/>
        <w:spacing w:after="0" w:line="234"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of restricted stock unit awards granted to the NEO in the applicable year,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rather than the amounts paid to or realized by the NEO. For a discussion of valuation assumptions used in the calculations, see Note 2 and Note 9 to our audited financial statements in our 2025 Annual Report.</w:t>
      </w:r>
    </w:p>
    <w:p>
      <w:pPr>
        <w:spacing w:after="0" w:line="150" w:lineRule="exact"/>
        <w:rPr>
          <w:rFonts w:ascii="Arial" w:cs="Arial" w:eastAsia="Arial" w:hAnsi="Arial"/>
          <w:sz w:val="16"/>
          <w:szCs w:val="16"/>
          <w:color w:val="auto"/>
        </w:rPr>
      </w:pPr>
    </w:p>
    <w:p>
      <w:pPr>
        <w:ind w:left="560" w:right="20" w:hanging="534"/>
        <w:spacing w:after="0" w:line="228"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Amounts reflect the aggregate grant date fair value of stock options granted in 2025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These amounts do not reflect the actual economic value that will be realized by the NEO upon the vesting of the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of the stock options, or the sale of the common stock underlying such stock options. The assumptions that we used to calculate these amounts are discussed in Note 2 and Note 9 to our audited financial statements in our 2025 Annual Report.</w:t>
      </w:r>
    </w:p>
    <w:p>
      <w:pPr>
        <w:spacing w:after="0" w:line="151" w:lineRule="exact"/>
        <w:rPr>
          <w:rFonts w:ascii="Arial" w:cs="Arial" w:eastAsia="Arial" w:hAnsi="Arial"/>
          <w:sz w:val="16"/>
          <w:szCs w:val="16"/>
          <w:color w:val="auto"/>
        </w:rPr>
      </w:pPr>
    </w:p>
    <w:p>
      <w:pPr>
        <w:ind w:left="560" w:right="160" w:hanging="534"/>
        <w:spacing w:after="0" w:line="251"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for 2025 and 2024 represent the non-discretionary portion of cash bonuses paid in March 2026 and March 2025 with respect to corporate performance in 2025 and 2024, respectively, under the bonus plan. For additional information, see "Cash Bonuses" below.</w:t>
      </w:r>
    </w:p>
    <w:p>
      <w:pPr>
        <w:spacing w:after="0" w:line="141" w:lineRule="exact"/>
        <w:rPr>
          <w:rFonts w:ascii="Arial" w:cs="Arial" w:eastAsia="Arial" w:hAnsi="Arial"/>
          <w:sz w:val="16"/>
          <w:szCs w:val="16"/>
          <w:color w:val="auto"/>
        </w:rPr>
      </w:pPr>
    </w:p>
    <w:p>
      <w:pPr>
        <w:ind w:left="560" w:hanging="534"/>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for 2025 and 2024 represent employer matching contributions under our 401(k) plan on behalf of each NEO.</w:t>
      </w:r>
    </w:p>
    <w:p>
      <w:pPr>
        <w:spacing w:after="0" w:line="180" w:lineRule="exact"/>
        <w:rPr>
          <w:rFonts w:ascii="Arial" w:cs="Arial" w:eastAsia="Arial" w:hAnsi="Arial"/>
          <w:sz w:val="16"/>
          <w:szCs w:val="16"/>
          <w:color w:val="auto"/>
        </w:rPr>
      </w:pPr>
    </w:p>
    <w:p>
      <w:pPr>
        <w:ind w:left="560" w:right="80" w:hanging="534"/>
        <w:spacing w:after="0" w:line="251"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Aballi was appointed as Interim Chief Financial Officer in July 2024 and resigned as Interim Chief Financial Officer in September 2024. Mr. Aballi did not receive additional compensation for the time he served as Interim Chief Financial Officer.</w:t>
      </w:r>
    </w:p>
    <w:p>
      <w:pPr>
        <w:spacing w:after="0" w:line="141" w:lineRule="exact"/>
        <w:rPr>
          <w:rFonts w:ascii="Arial" w:cs="Arial" w:eastAsia="Arial" w:hAnsi="Arial"/>
          <w:sz w:val="16"/>
          <w:szCs w:val="16"/>
          <w:color w:val="auto"/>
        </w:rPr>
      </w:pPr>
    </w:p>
    <w:p>
      <w:pPr>
        <w:ind w:left="560" w:hanging="534"/>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Black was appointed as the Company’s Chief Financial Officer and Corporate Secretary in September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NEOs receive a base salary to compensate them for services rendered to our company. The base salary payable to each NEO is intended to provide a fixed component of compensation reflecting the executive’s skill set, experience, role and responsibilities. The 2024 base salaries of our NEOs were $525,000 and $460,000 for Messrs.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Aballi and Black, respectively. The 2025 base salaries of our NEOs were $540,000 and $465,000 for Messrs. Aballi and Black, respectively.</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expect that base salaries for our NEOs will continue to be reviewed periodically by our Compensation Committee, with adjustments expected to be made generally in accordance with the considerations described above and to maintain base salaries at competitive levels.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Bonuses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NEOs are eligible to earn cash bonuses based on corporate and individual performance measures for the applicable year which, at the discretion of the Compensation Committee, may be further adjusted based on the individual performances of each NEO. For 2024, Mr. Aballi was eligible to receive a target bonus of up to 50% of his base salary and Mr. Black was eligible to receive a target bonus of up to 50% of his base salary, prorated for his start date. For 2025, Mr. Aballi was eligible to receive a target bonus of up to 55% of his base salary and Mr. Black was eligible to receive a target bonus of up to 50% of his base salary.</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2024, annual bonus payments were based in part on the achievement of pre-established objective performance goals for revenue, COGS, trailing twelve months average sales price, cash balance and employee turnover, weighted 40%, 12.5%, 12.5%, 25%, and 10%, respectively, to determine each NEO's bonus opportunity. Award opportunities for each goal were established at target and maximum levels. For 2025, annual bonus payments were based in part on the achievement of pre-established objective performance goals for revenue, gross margin, trailing twelve months average sales price, adjusted EBITDA (defined as net loss adjusted for interest income (expense), income tax expense (benefit), depreciation and amortization expense, stock-based compensation expense, and certain other non-cash, unusual or non-recurring items), and employee turnover, weighted 45%, 10%, 10%, 25%, and 10%, respectively, to determine each executive's bonus opportunity. Award opportunities for each goal were established at target and maximum levels. Straight-line interpolation was used to calculate the 2024 and 2025 bonus payouts associated with actual results falling between goals. The goals for each year were set at levels that were expected to be challenging but achievable at the outset of the applicable year.</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2024, actual performance of our goals for revenue, COGS, trailing twelve months average sales price, cash balance and employee turnover, were achieved at 96%, 99%, 114%, 126%, and 109%, respectively, of the target goals. In 2025, actual performance of our goals for revenue, gross margin, trailing twelve months average sales price, adjusted EBITDA and employee turnover, were achieved at 80%, 80%, 70%, 70%, and 110%, respectively, of the target goals.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5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award stock options and restricted stock unit ("RSU") awards to our employees, including our NEOs, as the long-term incentive component of our compensation program. Awards granted since our initial public offering in September 2019 were granted under our 2019 Incentive Award Plan (the “2019 Plan”). Prior to our initial public offering, awards were granted under the 2013 Stock Option Plan, as amended from time to time (the “2013 Plan”) and our 2002 Stock Option Plan (the “2002 Plan”).</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typically grant equity awards to key new hires upon their commencing employment with us. We use stock options and RSUs as the primary incentive for long-term compensation to our NEOs. Generally, the stock options we grant vest as to 25% of the total number of option shares on the first anniversary of the date of grant and in equal monthly installments over the 36 months thereafter, subject to the employee’s continued service with us on each vesting date. Generally, the RSUs we grant vest as to 25% of the total number of RSUs on the first anniversary of the first day of the month in which such RSUs were granted and in annual installments over the four years thereafter, subject to the employee's continued service with us on each vesting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number of options granted to our NEOs in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980" w:type="dxa"/>
            <w:vAlign w:val="bottom"/>
          </w:tcPr>
          <w:p>
            <w:pPr>
              <w:jc w:val="center"/>
              <w:ind w:left="2668"/>
              <w:spacing w:after="0"/>
              <w:rPr>
                <w:sz w:val="20"/>
                <w:szCs w:val="20"/>
                <w:color w:val="auto"/>
              </w:rPr>
            </w:pPr>
            <w:r>
              <w:rPr>
                <w:rFonts w:ascii="Arial" w:cs="Arial" w:eastAsia="Arial" w:hAnsi="Arial"/>
                <w:sz w:val="14"/>
                <w:szCs w:val="14"/>
                <w:b w:val="1"/>
                <w:bCs w:val="1"/>
                <w:color w:val="auto"/>
              </w:rPr>
              <w:t>Grant Date (1)</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Number of Options (#)</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Option Exercise Price ($)</w:t>
            </w: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3980" w:type="dxa"/>
            <w:vAlign w:val="bottom"/>
            <w:shd w:val="clear" w:color="auto" w:fill="CCEEFF"/>
          </w:tcPr>
          <w:p>
            <w:pPr>
              <w:jc w:val="center"/>
              <w:ind w:left="2668"/>
              <w:spacing w:after="0"/>
              <w:rPr>
                <w:sz w:val="20"/>
                <w:szCs w:val="20"/>
                <w:color w:val="auto"/>
              </w:rPr>
            </w:pPr>
            <w:r>
              <w:rPr>
                <w:rFonts w:ascii="Arial" w:cs="Arial" w:eastAsia="Arial" w:hAnsi="Arial"/>
                <w:sz w:val="14"/>
                <w:szCs w:val="14"/>
                <w:color w:val="auto"/>
              </w:rPr>
              <w:t>2/21/2025</w:t>
            </w:r>
          </w:p>
        </w:tc>
        <w:tc>
          <w:tcPr>
            <w:tcW w:w="17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75,000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$3.58</w:t>
            </w:r>
          </w:p>
        </w:tc>
      </w:tr>
      <w:tr>
        <w:trPr>
          <w:trHeight w:val="195"/>
        </w:trPr>
        <w:tc>
          <w:tcPr>
            <w:tcW w:w="3740" w:type="dxa"/>
            <w:vAlign w:val="bottom"/>
          </w:tcPr>
          <w:p>
            <w:pPr>
              <w:ind w:left="20"/>
              <w:spacing w:after="0"/>
              <w:rPr>
                <w:sz w:val="20"/>
                <w:szCs w:val="20"/>
                <w:color w:val="auto"/>
              </w:rPr>
            </w:pPr>
            <w:r>
              <w:rPr>
                <w:rFonts w:ascii="Arial" w:cs="Arial" w:eastAsia="Arial" w:hAnsi="Arial"/>
                <w:sz w:val="14"/>
                <w:szCs w:val="14"/>
                <w:color w:val="auto"/>
              </w:rPr>
              <w:t>Jeffrey Black</w:t>
            </w:r>
          </w:p>
        </w:tc>
        <w:tc>
          <w:tcPr>
            <w:tcW w:w="3980" w:type="dxa"/>
            <w:vAlign w:val="bottom"/>
          </w:tcPr>
          <w:p>
            <w:pPr>
              <w:jc w:val="center"/>
              <w:ind w:left="2668"/>
              <w:spacing w:after="0"/>
              <w:rPr>
                <w:sz w:val="20"/>
                <w:szCs w:val="20"/>
                <w:color w:val="auto"/>
              </w:rPr>
            </w:pPr>
            <w:r>
              <w:rPr>
                <w:rFonts w:ascii="Arial" w:cs="Arial" w:eastAsia="Arial" w:hAnsi="Arial"/>
                <w:sz w:val="14"/>
                <w:szCs w:val="14"/>
                <w:color w:val="auto"/>
              </w:rPr>
              <w:t>2/21/2025</w:t>
            </w:r>
          </w:p>
        </w:tc>
        <w:tc>
          <w:tcPr>
            <w:tcW w:w="1720" w:type="dxa"/>
            <w:vAlign w:val="bottom"/>
          </w:tcPr>
          <w:p>
            <w:pPr>
              <w:jc w:val="center"/>
              <w:ind w:left="8"/>
              <w:spacing w:after="0"/>
              <w:rPr>
                <w:sz w:val="20"/>
                <w:szCs w:val="20"/>
                <w:color w:val="auto"/>
              </w:rPr>
            </w:pPr>
            <w:r>
              <w:rPr>
                <w:rFonts w:ascii="Arial" w:cs="Arial" w:eastAsia="Arial" w:hAnsi="Arial"/>
                <w:sz w:val="14"/>
                <w:szCs w:val="14"/>
                <w:color w:val="auto"/>
              </w:rPr>
              <w:t>10,000</w:t>
            </w:r>
          </w:p>
        </w:tc>
        <w:tc>
          <w:tcPr>
            <w:tcW w:w="1800" w:type="dxa"/>
            <w:vAlign w:val="bottom"/>
          </w:tcPr>
          <w:p>
            <w:pPr>
              <w:jc w:val="center"/>
              <w:spacing w:after="0"/>
              <w:rPr>
                <w:sz w:val="20"/>
                <w:szCs w:val="20"/>
                <w:color w:val="auto"/>
              </w:rPr>
            </w:pPr>
            <w:r>
              <w:rPr>
                <w:rFonts w:ascii="Arial" w:cs="Arial" w:eastAsia="Arial" w:hAnsi="Arial"/>
                <w:sz w:val="14"/>
                <w:szCs w:val="14"/>
                <w:color w:val="auto"/>
              </w:rPr>
              <w:t>$3.58</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left="560" w:right="160" w:hanging="534"/>
        <w:spacing w:after="0" w:line="251"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11830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83005" cy="8255"/>
                    </a:xfrm>
                    <a:prstGeom prst="rect">
                      <a:avLst/>
                    </a:prstGeom>
                    <a:noFill/>
                  </pic:spPr>
                </pic:pic>
              </a:graphicData>
            </a:graphic>
          </wp:anchor>
        </w:drawing>
        <w:t>The option vests with respect to 25% of the shares underlying the option on the first anniversary of the grant date and with respect to the remaining shares, on each monthly anniversary over the three-year period thereafter, subject to the officer's continued service.</w:t>
      </w:r>
    </w:p>
    <w:p>
      <w:pPr>
        <w:spacing w:after="0" w:line="6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RSUs and stock options granted to our NEOs may be subject to accelerated vesting in connection with the termination of their services with the Company. For additional discussion, please see “—Other Elements of Compensation—Severance and Change in Control Benefits”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number of RSUs granted to our NEOs in 2025.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880" w:type="dxa"/>
            <w:vAlign w:val="bottom"/>
            <w:vMerge w:val="restart"/>
          </w:tcPr>
          <w:p>
            <w:pPr>
              <w:jc w:val="center"/>
              <w:ind w:left="4488"/>
              <w:spacing w:after="0"/>
              <w:rPr>
                <w:sz w:val="20"/>
                <w:szCs w:val="20"/>
                <w:color w:val="auto"/>
              </w:rPr>
            </w:pPr>
            <w:r>
              <w:rPr>
                <w:rFonts w:ascii="Arial" w:cs="Arial" w:eastAsia="Arial" w:hAnsi="Arial"/>
                <w:sz w:val="14"/>
                <w:szCs w:val="14"/>
                <w:b w:val="1"/>
                <w:bCs w:val="1"/>
                <w:color w:val="auto"/>
              </w:rPr>
              <w:t>Grant Date (1)</w:t>
            </w:r>
          </w:p>
        </w:tc>
        <w:tc>
          <w:tcPr>
            <w:tcW w:w="1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 of RSUs (#)</w:t>
            </w:r>
          </w:p>
        </w:tc>
        <w:tc>
          <w:tcPr>
            <w:tcW w:w="1820" w:type="dxa"/>
            <w:vAlign w:val="bottom"/>
          </w:tcPr>
          <w:p>
            <w:pPr>
              <w:ind w:left="100"/>
              <w:spacing w:after="0"/>
              <w:rPr>
                <w:sz w:val="20"/>
                <w:szCs w:val="20"/>
                <w:color w:val="auto"/>
              </w:rPr>
            </w:pPr>
            <w:r>
              <w:rPr>
                <w:rFonts w:ascii="Arial" w:cs="Arial" w:eastAsia="Arial" w:hAnsi="Arial"/>
                <w:sz w:val="14"/>
                <w:szCs w:val="14"/>
                <w:b w:val="1"/>
                <w:bCs w:val="1"/>
                <w:color w:val="auto"/>
              </w:rPr>
              <w:t>Grant Date Fair Value ($)</w:t>
            </w:r>
          </w:p>
        </w:tc>
        <w:tc>
          <w:tcPr>
            <w:tcW w:w="0" w:type="dxa"/>
            <w:vAlign w:val="bottom"/>
          </w:tcPr>
          <w:p>
            <w:pPr>
              <w:spacing w:after="0"/>
              <w:rPr>
                <w:sz w:val="1"/>
                <w:szCs w:val="1"/>
                <w:color w:val="auto"/>
              </w:rPr>
            </w:pPr>
          </w:p>
        </w:tc>
      </w:tr>
      <w:tr>
        <w:trPr>
          <w:trHeight w:val="189"/>
        </w:trPr>
        <w:tc>
          <w:tcPr>
            <w:tcW w:w="1880" w:type="dxa"/>
            <w:vAlign w:val="bottom"/>
            <w:vMerge w:val="continue"/>
          </w:tcPr>
          <w:p>
            <w:pPr>
              <w:spacing w:after="0"/>
              <w:rPr>
                <w:sz w:val="16"/>
                <w:szCs w:val="16"/>
                <w:color w:val="auto"/>
              </w:rPr>
            </w:pPr>
          </w:p>
        </w:tc>
        <w:tc>
          <w:tcPr>
            <w:tcW w:w="58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5880" w:type="dxa"/>
            <w:vAlign w:val="bottom"/>
            <w:shd w:val="clear" w:color="auto" w:fill="CCEEFF"/>
          </w:tcPr>
          <w:p>
            <w:pPr>
              <w:jc w:val="center"/>
              <w:ind w:left="4488"/>
              <w:spacing w:after="0"/>
              <w:rPr>
                <w:sz w:val="20"/>
                <w:szCs w:val="20"/>
                <w:color w:val="auto"/>
              </w:rPr>
            </w:pPr>
            <w:r>
              <w:rPr>
                <w:rFonts w:ascii="Arial" w:cs="Arial" w:eastAsia="Arial" w:hAnsi="Arial"/>
                <w:sz w:val="14"/>
                <w:szCs w:val="14"/>
                <w:color w:val="auto"/>
              </w:rPr>
              <w:t>2/21/2025</w:t>
            </w:r>
          </w:p>
        </w:tc>
        <w:tc>
          <w:tcPr>
            <w:tcW w:w="16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112,500</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402,750</w:t>
            </w:r>
          </w:p>
        </w:tc>
        <w:tc>
          <w:tcPr>
            <w:tcW w:w="0" w:type="dxa"/>
            <w:vAlign w:val="bottom"/>
          </w:tcPr>
          <w:p>
            <w:pPr>
              <w:spacing w:after="0"/>
              <w:rPr>
                <w:sz w:val="1"/>
                <w:szCs w:val="1"/>
                <w:color w:val="auto"/>
              </w:rPr>
            </w:pPr>
          </w:p>
        </w:tc>
      </w:tr>
      <w:tr>
        <w:trPr>
          <w:trHeight w:val="194"/>
        </w:trPr>
        <w:tc>
          <w:tcPr>
            <w:tcW w:w="1880" w:type="dxa"/>
            <w:vAlign w:val="bottom"/>
          </w:tcPr>
          <w:p>
            <w:pPr>
              <w:ind w:left="20"/>
              <w:spacing w:after="0"/>
              <w:rPr>
                <w:sz w:val="20"/>
                <w:szCs w:val="20"/>
                <w:color w:val="auto"/>
              </w:rPr>
            </w:pPr>
            <w:r>
              <w:rPr>
                <w:rFonts w:ascii="Arial" w:cs="Arial" w:eastAsia="Arial" w:hAnsi="Arial"/>
                <w:sz w:val="14"/>
                <w:szCs w:val="14"/>
                <w:color w:val="auto"/>
              </w:rPr>
              <w:t>Jeffrey Black</w:t>
            </w:r>
          </w:p>
        </w:tc>
        <w:tc>
          <w:tcPr>
            <w:tcW w:w="5880" w:type="dxa"/>
            <w:vAlign w:val="bottom"/>
          </w:tcPr>
          <w:p>
            <w:pPr>
              <w:jc w:val="center"/>
              <w:ind w:left="4488"/>
              <w:spacing w:after="0"/>
              <w:rPr>
                <w:sz w:val="20"/>
                <w:szCs w:val="20"/>
                <w:color w:val="auto"/>
              </w:rPr>
            </w:pPr>
            <w:r>
              <w:rPr>
                <w:rFonts w:ascii="Arial" w:cs="Arial" w:eastAsia="Arial" w:hAnsi="Arial"/>
                <w:sz w:val="14"/>
                <w:szCs w:val="14"/>
                <w:color w:val="auto"/>
              </w:rPr>
              <w:t>2/21/2025</w:t>
            </w: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15,000</w:t>
            </w:r>
          </w:p>
        </w:tc>
        <w:tc>
          <w:tcPr>
            <w:tcW w:w="1820" w:type="dxa"/>
            <w:vAlign w:val="bottom"/>
          </w:tcPr>
          <w:p>
            <w:pPr>
              <w:jc w:val="center"/>
              <w:spacing w:after="0"/>
              <w:rPr>
                <w:sz w:val="20"/>
                <w:szCs w:val="20"/>
                <w:color w:val="auto"/>
              </w:rPr>
            </w:pPr>
            <w:r>
              <w:rPr>
                <w:rFonts w:ascii="Arial" w:cs="Arial" w:eastAsia="Arial" w:hAnsi="Arial"/>
                <w:sz w:val="14"/>
                <w:szCs w:val="14"/>
                <w:color w:val="auto"/>
              </w:rPr>
              <w:t>53,700</w:t>
            </w:r>
          </w:p>
        </w:tc>
        <w:tc>
          <w:tcPr>
            <w:tcW w:w="0" w:type="dxa"/>
            <w:vAlign w:val="bottom"/>
          </w:tcPr>
          <w:p>
            <w:pPr>
              <w:spacing w:after="0"/>
              <w:rPr>
                <w:sz w:val="1"/>
                <w:szCs w:val="1"/>
                <w:color w:val="auto"/>
              </w:rPr>
            </w:pPr>
          </w:p>
        </w:tc>
      </w:tr>
      <w:tr>
        <w:trPr>
          <w:trHeight w:val="116"/>
        </w:trPr>
        <w:tc>
          <w:tcPr>
            <w:tcW w:w="1880" w:type="dxa"/>
            <w:vAlign w:val="bottom"/>
            <w:tcBorders>
              <w:bottom w:val="single" w:sz="8" w:color="auto"/>
            </w:tcBorders>
          </w:tcPr>
          <w:p>
            <w:pPr>
              <w:spacing w:after="0"/>
              <w:rPr>
                <w:sz w:val="10"/>
                <w:szCs w:val="10"/>
                <w:color w:val="auto"/>
              </w:rPr>
            </w:pPr>
          </w:p>
        </w:tc>
        <w:tc>
          <w:tcPr>
            <w:tcW w:w="5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260" w:hanging="534"/>
        <w:spacing w:after="0" w:line="251"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awards vest in equal annual installments commencing on the first anniversary of the grant date and ending on the fourth anniversary of the grant date, subject to the officer's continued employment.</w:t>
      </w:r>
    </w:p>
    <w:p>
      <w:pPr>
        <w:spacing w:after="0" w:line="141" w:lineRule="exact"/>
        <w:rPr>
          <w:rFonts w:ascii="Arial" w:cs="Arial" w:eastAsia="Arial" w:hAnsi="Arial"/>
          <w:sz w:val="16"/>
          <w:szCs w:val="16"/>
          <w:color w:val="auto"/>
        </w:rPr>
      </w:pPr>
    </w:p>
    <w:p>
      <w:pPr>
        <w:ind w:left="560" w:right="180" w:hanging="534"/>
        <w:spacing w:after="0" w:line="234"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Amounts represent the aggregate grant date fair value of restricted stock unit awards granted to the NEO,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rather than the amounts paid to or realized by the NEO. For a discussion of valuation assumptions used in the calculations, see Note 2 and Note 9 to our audited financial statements in our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9" w:name="page30"/>
    <w:bookmarkEnd w:id="29"/>
    <w:p>
      <w:pPr>
        <w:ind w:right="420"/>
        <w:spacing w:after="0" w:line="287" w:lineRule="auto"/>
        <w:rPr>
          <w:sz w:val="20"/>
          <w:szCs w:val="20"/>
          <w:color w:val="auto"/>
        </w:rPr>
      </w:pPr>
      <w:r>
        <w:rPr>
          <w:rFonts w:ascii="Arial" w:cs="Arial" w:eastAsia="Arial" w:hAnsi="Arial"/>
          <w:sz w:val="18"/>
          <w:szCs w:val="18"/>
          <w:color w:val="auto"/>
        </w:rPr>
        <w:t>The following table shows information regarding exercises of options to purchase our common stock and vesting of RSU awards held by each of our NEOs during the fiscal year ended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1080" w:type="dxa"/>
            <w:vAlign w:val="bottom"/>
          </w:tcPr>
          <w:p>
            <w:pPr>
              <w:jc w:val="center"/>
              <w:ind w:left="168"/>
              <w:spacing w:after="0" w:line="147" w:lineRule="exact"/>
              <w:rPr>
                <w:sz w:val="20"/>
                <w:szCs w:val="20"/>
                <w:color w:val="auto"/>
              </w:rPr>
            </w:pPr>
            <w:r>
              <w:rPr>
                <w:rFonts w:ascii="Arial" w:cs="Arial" w:eastAsia="Arial" w:hAnsi="Arial"/>
                <w:sz w:val="14"/>
                <w:szCs w:val="14"/>
                <w:b w:val="1"/>
                <w:bCs w:val="1"/>
                <w:color w:val="auto"/>
              </w:rPr>
              <w:t>Number of</w:t>
            </w:r>
          </w:p>
        </w:tc>
        <w:tc>
          <w:tcPr>
            <w:tcW w:w="242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rPr>
              <w:t>Value</w:t>
            </w:r>
          </w:p>
        </w:tc>
        <w:tc>
          <w:tcPr>
            <w:tcW w:w="1320" w:type="dxa"/>
            <w:vAlign w:val="bottom"/>
          </w:tcPr>
          <w:p>
            <w:pPr>
              <w:jc w:val="center"/>
              <w:ind w:left="368"/>
              <w:spacing w:after="0" w:line="147" w:lineRule="exact"/>
              <w:rPr>
                <w:sz w:val="20"/>
                <w:szCs w:val="20"/>
                <w:color w:val="auto"/>
              </w:rPr>
            </w:pPr>
            <w:r>
              <w:rPr>
                <w:rFonts w:ascii="Arial" w:cs="Arial" w:eastAsia="Arial" w:hAnsi="Arial"/>
                <w:sz w:val="14"/>
                <w:szCs w:val="14"/>
                <w:b w:val="1"/>
                <w:bCs w:val="1"/>
                <w:color w:val="auto"/>
              </w:rPr>
              <w:t>Number of</w:t>
            </w:r>
          </w:p>
        </w:tc>
        <w:tc>
          <w:tcPr>
            <w:tcW w:w="2420" w:type="dxa"/>
            <w:vAlign w:val="bottom"/>
            <w:vMerge w:val="restart"/>
          </w:tcPr>
          <w:p>
            <w:pPr>
              <w:jc w:val="center"/>
              <w:ind w:left="6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08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Shares</w:t>
            </w:r>
          </w:p>
        </w:tc>
        <w:tc>
          <w:tcPr>
            <w:tcW w:w="2420" w:type="dxa"/>
            <w:vAlign w:val="bottom"/>
            <w:gridSpan w:val="2"/>
            <w:vMerge w:val="continue"/>
          </w:tcPr>
          <w:p>
            <w:pPr>
              <w:spacing w:after="0"/>
              <w:rPr>
                <w:sz w:val="12"/>
                <w:szCs w:val="12"/>
                <w:color w:val="auto"/>
              </w:rPr>
            </w:pPr>
          </w:p>
        </w:tc>
        <w:tc>
          <w:tcPr>
            <w:tcW w:w="1320" w:type="dxa"/>
            <w:vAlign w:val="bottom"/>
          </w:tcPr>
          <w:p>
            <w:pPr>
              <w:jc w:val="center"/>
              <w:ind w:left="368"/>
              <w:spacing w:after="0" w:line="145" w:lineRule="exact"/>
              <w:rPr>
                <w:sz w:val="20"/>
                <w:szCs w:val="20"/>
                <w:color w:val="auto"/>
              </w:rPr>
            </w:pPr>
            <w:r>
              <w:rPr>
                <w:rFonts w:ascii="Arial" w:cs="Arial" w:eastAsia="Arial" w:hAnsi="Arial"/>
                <w:sz w:val="14"/>
                <w:szCs w:val="14"/>
                <w:b w:val="1"/>
                <w:bCs w:val="1"/>
                <w:color w:val="auto"/>
              </w:rPr>
              <w:t>Shares</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08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Acquired</w:t>
            </w:r>
          </w:p>
        </w:tc>
        <w:tc>
          <w:tcPr>
            <w:tcW w:w="2420" w:type="dxa"/>
            <w:vAlign w:val="bottom"/>
            <w:gridSpan w:val="2"/>
          </w:tcPr>
          <w:p>
            <w:pPr>
              <w:jc w:val="center"/>
              <w:ind w:left="168"/>
              <w:spacing w:after="0" w:line="135" w:lineRule="exact"/>
              <w:rPr>
                <w:sz w:val="20"/>
                <w:szCs w:val="20"/>
                <w:color w:val="auto"/>
              </w:rPr>
            </w:pPr>
            <w:r>
              <w:rPr>
                <w:rFonts w:ascii="Arial" w:cs="Arial" w:eastAsia="Arial" w:hAnsi="Arial"/>
                <w:sz w:val="14"/>
                <w:szCs w:val="14"/>
                <w:b w:val="1"/>
                <w:bCs w:val="1"/>
                <w:color w:val="auto"/>
              </w:rPr>
              <w:t>Realized</w:t>
            </w:r>
          </w:p>
        </w:tc>
        <w:tc>
          <w:tcPr>
            <w:tcW w:w="1320" w:type="dxa"/>
            <w:vAlign w:val="bottom"/>
          </w:tcPr>
          <w:p>
            <w:pPr>
              <w:jc w:val="center"/>
              <w:ind w:left="348"/>
              <w:spacing w:after="0" w:line="135" w:lineRule="exact"/>
              <w:rPr>
                <w:sz w:val="20"/>
                <w:szCs w:val="20"/>
                <w:color w:val="auto"/>
              </w:rPr>
            </w:pPr>
            <w:r>
              <w:rPr>
                <w:rFonts w:ascii="Arial" w:cs="Arial" w:eastAsia="Arial" w:hAnsi="Arial"/>
                <w:sz w:val="14"/>
                <w:szCs w:val="14"/>
                <w:b w:val="1"/>
                <w:bCs w:val="1"/>
                <w:color w:val="auto"/>
              </w:rPr>
              <w:t>Acquired</w:t>
            </w:r>
          </w:p>
        </w:tc>
        <w:tc>
          <w:tcPr>
            <w:tcW w:w="2420" w:type="dxa"/>
            <w:vAlign w:val="bottom"/>
          </w:tcPr>
          <w:p>
            <w:pPr>
              <w:jc w:val="center"/>
              <w:ind w:left="608"/>
              <w:spacing w:after="0" w:line="135"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on Exercise</w:t>
            </w:r>
          </w:p>
        </w:tc>
        <w:tc>
          <w:tcPr>
            <w:tcW w:w="242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on Exercise</w:t>
            </w:r>
          </w:p>
        </w:tc>
        <w:tc>
          <w:tcPr>
            <w:tcW w:w="13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rPr>
              <w:t>on Vesting</w:t>
            </w:r>
          </w:p>
        </w:tc>
        <w:tc>
          <w:tcPr>
            <w:tcW w:w="24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08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180" w:type="dxa"/>
            <w:vAlign w:val="bottom"/>
          </w:tcPr>
          <w:p>
            <w:pPr>
              <w:jc w:val="center"/>
              <w:ind w:left="4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320" w:type="dxa"/>
            <w:vAlign w:val="bottom"/>
          </w:tcPr>
          <w:p>
            <w:pPr>
              <w:jc w:val="center"/>
              <w:ind w:left="348"/>
              <w:spacing w:after="0"/>
              <w:rPr>
                <w:sz w:val="20"/>
                <w:szCs w:val="20"/>
                <w:color w:val="auto"/>
              </w:rPr>
            </w:pPr>
            <w:r>
              <w:rPr>
                <w:rFonts w:ascii="Arial" w:cs="Arial" w:eastAsia="Arial" w:hAnsi="Arial"/>
                <w:sz w:val="14"/>
                <w:szCs w:val="14"/>
                <w:b w:val="1"/>
                <w:bCs w:val="1"/>
                <w:color w:val="auto"/>
              </w:rPr>
              <w:t>(#)</w:t>
            </w:r>
          </w:p>
        </w:tc>
        <w:tc>
          <w:tcPr>
            <w:tcW w:w="2420" w:type="dxa"/>
            <w:vAlign w:val="bottom"/>
          </w:tcPr>
          <w:p>
            <w:pPr>
              <w:jc w:val="center"/>
              <w:ind w:left="58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108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w:t>
            </w:r>
          </w:p>
        </w:tc>
        <w:tc>
          <w:tcPr>
            <w:tcW w:w="242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131,250</w:t>
            </w:r>
          </w:p>
        </w:tc>
        <w:tc>
          <w:tcPr>
            <w:tcW w:w="242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1,194,375</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4"/>
                <w:szCs w:val="14"/>
                <w:color w:val="auto"/>
              </w:rPr>
              <w:t>Jeffrey Black</w:t>
            </w:r>
          </w:p>
        </w:tc>
        <w:tc>
          <w:tcPr>
            <w:tcW w:w="1080" w:type="dxa"/>
            <w:vAlign w:val="bottom"/>
          </w:tcPr>
          <w:p>
            <w:pPr>
              <w:jc w:val="center"/>
              <w:ind w:left="168"/>
              <w:spacing w:after="0"/>
              <w:rPr>
                <w:sz w:val="20"/>
                <w:szCs w:val="20"/>
                <w:color w:val="auto"/>
              </w:rPr>
            </w:pPr>
            <w:r>
              <w:rPr>
                <w:rFonts w:ascii="Arial" w:cs="Arial" w:eastAsia="Arial" w:hAnsi="Arial"/>
                <w:sz w:val="14"/>
                <w:szCs w:val="14"/>
                <w:color w:val="auto"/>
              </w:rPr>
              <w:t>—</w:t>
            </w:r>
          </w:p>
        </w:tc>
        <w:tc>
          <w:tcPr>
            <w:tcW w:w="2420" w:type="dxa"/>
            <w:vAlign w:val="bottom"/>
            <w:gridSpan w:val="2"/>
          </w:tcPr>
          <w:p>
            <w:pPr>
              <w:jc w:val="center"/>
              <w:ind w:left="16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left="368"/>
              <w:spacing w:after="0"/>
              <w:rPr>
                <w:sz w:val="20"/>
                <w:szCs w:val="20"/>
                <w:color w:val="auto"/>
              </w:rPr>
            </w:pPr>
            <w:r>
              <w:rPr>
                <w:rFonts w:ascii="Arial" w:cs="Arial" w:eastAsia="Arial" w:hAnsi="Arial"/>
                <w:sz w:val="14"/>
                <w:szCs w:val="14"/>
                <w:color w:val="auto"/>
              </w:rPr>
              <w:t>56,250</w:t>
            </w:r>
          </w:p>
        </w:tc>
        <w:tc>
          <w:tcPr>
            <w:tcW w:w="2420" w:type="dxa"/>
            <w:vAlign w:val="bottom"/>
          </w:tcPr>
          <w:p>
            <w:pPr>
              <w:jc w:val="center"/>
              <w:ind w:left="588"/>
              <w:spacing w:after="0"/>
              <w:rPr>
                <w:sz w:val="20"/>
                <w:szCs w:val="20"/>
                <w:color w:val="auto"/>
              </w:rPr>
            </w:pPr>
            <w:r>
              <w:rPr>
                <w:rFonts w:ascii="Arial" w:cs="Arial" w:eastAsia="Arial" w:hAnsi="Arial"/>
                <w:sz w:val="14"/>
                <w:szCs w:val="14"/>
                <w:color w:val="auto"/>
              </w:rPr>
              <w:t>554,625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1830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7" w:lineRule="exact"/>
        <w:rPr>
          <w:sz w:val="20"/>
          <w:szCs w:val="20"/>
          <w:color w:val="auto"/>
        </w:rPr>
      </w:pPr>
    </w:p>
    <w:p>
      <w:pPr>
        <w:ind w:left="560" w:right="160" w:hanging="534"/>
        <w:spacing w:after="0" w:line="251"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value realized is calculated by multiplying the number of vested shares by the closing price of our common stock on the Nasdaq Global Market on the day prior to the applicable vesting date.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currently maintain a 401(k) retirement savings plan (the “401(k) Plan”) that allows eligible employees to defer a portion of their compensation, within limits prescribed by the Internal Revenue Code, on a pre-tax basis through contributions to the 401(k) Plan. Our NEOs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through our 401(k) Plan, and making matching contributions, adds to the overall desirability of our executive compensation package and further incentivizes our employees, including our NEOs, in accordance with our compensation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NEOs are eligible to participate in our health and welfare plans to the same general extent as all full-time employees, including:</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paid-time-off.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our NEOs with any other perquisites or other personal benefits.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Tax Gross-Ups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generally have not made gross-up payments to cover our NEOs' personal income taxes that may pertain to any of the compensation paid or provided by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nonqualified defined contribution plans or other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NEOs may become entitled to certain benefits or enhanced benefits upon a termination of employment pursuant to the Exagen Inc. Amended and Restated Executive Change in Control and Severance Plan (the "Amended and Restated Severance Plan"), as explained in further detail below. In addition, stock options granted to our employees, including our NEOs, may be subject to acceleration in connection with a change in control under our equity plans.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25, 2022, the Compensation Committee adopted the Amended and Restated Severance Plan. The Amended and Restated Severance Plan is intended to provide severance protections to a select group of management or highly compensated employees, including our NEOs, in the event of a qualifying termination of employment with us. The Amended and Restated Severance Plan superseded any and all severance plans, separation policies, the provisions of any offer letters or any agreement that provided for severance payments and benefits applying to our executives who are party to the Amended and Restated Severance Plan.</w:t>
      </w:r>
    </w:p>
    <w:p>
      <w:pPr>
        <w:spacing w:after="0" w:line="20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Under the Amended and Restated Severance Plan, in the event that we terminate an executive's employment without "cause" and at any time, other than within twelve months following a "change in control," the executive will be eligible to receive the following payments and benefits:</w:t>
      </w:r>
    </w:p>
    <w:p>
      <w:pPr>
        <w:spacing w:after="0" w:line="63" w:lineRule="exact"/>
        <w:rPr>
          <w:sz w:val="20"/>
          <w:szCs w:val="20"/>
          <w:color w:val="auto"/>
        </w:rPr>
      </w:pPr>
    </w:p>
    <w:p>
      <w:pPr>
        <w:ind w:left="660" w:right="2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cash payment equal to 50% (or, for Mr. Aballi, 75%) of the executive's then-current annual base salary rate for the year in which the termination occurs, to be paid in a lump sum on the 30th day following the executive's termination;</w:t>
      </w:r>
    </w:p>
    <w:p>
      <w:pPr>
        <w:spacing w:after="0" w:line="44"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 and</w:t>
      </w:r>
    </w:p>
    <w:p>
      <w:pPr>
        <w:spacing w:after="0" w:line="62" w:lineRule="exact"/>
        <w:rPr>
          <w:rFonts w:ascii="Arial" w:cs="Arial" w:eastAsia="Arial" w:hAnsi="Arial"/>
          <w:sz w:val="18"/>
          <w:szCs w:val="18"/>
          <w:color w:val="auto"/>
        </w:rPr>
      </w:pPr>
    </w:p>
    <w:p>
      <w:pPr>
        <w:ind w:left="660" w:right="7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Company-subsidized premium payments under the Consolidated Omnibus Budget Reconciliation Act of 1985, as amended ("COBRA"), for the executive and his or her covered dependents for up to 6 (or, for Mr. Aballi, 9) months.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Amended and Restated Severance Plan also provides that in the event of a termination of an executive's employment by us without "cause" or by the executive for "good reason," in either case, on or within twelve months following a "change in control," the executive will be eligible to receive the following payments and benefits:</w:t>
      </w:r>
    </w:p>
    <w:p>
      <w:pPr>
        <w:spacing w:after="0" w:line="63" w:lineRule="exact"/>
        <w:rPr>
          <w:sz w:val="20"/>
          <w:szCs w:val="20"/>
          <w:color w:val="auto"/>
        </w:rPr>
      </w:pPr>
    </w:p>
    <w:p>
      <w:pPr>
        <w:ind w:left="660" w:right="8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cash payment equal to 100% (or, for Mr. Aballi, 125%) of the executive's then-current annual base salary rate for the year in which the termination occurs, to be paid in a lump sum on the 30th day following the executive's termination;</w:t>
      </w:r>
    </w:p>
    <w:p>
      <w:pPr>
        <w:spacing w:after="0" w:line="44"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w:t>
      </w:r>
    </w:p>
    <w:p>
      <w:pPr>
        <w:spacing w:after="0" w:line="62"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Company-subsidized COBRA premium payments for the executive and his or her covered dependents for up to 12 (or, for Mr. Aballi, 15) months;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full accelerated vesting of all outstanding equity awards that vest solely based on the passage of time.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executive's right to receive the severance payments and benefits described above is subject to the executive's delivery and, as applicable, non-revocation of a general release of claims in our favor and the executive's continued compliance with any applicable restrictive covenants.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 the event that any payment under the Amended and Restated Severance Plan, together with any other amounts we paid to the executive, would subject the executive to an excise tax under Section 4999 of the Internal Revenue Code, such payments will be reduced to the extent that such reduction would produce a better net after-tax result for the executive.</w:t>
      </w:r>
    </w:p>
    <w:p>
      <w:pPr>
        <w:spacing w:after="0" w:line="19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For additional discussion, please see “Equity Compensation” and "Outstanding Equity Awards at 2025 Fiscal Year-End." Other than the benefits described above, none of our NEOs are entitled to any severance or change in control benefits.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Offer Letters and Employment Agreements with our NEOs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John Aballi</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2022, we entered into an employment agreement with Mr. Aballi, which provides for an annual base salary and annual target performance bonus of up to 50% of his base salary and an equity award of restricted stock units representing the contingent right to receive up to 350,000 shares of Company common stock, which was granted on October 16, 2023. Mr. Aballi’s employment agreement also provides that Mr. Aballi's employment will continue until terminated by either Mr. Aballi or the Company on no less than thirty days' written notice. Mr. Aballi’s employment agreement also deems him eligible to participate in the Amended and Restated Severance Plan as a Tier 1 Participant, subject to the terms and conditions of the Amended and Restated Severance Plan.</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March 2025, the Compensation Committee approved an increase to Mr. Aballi's annual target performance bonus from 50% to 55% of his base salary. In February 2026, the Compensation Committee approved an increase of the annual target performance bonus to 65% of his base salary.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Jeffrey Black</w:t>
      </w:r>
    </w:p>
    <w:p>
      <w:pPr>
        <w:spacing w:after="0" w:line="250"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In July 2024, we entered into an employment agreement with Mr. Black, which provides for an annual base salary annual target performance bonus of up to 50% of his base salary and an equity award of restricted stock units representing the contingent right to receive up to 225,000 shares of Company common stock, which was granted on September 1, 2024. Mr. Black’s employment agreement also provides that Mr.</w:t>
      </w:r>
    </w:p>
    <w:p>
      <w:pPr>
        <w:spacing w:after="0" w:line="1"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Black’s employment will continue until terminated by either Mr. Black or the Company on no less than thirty days’ written notice. Mr. Black’s employment agreement also deems him eligible to participate in the Amended and Restated Severance Plan as a Tier 2 Participant, subject to the terms and conditions of the Amended and Restated Severance Plan.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Outstanding Equity Awards at 2025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the outstanding equity incentive plan awards held by each NEO as of December 31, 2025. Unless otherwise indicated, each option listed in the following table was granted under the 2019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Number of</w:t>
            </w:r>
          </w:p>
        </w:tc>
        <w:tc>
          <w:tcPr>
            <w:tcW w:w="16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Number of</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 Awards</w:t>
            </w:r>
          </w:p>
        </w:tc>
        <w:tc>
          <w:tcPr>
            <w:tcW w:w="34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Securities</w:t>
            </w:r>
          </w:p>
        </w:tc>
        <w:tc>
          <w:tcPr>
            <w:tcW w:w="1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Securities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Underlying</w:t>
            </w:r>
          </w:p>
        </w:tc>
        <w:tc>
          <w:tcPr>
            <w:tcW w:w="16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Underlying</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Number of Shares</w:t>
            </w:r>
          </w:p>
        </w:tc>
        <w:tc>
          <w:tcPr>
            <w:tcW w:w="34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Unexercised</w:t>
            </w:r>
          </w:p>
        </w:tc>
        <w:tc>
          <w:tcPr>
            <w:tcW w:w="16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Unexercised</w:t>
            </w: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 Price</w:t>
            </w:r>
          </w:p>
        </w:tc>
        <w:tc>
          <w:tcPr>
            <w:tcW w:w="1180" w:type="dxa"/>
            <w:vAlign w:val="bottom"/>
            <w:gridSpan w:val="2"/>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or</w:t>
            </w:r>
          </w:p>
        </w:tc>
        <w:tc>
          <w:tcPr>
            <w:tcW w:w="34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Units of Stock that</w:t>
            </w:r>
          </w:p>
        </w:tc>
        <w:tc>
          <w:tcPr>
            <w:tcW w:w="0" w:type="dxa"/>
            <w:vAlign w:val="bottom"/>
          </w:tcPr>
          <w:p>
            <w:pPr>
              <w:spacing w:after="0"/>
              <w:rPr>
                <w:sz w:val="1"/>
                <w:szCs w:val="1"/>
                <w:color w:val="auto"/>
              </w:rPr>
            </w:pPr>
          </w:p>
        </w:tc>
      </w:tr>
      <w:tr>
        <w:trPr>
          <w:trHeight w:val="148"/>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Grant Date</w:t>
            </w:r>
          </w:p>
        </w:tc>
        <w:tc>
          <w:tcPr>
            <w:tcW w:w="200" w:type="dxa"/>
            <w:vAlign w:val="bottom"/>
            <w:vMerge w:val="restart"/>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Options</w:t>
            </w: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Options</w:t>
            </w:r>
          </w:p>
        </w:tc>
        <w:tc>
          <w:tcPr>
            <w:tcW w:w="1180" w:type="dxa"/>
            <w:vAlign w:val="bottom"/>
            <w:gridSpan w:val="2"/>
            <w:vMerge w:val="continue"/>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Expiration</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Units of Stock that</w:t>
            </w: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 (#)</w:t>
            </w: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 (#)(1)</w:t>
            </w: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Have Not Vested (#)</w:t>
            </w:r>
          </w:p>
        </w:tc>
        <w:tc>
          <w:tcPr>
            <w:tcW w:w="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 Vested ($)(2)</w:t>
            </w:r>
          </w:p>
        </w:tc>
        <w:tc>
          <w:tcPr>
            <w:tcW w:w="0" w:type="dxa"/>
            <w:vAlign w:val="bottom"/>
          </w:tcPr>
          <w:p>
            <w:pPr>
              <w:spacing w:after="0"/>
              <w:rPr>
                <w:sz w:val="1"/>
                <w:szCs w:val="1"/>
                <w:color w:val="auto"/>
              </w:rPr>
            </w:pPr>
          </w:p>
        </w:tc>
      </w:tr>
      <w:tr>
        <w:trPr>
          <w:trHeight w:val="196"/>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John Aballi</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10/16/2022</w:t>
            </w:r>
          </w:p>
        </w:tc>
        <w:tc>
          <w:tcPr>
            <w:tcW w:w="2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87,500</w:t>
            </w: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532,000</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02/21/2024</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131,250</w:t>
            </w:r>
          </w:p>
        </w:tc>
        <w:tc>
          <w:tcPr>
            <w:tcW w:w="340" w:type="dxa"/>
            <w:vAlign w:val="bottom"/>
          </w:tcPr>
          <w:p>
            <w:pPr>
              <w:jc w:val="center"/>
              <w:spacing w:after="0"/>
              <w:rPr>
                <w:sz w:val="20"/>
                <w:szCs w:val="20"/>
                <w:color w:val="auto"/>
              </w:rPr>
            </w:pPr>
            <w:r>
              <w:rPr>
                <w:rFonts w:ascii="Arial" w:cs="Arial" w:eastAsia="Arial" w:hAnsi="Arial"/>
                <w:sz w:val="14"/>
                <w:szCs w:val="14"/>
                <w:color w:val="auto"/>
              </w:rPr>
              <w:t>(4)</w:t>
            </w:r>
          </w:p>
        </w:tc>
        <w:tc>
          <w:tcPr>
            <w:tcW w:w="1420" w:type="dxa"/>
            <w:vAlign w:val="bottom"/>
          </w:tcPr>
          <w:p>
            <w:pPr>
              <w:jc w:val="right"/>
              <w:spacing w:after="0"/>
              <w:rPr>
                <w:sz w:val="20"/>
                <w:szCs w:val="20"/>
                <w:color w:val="auto"/>
              </w:rPr>
            </w:pPr>
            <w:r>
              <w:rPr>
                <w:rFonts w:ascii="Arial" w:cs="Arial" w:eastAsia="Arial" w:hAnsi="Arial"/>
                <w:sz w:val="14"/>
                <w:szCs w:val="14"/>
                <w:color w:val="auto"/>
              </w:rPr>
              <w:t>798,000</w:t>
            </w:r>
          </w:p>
        </w:tc>
        <w:tc>
          <w:tcPr>
            <w:tcW w:w="0" w:type="dxa"/>
            <w:vAlign w:val="bottom"/>
          </w:tcPr>
          <w:p>
            <w:pPr>
              <w:spacing w:after="0"/>
              <w:rPr>
                <w:sz w:val="1"/>
                <w:szCs w:val="1"/>
                <w:color w:val="auto"/>
              </w:rPr>
            </w:pPr>
          </w:p>
        </w:tc>
      </w:tr>
      <w:tr>
        <w:trPr>
          <w:trHeight w:val="207"/>
        </w:trPr>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02/21/2025</w:t>
            </w:r>
          </w:p>
        </w:tc>
        <w:tc>
          <w:tcPr>
            <w:tcW w:w="2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2/21/2035</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112,500</w:t>
            </w: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684,000</w:t>
            </w:r>
          </w:p>
        </w:tc>
        <w:tc>
          <w:tcPr>
            <w:tcW w:w="0" w:type="dxa"/>
            <w:vAlign w:val="bottom"/>
          </w:tcPr>
          <w:p>
            <w:pPr>
              <w:spacing w:after="0"/>
              <w:rPr>
                <w:sz w:val="1"/>
                <w:szCs w:val="1"/>
                <w:color w:val="auto"/>
              </w:rPr>
            </w:pPr>
          </w:p>
        </w:tc>
      </w:tr>
      <w:tr>
        <w:trPr>
          <w:trHeight w:val="198"/>
        </w:trPr>
        <w:tc>
          <w:tcPr>
            <w:tcW w:w="1240" w:type="dxa"/>
            <w:vAlign w:val="bottom"/>
            <w:gridSpan w:val="2"/>
          </w:tcPr>
          <w:p>
            <w:pPr>
              <w:ind w:left="20"/>
              <w:spacing w:after="0"/>
              <w:rPr>
                <w:sz w:val="20"/>
                <w:szCs w:val="20"/>
                <w:color w:val="auto"/>
              </w:rPr>
            </w:pPr>
            <w:r>
              <w:rPr>
                <w:rFonts w:ascii="Arial" w:cs="Arial" w:eastAsia="Arial" w:hAnsi="Arial"/>
                <w:sz w:val="14"/>
                <w:szCs w:val="14"/>
                <w:color w:val="auto"/>
              </w:rPr>
              <w:t>Jeff Black</w:t>
            </w: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09/01/2024</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168,750</w:t>
            </w:r>
          </w:p>
        </w:tc>
        <w:tc>
          <w:tcPr>
            <w:tcW w:w="340" w:type="dxa"/>
            <w:vAlign w:val="bottom"/>
          </w:tcPr>
          <w:p>
            <w:pPr>
              <w:jc w:val="center"/>
              <w:spacing w:after="0"/>
              <w:rPr>
                <w:sz w:val="20"/>
                <w:szCs w:val="20"/>
                <w:color w:val="auto"/>
              </w:rPr>
            </w:pPr>
            <w:r>
              <w:rPr>
                <w:rFonts w:ascii="Arial" w:cs="Arial" w:eastAsia="Arial" w:hAnsi="Arial"/>
                <w:sz w:val="14"/>
                <w:szCs w:val="14"/>
                <w:color w:val="auto"/>
              </w:rPr>
              <w:t>(3)</w:t>
            </w:r>
          </w:p>
        </w:tc>
        <w:tc>
          <w:tcPr>
            <w:tcW w:w="1420" w:type="dxa"/>
            <w:vAlign w:val="bottom"/>
          </w:tcPr>
          <w:p>
            <w:pPr>
              <w:jc w:val="right"/>
              <w:spacing w:after="0"/>
              <w:rPr>
                <w:sz w:val="20"/>
                <w:szCs w:val="20"/>
                <w:color w:val="auto"/>
              </w:rPr>
            </w:pPr>
            <w:r>
              <w:rPr>
                <w:rFonts w:ascii="Arial" w:cs="Arial" w:eastAsia="Arial" w:hAnsi="Arial"/>
                <w:sz w:val="14"/>
                <w:szCs w:val="14"/>
                <w:color w:val="auto"/>
              </w:rPr>
              <w:t>1,026,000</w:t>
            </w:r>
          </w:p>
        </w:tc>
        <w:tc>
          <w:tcPr>
            <w:tcW w:w="0" w:type="dxa"/>
            <w:vAlign w:val="bottom"/>
          </w:tcPr>
          <w:p>
            <w:pPr>
              <w:spacing w:after="0"/>
              <w:rPr>
                <w:sz w:val="1"/>
                <w:szCs w:val="1"/>
                <w:color w:val="auto"/>
              </w:rPr>
            </w:pPr>
          </w:p>
        </w:tc>
      </w:tr>
      <w:tr>
        <w:trPr>
          <w:trHeight w:val="207"/>
        </w:trPr>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02/21/2025</w:t>
            </w:r>
          </w:p>
        </w:tc>
        <w:tc>
          <w:tcPr>
            <w:tcW w:w="2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2/21/2035</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w:t>
            </w: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91,200</w:t>
            </w:r>
          </w:p>
        </w:tc>
        <w:tc>
          <w:tcPr>
            <w:tcW w:w="0" w:type="dxa"/>
            <w:vAlign w:val="bottom"/>
          </w:tcPr>
          <w:p>
            <w:pPr>
              <w:spacing w:after="0"/>
              <w:rPr>
                <w:sz w:val="1"/>
                <w:szCs w:val="1"/>
                <w:color w:val="auto"/>
              </w:rPr>
            </w:pPr>
          </w:p>
        </w:tc>
      </w:tr>
      <w:tr>
        <w:trPr>
          <w:trHeight w:val="108"/>
        </w:trPr>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60" w:hanging="634"/>
        <w:spacing w:after="0" w:line="23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 In addition, the option may become fully vested upon a qualifying termination of employment in connection with a change in control.</w:t>
      </w:r>
    </w:p>
    <w:p>
      <w:pPr>
        <w:spacing w:after="0" w:line="150" w:lineRule="exact"/>
        <w:rPr>
          <w:rFonts w:ascii="Arial" w:cs="Arial" w:eastAsia="Arial" w:hAnsi="Arial"/>
          <w:sz w:val="16"/>
          <w:szCs w:val="16"/>
          <w:color w:val="auto"/>
        </w:rPr>
      </w:pPr>
    </w:p>
    <w:p>
      <w:pPr>
        <w:ind w:left="660" w:right="720" w:hanging="634"/>
        <w:spacing w:after="0" w:line="25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market value of shares of restricted stock units that have not vested is calculated by multiplying the fair market value of a share of our Common Stock on December 31, 2025 ($6.08) by the number of unvested shares of RSUs outstanding under the award.</w:t>
      </w:r>
    </w:p>
    <w:p>
      <w:pPr>
        <w:spacing w:after="0" w:line="141" w:lineRule="exact"/>
        <w:rPr>
          <w:rFonts w:ascii="Arial" w:cs="Arial" w:eastAsia="Arial" w:hAnsi="Arial"/>
          <w:sz w:val="16"/>
          <w:szCs w:val="16"/>
          <w:color w:val="auto"/>
        </w:rPr>
      </w:pPr>
    </w:p>
    <w:p>
      <w:pPr>
        <w:ind w:left="660" w:right="340" w:hanging="634"/>
        <w:spacing w:after="0" w:line="25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RSUs will vest with respect to 25% of the restricted stock units on each of the first, second, third and fourth anniversaries of the grant date, subject to the grantee's continued service. In addition, the award may become fully vested upon a change in control.</w:t>
      </w:r>
    </w:p>
    <w:p>
      <w:pPr>
        <w:spacing w:after="0" w:line="141" w:lineRule="exact"/>
        <w:rPr>
          <w:rFonts w:ascii="Arial" w:cs="Arial" w:eastAsia="Arial" w:hAnsi="Arial"/>
          <w:sz w:val="16"/>
          <w:szCs w:val="16"/>
          <w:color w:val="auto"/>
        </w:rPr>
      </w:pPr>
    </w:p>
    <w:p>
      <w:pPr>
        <w:ind w:left="660" w:right="300" w:hanging="634"/>
        <w:spacing w:after="0" w:line="23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RSUs will vest with respect to 25% of the restricted stock units on each of the first, second, third and fourth anniversaries of March 1, 2024, subject to the grantee’s continued service. In addition, the award may become fully vested upon a qualifying termination of employment in connection with a change in control.</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2019, the Board adopted the Non-Employee Director Compensation Program (the "Director Compensation Program") that</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became effective in connection with our initial public offering. The Board amended the Director Compensation Program in July 2025 and in February 2026 (as amended, the “Amended and Restated Director Compensation Program”).</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Amended and Restated Director Compensation Program, non-employee directors receive a cash retainer for service on the Board and for service on each committee of which the director is a member. The Chairman of the Board and of each committee receives a higher retainer for such service. In connection with Dr. Nova’s appointment as Executive Chairman of the Board, the Board approved an aggregate annual cash retainer of $100,000 for Dr. Nova in lieu of any retainer under the director compensation program. Cash retainers are payable quarterly in arrears. Annual cash retainers are pro-rated for any partial calendar quarter of service.</w:t>
      </w:r>
    </w:p>
    <w:p>
      <w:pPr>
        <w:spacing w:after="0" w:line="20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fees paid to non-employee directors for service on the Board under the Amended and Restated Director Compensation Program are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6"/>
          <w:szCs w:val="16"/>
          <w:b w:val="1"/>
          <w:bCs w:val="1"/>
          <w:color w:val="auto"/>
        </w:rPr>
        <w:t>Cash Compensation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Non-Employee Director annual retainer</w:t>
            </w:r>
          </w:p>
        </w:tc>
        <w:tc>
          <w:tcPr>
            <w:tcW w:w="362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Incremental annual retainer for the Chairman</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Chair incremental annual retainers</w:t>
            </w:r>
          </w:p>
        </w:tc>
        <w:tc>
          <w:tcPr>
            <w:tcW w:w="3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Audit</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17"/>
        </w:trPr>
        <w:tc>
          <w:tcPr>
            <w:tcW w:w="6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Committee member incremental annual retainers</w:t>
            </w:r>
          </w:p>
        </w:tc>
        <w:tc>
          <w:tcPr>
            <w:tcW w:w="3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Audit</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17"/>
        </w:trPr>
        <w:tc>
          <w:tcPr>
            <w:tcW w:w="6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3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5"/>
        </w:trPr>
        <w:tc>
          <w:tcPr>
            <w:tcW w:w="6400" w:type="dxa"/>
            <w:vAlign w:val="bottom"/>
          </w:tcPr>
          <w:p>
            <w:pPr>
              <w:ind w:left="460"/>
              <w:spacing w:after="0"/>
              <w:rPr>
                <w:sz w:val="20"/>
                <w:szCs w:val="20"/>
                <w:color w:val="auto"/>
              </w:rPr>
            </w:pPr>
            <w:r>
              <w:rPr>
                <w:rFonts w:ascii="Arial" w:cs="Arial" w:eastAsia="Arial" w:hAnsi="Arial"/>
                <w:sz w:val="16"/>
                <w:szCs w:val="16"/>
                <w:color w:val="auto"/>
              </w:rPr>
              <w:t>Nominating and Corporate Governance</w:t>
            </w:r>
          </w:p>
        </w:tc>
        <w:tc>
          <w:tcPr>
            <w:tcW w:w="36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r>
    </w:tbl>
    <w:p>
      <w:pPr>
        <w:spacing w:after="0" w:line="3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under the Director Compensation Program in effect until July 2025, each of our non-employee directors was eligible to receive an annual stock option grant on the date of the annual meeting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 Additionally, new non-employee directors were eligible to receive a stock option to purchase 15,000 shares of our Common Stock on the date on which such eligible director was appointed or elected to serve on the Board, and shall vest as to 1/36th of the shares underlying the option on each monthly anniversary of the grant date, subject to the eligible director's continued service through the applicable vesting date. In lieu of the foregoing, on each of June 10, 2024 and June 10, 2025, we granted Dr. Nova, our Executive Chairman, stock options to purchase 13,500 shares of our Common Stock. The June 10, 2024 grant fully vested on June 10, 2025 and the June 10, 2025 grant will fully vest on June 10, 2026, subject to Dr. Nova’s continued service on the Board through such vesting date.</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Amended and Restated Director Compensation Program approved in July 2025 and further amended in February 2026 modified the equity award amounts that our non-employee directors are eligible to receive. Under the Amended and Restated Director Compensation Program currently in effect, each eligible director that is newly appointed or elected to serve on the Board will be granted an initial equity award of options to purchase our Common Stock valued at $200,000 as of the date of grant, which shall vest as to 1/36th of the shares underlying the option on each monthly anniversary of the grant date, subject to the eligible director's continued service through the applicable vesting date. Furthermore, beginning in the 2026 calendar year, the eligible continuing non-employee directors will be granted a stock option on the date of the annual meeting (including this Annual Meeting) to purchase shares of our Common Stock valued at $100,000 as of the date of grant, which will vest on the earlier to occur of (i) the one-year anniversary of the applicable grant date and (ii) the date of the next annual meeting following the grant date, subject to continued service through the applicable vesting date. No eligible director shall be entitled to receive the initial equity award and the annual award in the same calendar year. In such instance, an eligible director shall receive the initial equity award only.</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and in February 2026, the Compensation Committee adopted a policy that the Executive Chairman will be granted, in lieu of any equity compensation pursuant to the Amended and Restated Director Compensation Program and on the date of each annual meeting of the Company’s stockholders (including this Annual Meeting), options to purchase shares of our Common Stock valued at $150,000 on the date of each annual meeting. The shares underlying the options will vest on the earlier to occur of (i) the one-year anniversary of the applicable grant date and (ii) the date of the next annual meeting of stockholders following the grant date, subject to continued service through the applicable vesting date.</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following table sets forth information regarding the compensation of our Executive Chairman and non-employee directors earned for services rendered during the year ended December 31, 2025. Mr. Aballi, who served as our President and Chief Executive Officer during the year ended December 31, 2025, did not receive additional compensation for his service as a director, and therefore is not included in the Director Compensation table below. The compensation paid to Mr. Aballi is reported above in the “Summary Compensation 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Fees Earned or Paid in</w:t>
            </w: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 Awards ($)(1)</w:t>
            </w:r>
          </w:p>
        </w:tc>
        <w:tc>
          <w:tcPr>
            <w:tcW w:w="1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Stock Awards ($)(2)</w:t>
            </w:r>
          </w:p>
        </w:tc>
        <w:tc>
          <w:tcPr>
            <w:tcW w:w="12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4740" w:type="dxa"/>
            <w:vAlign w:val="bottom"/>
            <w:gridSpan w:val="2"/>
            <w:vMerge w:val="continue"/>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Cash ($)</w:t>
            </w:r>
          </w:p>
        </w:tc>
        <w:tc>
          <w:tcPr>
            <w:tcW w:w="170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Tina S. Nova, Ph.D.</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125,000</w:t>
            </w: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73,178</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198,178</w:t>
            </w:r>
          </w:p>
        </w:tc>
        <w:tc>
          <w:tcPr>
            <w:tcW w:w="0" w:type="dxa"/>
            <w:vAlign w:val="bottom"/>
          </w:tcPr>
          <w:p>
            <w:pPr>
              <w:spacing w:after="0"/>
              <w:rPr>
                <w:sz w:val="1"/>
                <w:szCs w:val="1"/>
                <w:color w:val="auto"/>
              </w:rPr>
            </w:pPr>
          </w:p>
        </w:tc>
      </w:tr>
      <w:tr>
        <w:trPr>
          <w:trHeight w:val="198"/>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Ana Hooker(3)</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83,125</w:t>
            </w:r>
          </w:p>
        </w:tc>
        <w:tc>
          <w:tcPr>
            <w:tcW w:w="2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48,785</w:t>
            </w:r>
          </w:p>
        </w:tc>
        <w:tc>
          <w:tcPr>
            <w:tcW w:w="200" w:type="dxa"/>
            <w:vAlign w:val="bottom"/>
          </w:tcPr>
          <w:p>
            <w:pPr>
              <w:spacing w:after="0"/>
              <w:rPr>
                <w:sz w:val="17"/>
                <w:szCs w:val="17"/>
                <w:color w:val="auto"/>
              </w:rPr>
            </w:pP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131,910</w:t>
            </w:r>
          </w:p>
        </w:tc>
        <w:tc>
          <w:tcPr>
            <w:tcW w:w="0" w:type="dxa"/>
            <w:vAlign w:val="bottom"/>
          </w:tcPr>
          <w:p>
            <w:pPr>
              <w:spacing w:after="0"/>
              <w:rPr>
                <w:sz w:val="1"/>
                <w:szCs w:val="1"/>
                <w:color w:val="auto"/>
              </w:rPr>
            </w:pPr>
          </w:p>
        </w:tc>
      </w:tr>
      <w:tr>
        <w:trPr>
          <w:trHeight w:val="20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Scott Kahn, Ph.D.</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81,250</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48,785</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130,035</w:t>
            </w:r>
          </w:p>
        </w:tc>
        <w:tc>
          <w:tcPr>
            <w:tcW w:w="0" w:type="dxa"/>
            <w:vAlign w:val="bottom"/>
          </w:tcPr>
          <w:p>
            <w:pPr>
              <w:spacing w:after="0"/>
              <w:rPr>
                <w:sz w:val="1"/>
                <w:szCs w:val="1"/>
                <w:color w:val="auto"/>
              </w:rPr>
            </w:pPr>
          </w:p>
        </w:tc>
      </w:tr>
      <w:tr>
        <w:trPr>
          <w:trHeight w:val="198"/>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Paul Kim</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81,250</w:t>
            </w:r>
          </w:p>
        </w:tc>
        <w:tc>
          <w:tcPr>
            <w:tcW w:w="2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48,785</w:t>
            </w:r>
          </w:p>
        </w:tc>
        <w:tc>
          <w:tcPr>
            <w:tcW w:w="200" w:type="dxa"/>
            <w:vAlign w:val="bottom"/>
          </w:tcPr>
          <w:p>
            <w:pPr>
              <w:spacing w:after="0"/>
              <w:rPr>
                <w:sz w:val="17"/>
                <w:szCs w:val="17"/>
                <w:color w:val="auto"/>
              </w:rPr>
            </w:pP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130,035</w:t>
            </w:r>
          </w:p>
        </w:tc>
        <w:tc>
          <w:tcPr>
            <w:tcW w:w="0" w:type="dxa"/>
            <w:vAlign w:val="bottom"/>
          </w:tcPr>
          <w:p>
            <w:pPr>
              <w:spacing w:after="0"/>
              <w:rPr>
                <w:sz w:val="1"/>
                <w:szCs w:val="1"/>
                <w:color w:val="auto"/>
              </w:rPr>
            </w:pPr>
          </w:p>
        </w:tc>
      </w:tr>
      <w:tr>
        <w:trPr>
          <w:trHeight w:val="20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Bruce C. Robertson, Ph.D.</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Frank Stokes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77,500</w:t>
            </w:r>
          </w:p>
        </w:tc>
        <w:tc>
          <w:tcPr>
            <w:tcW w:w="20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48,785</w:t>
            </w:r>
          </w:p>
        </w:tc>
        <w:tc>
          <w:tcPr>
            <w:tcW w:w="200" w:type="dxa"/>
            <w:vAlign w:val="bottom"/>
          </w:tcPr>
          <w:p>
            <w:pPr>
              <w:spacing w:after="0"/>
              <w:rPr>
                <w:sz w:val="17"/>
                <w:szCs w:val="17"/>
                <w:color w:val="auto"/>
              </w:rPr>
            </w:pP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126,285</w:t>
            </w:r>
          </w:p>
        </w:tc>
        <w:tc>
          <w:tcPr>
            <w:tcW w:w="0" w:type="dxa"/>
            <w:vAlign w:val="bottom"/>
          </w:tcPr>
          <w:p>
            <w:pPr>
              <w:spacing w:after="0"/>
              <w:rPr>
                <w:sz w:val="1"/>
                <w:szCs w:val="1"/>
                <w:color w:val="auto"/>
              </w:rPr>
            </w:pPr>
          </w:p>
        </w:tc>
      </w:tr>
      <w:tr>
        <w:trPr>
          <w:trHeight w:val="20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Charles S. McKhann</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33,750</w:t>
            </w: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53,850</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87,600</w:t>
            </w:r>
          </w:p>
        </w:tc>
        <w:tc>
          <w:tcPr>
            <w:tcW w:w="0" w:type="dxa"/>
            <w:vAlign w:val="bottom"/>
          </w:tcPr>
          <w:p>
            <w:pPr>
              <w:spacing w:after="0"/>
              <w:rPr>
                <w:sz w:val="1"/>
                <w:szCs w:val="1"/>
                <w:color w:val="auto"/>
              </w:rPr>
            </w:pPr>
          </w:p>
        </w:tc>
      </w:tr>
      <w:tr>
        <w:trPr>
          <w:trHeight w:val="122"/>
        </w:trPr>
        <w:tc>
          <w:tcPr>
            <w:tcW w:w="112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120" w:hanging="1114"/>
        <w:spacing w:after="0" w:line="221"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 xml:space="preserve">Amounts reflect the aggregate grant date fair value of stock options granted in 2025, computed in accordance with the provisions of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These amounts do not reflect the actual economic value that will be realized by the director upon the vesting of the stock options, the exercise of the stock options, or the sale of the Common Stock underlying the stock options. The assumptions that we used to calculate these amounts are discussed in Note 2 and Note 9 to our audited financial statements in our 2025 Annual Report. As of December 31, 2025, the outstanding option awards to purchase the following respective numbers of shares of Common Stock were held by members of the Board: Dr. Nova, 81,113 shares; Ms. Hooker, 51,000 shares; Dr. Kahn, 24,000 shares; Mr. Kim, 33,000 shares; Dr. Robertson, 0 shares; Mr. Stokes, 51,000 shares; and Mr. McKhann, 0 shares.</w:t>
      </w:r>
    </w:p>
    <w:p>
      <w:pPr>
        <w:spacing w:after="0" w:line="150" w:lineRule="exact"/>
        <w:rPr>
          <w:rFonts w:ascii="Arial" w:cs="Arial" w:eastAsia="Arial" w:hAnsi="Arial"/>
          <w:sz w:val="14"/>
          <w:szCs w:val="14"/>
          <w:color w:val="auto"/>
        </w:rPr>
      </w:pPr>
    </w:p>
    <w:p>
      <w:pPr>
        <w:ind w:left="1140" w:right="80" w:hanging="1114"/>
        <w:spacing w:after="0" w:line="234" w:lineRule="auto"/>
        <w:tabs>
          <w:tab w:leader="none" w:pos="11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 xml:space="preserve">Amounts reflect the aggregate grant date fair value of restricted stock unit awards granted in 2025, as computed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rather than the amounts paid to or realized. For a discussion of valuation assumptions used in the calculations, see Note 2 and Note 9 to our audited financial statements in our 2025 Annual Report.</w:t>
      </w:r>
    </w:p>
    <w:p>
      <w:pPr>
        <w:spacing w:after="0" w:line="150" w:lineRule="exact"/>
        <w:rPr>
          <w:rFonts w:ascii="Arial" w:cs="Arial" w:eastAsia="Arial" w:hAnsi="Arial"/>
          <w:sz w:val="14"/>
          <w:szCs w:val="14"/>
          <w:color w:val="auto"/>
        </w:rPr>
      </w:pPr>
    </w:p>
    <w:p>
      <w:pPr>
        <w:ind w:left="1140" w:hanging="1114"/>
        <w:spacing w:after="0"/>
        <w:tabs>
          <w:tab w:leader="none" w:pos="1140" w:val="left"/>
        </w:tabs>
        <w:numPr>
          <w:ilvl w:val="0"/>
          <w:numId w:val="25"/>
        </w:numPr>
        <w:rPr>
          <w:rFonts w:ascii="Arial" w:cs="Arial" w:eastAsia="Arial" w:hAnsi="Arial"/>
          <w:sz w:val="14"/>
          <w:szCs w:val="14"/>
          <w:color w:val="auto"/>
        </w:rPr>
      </w:pPr>
      <w:r>
        <w:rPr>
          <w:rFonts w:ascii="Arial" w:cs="Arial" w:eastAsia="Arial" w:hAnsi="Arial"/>
          <w:sz w:val="16"/>
          <w:szCs w:val="16"/>
          <w:color w:val="auto"/>
        </w:rPr>
        <w:t>Ms. Hooker resigned from the Board in April 2026 and forfeited 9,000 unvested stock options.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 accordance with rules adopted by the SEC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relationship between executive “compensation actually paid” and certain financial performance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during the last three fiscal years ended December 31, 2025, 2024, and 2023 (in $):</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 of Initial</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Fixed $100</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Summary</w:t>
            </w: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Compensation</w:t>
            </w:r>
          </w:p>
        </w:tc>
        <w:tc>
          <w:tcPr>
            <w:tcW w:w="18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Summary</w:t>
            </w:r>
          </w:p>
        </w:tc>
        <w:tc>
          <w:tcPr>
            <w:tcW w:w="18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Compensation</w:t>
            </w:r>
          </w:p>
        </w:tc>
        <w:tc>
          <w:tcPr>
            <w:tcW w:w="16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Investment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Compensation</w:t>
            </w:r>
          </w:p>
        </w:tc>
        <w:tc>
          <w:tcPr>
            <w:tcW w:w="18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Actually</w:t>
            </w:r>
          </w:p>
        </w:tc>
        <w:tc>
          <w:tcPr>
            <w:tcW w:w="16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Based on Total</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Compensation</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Actually</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Table Total</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 to Non-</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Shareholder</w:t>
            </w:r>
          </w:p>
        </w:tc>
        <w:tc>
          <w:tcPr>
            <w:tcW w:w="146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(1)</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Table Total</w:t>
            </w: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Paid to PEO</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for Non-PEO</w:t>
            </w:r>
          </w:p>
        </w:tc>
        <w:tc>
          <w:tcPr>
            <w:tcW w:w="1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PEO NEOs</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Return</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40" w:type="dxa"/>
            <w:vAlign w:val="bottom"/>
            <w:gridSpan w:val="2"/>
            <w:vMerge w:val="continue"/>
          </w:tcPr>
          <w:p>
            <w:pPr>
              <w:spacing w:after="0"/>
              <w:rPr>
                <w:sz w:val="16"/>
                <w:szCs w:val="16"/>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PEO</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NEOs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6"/>
                <w:szCs w:val="16"/>
                <w:color w:val="auto"/>
              </w:rPr>
            </w:pPr>
          </w:p>
        </w:tc>
        <w:tc>
          <w:tcPr>
            <w:tcW w:w="1460" w:type="dxa"/>
            <w:vAlign w:val="bottom"/>
          </w:tcPr>
          <w:p>
            <w:pPr>
              <w:jc w:val="right"/>
              <w:ind w:right="563"/>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10"/>
        </w:trPr>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1,400,868</w:t>
            </w:r>
          </w:p>
        </w:tc>
        <w:tc>
          <w:tcPr>
            <w:tcW w:w="2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2,860,225</w:t>
            </w:r>
          </w:p>
        </w:tc>
        <w:tc>
          <w:tcPr>
            <w:tcW w:w="2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746,190</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1,453,646</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253.33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19,951,000</w:t>
            </w:r>
          </w:p>
        </w:tc>
        <w:tc>
          <w:tcPr>
            <w:tcW w:w="0" w:type="dxa"/>
            <w:vAlign w:val="bottom"/>
          </w:tcPr>
          <w:p>
            <w:pPr>
              <w:spacing w:after="0"/>
              <w:rPr>
                <w:sz w:val="1"/>
                <w:szCs w:val="1"/>
                <w:color w:val="auto"/>
              </w:rPr>
            </w:pPr>
          </w:p>
        </w:tc>
      </w:tr>
      <w:tr>
        <w:trPr>
          <w:trHeight w:val="215"/>
        </w:trPr>
        <w:tc>
          <w:tcPr>
            <w:tcW w:w="64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1,184,500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1,979,875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905,663</w:t>
            </w:r>
          </w:p>
        </w:tc>
        <w:tc>
          <w:tcPr>
            <w:tcW w:w="200" w:type="dxa"/>
            <w:vAlign w:val="bottom"/>
          </w:tcPr>
          <w:p>
            <w:pPr>
              <w:spacing w:after="0"/>
              <w:rPr>
                <w:sz w:val="18"/>
                <w:szCs w:val="18"/>
                <w:color w:val="auto"/>
              </w:rPr>
            </w:pPr>
          </w:p>
        </w:tc>
        <w:tc>
          <w:tcPr>
            <w:tcW w:w="1640" w:type="dxa"/>
            <w:vAlign w:val="bottom"/>
          </w:tcPr>
          <w:p>
            <w:pPr>
              <w:jc w:val="right"/>
              <w:ind w:right="5"/>
              <w:spacing w:after="0"/>
              <w:rPr>
                <w:sz w:val="20"/>
                <w:szCs w:val="20"/>
                <w:color w:val="auto"/>
              </w:rPr>
            </w:pPr>
            <w:r>
              <w:rPr>
                <w:rFonts w:ascii="Arial" w:cs="Arial" w:eastAsia="Arial" w:hAnsi="Arial"/>
                <w:sz w:val="16"/>
                <w:szCs w:val="16"/>
                <w:color w:val="auto"/>
              </w:rPr>
              <w:t>841,240</w:t>
            </w:r>
          </w:p>
        </w:tc>
        <w:tc>
          <w:tcPr>
            <w:tcW w:w="200" w:type="dxa"/>
            <w:vAlign w:val="bottom"/>
          </w:tcPr>
          <w:p>
            <w:pPr>
              <w:spacing w:after="0"/>
              <w:rPr>
                <w:sz w:val="18"/>
                <w:szCs w:val="18"/>
                <w:color w:val="auto"/>
              </w:rPr>
            </w:pP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168.10</w:t>
            </w:r>
          </w:p>
        </w:tc>
        <w:tc>
          <w:tcPr>
            <w:tcW w:w="20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15,115,000</w:t>
            </w:r>
          </w:p>
        </w:tc>
        <w:tc>
          <w:tcPr>
            <w:tcW w:w="0" w:type="dxa"/>
            <w:vAlign w:val="bottom"/>
          </w:tcPr>
          <w:p>
            <w:pPr>
              <w:spacing w:after="0"/>
              <w:rPr>
                <w:sz w:val="1"/>
                <w:szCs w:val="1"/>
                <w:color w:val="auto"/>
              </w:rPr>
            </w:pPr>
          </w:p>
        </w:tc>
      </w:tr>
      <w:tr>
        <w:trPr>
          <w:trHeight w:val="217"/>
        </w:trPr>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931,950</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775,325</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984,541</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920,075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81.59</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23,689,000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right="120" w:hanging="1114"/>
        <w:spacing w:after="0" w:line="251" w:lineRule="auto"/>
        <w:tabs>
          <w:tab w:leader="none" w:pos="114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The named PEO, the person acting as our President and Chief Executive Officer, and the other NEOs in each disclosure year represent the following individuals: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2980" w:type="dxa"/>
            <w:vAlign w:val="bottom"/>
            <w:gridSpan w:val="2"/>
          </w:tcPr>
          <w:p>
            <w:pPr>
              <w:ind w:left="20"/>
              <w:spacing w:after="0"/>
              <w:rPr>
                <w:sz w:val="20"/>
                <w:szCs w:val="20"/>
                <w:color w:val="auto"/>
              </w:rPr>
            </w:pPr>
            <w:r>
              <w:rPr>
                <w:rFonts w:ascii="Arial" w:cs="Arial" w:eastAsia="Arial" w:hAnsi="Arial"/>
                <w:sz w:val="14"/>
                <w:szCs w:val="14"/>
                <w:b w:val="1"/>
                <w:bCs w:val="1"/>
                <w:color w:val="auto"/>
              </w:rPr>
              <w:t>PEO</w:t>
            </w:r>
          </w:p>
        </w:tc>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NEOs included in Average</w:t>
            </w:r>
          </w:p>
        </w:tc>
      </w:tr>
      <w:tr>
        <w:trPr>
          <w:trHeight w:val="209"/>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John Aballi</w:t>
            </w:r>
          </w:p>
        </w:tc>
        <w:tc>
          <w:tcPr>
            <w:tcW w:w="200" w:type="dxa"/>
            <w:vAlign w:val="bottom"/>
          </w:tcPr>
          <w:p>
            <w:pPr>
              <w:spacing w:after="0"/>
              <w:rPr>
                <w:sz w:val="18"/>
                <w:szCs w:val="18"/>
                <w:color w:val="auto"/>
              </w:rPr>
            </w:pPr>
          </w:p>
        </w:tc>
        <w:tc>
          <w:tcPr>
            <w:tcW w:w="7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Jeffrey Black</w:t>
            </w:r>
          </w:p>
        </w:tc>
      </w:tr>
      <w:tr>
        <w:trPr>
          <w:trHeight w:val="215"/>
        </w:trPr>
        <w:tc>
          <w:tcPr>
            <w:tcW w:w="66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Arial" w:cs="Arial" w:eastAsia="Arial" w:hAnsi="Arial"/>
                <w:sz w:val="16"/>
                <w:szCs w:val="16"/>
                <w:color w:val="auto"/>
              </w:rPr>
              <w:t>John Aballi</w:t>
            </w:r>
          </w:p>
        </w:tc>
        <w:tc>
          <w:tcPr>
            <w:tcW w:w="7380" w:type="dxa"/>
            <w:vAlign w:val="bottom"/>
          </w:tcPr>
          <w:p>
            <w:pPr>
              <w:ind w:left="20"/>
              <w:spacing w:after="0"/>
              <w:rPr>
                <w:sz w:val="20"/>
                <w:szCs w:val="20"/>
                <w:color w:val="auto"/>
              </w:rPr>
            </w:pPr>
            <w:r>
              <w:rPr>
                <w:rFonts w:ascii="Arial" w:cs="Arial" w:eastAsia="Arial" w:hAnsi="Arial"/>
                <w:sz w:val="16"/>
                <w:szCs w:val="16"/>
                <w:color w:val="auto"/>
              </w:rPr>
              <w:t>Jeffrey Black and Kamal Adawi</w:t>
            </w:r>
          </w:p>
        </w:tc>
      </w:tr>
      <w:tr>
        <w:trPr>
          <w:trHeight w:val="216"/>
        </w:trPr>
        <w:tc>
          <w:tcPr>
            <w:tcW w:w="660" w:type="dxa"/>
            <w:vAlign w:val="bottom"/>
          </w:tcPr>
          <w:p>
            <w:pPr>
              <w:ind w:left="2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Arial" w:cs="Arial" w:eastAsia="Arial" w:hAnsi="Arial"/>
                <w:sz w:val="16"/>
                <w:szCs w:val="16"/>
                <w:color w:val="auto"/>
              </w:rPr>
              <w:t>John Aballi</w:t>
            </w:r>
          </w:p>
        </w:tc>
        <w:tc>
          <w:tcPr>
            <w:tcW w:w="7380" w:type="dxa"/>
            <w:vAlign w:val="bottom"/>
          </w:tcPr>
          <w:p>
            <w:pPr>
              <w:ind w:left="20"/>
              <w:spacing w:after="0"/>
              <w:rPr>
                <w:sz w:val="20"/>
                <w:szCs w:val="20"/>
                <w:color w:val="auto"/>
              </w:rPr>
            </w:pPr>
            <w:r>
              <w:rPr>
                <w:rFonts w:ascii="Arial" w:cs="Arial" w:eastAsia="Arial" w:hAnsi="Arial"/>
                <w:sz w:val="16"/>
                <w:szCs w:val="16"/>
                <w:color w:val="auto"/>
              </w:rPr>
              <w:t>Kamal Adawi and Mark Hazeltine</w:t>
            </w:r>
          </w:p>
        </w:tc>
      </w:tr>
    </w:tbl>
    <w:p>
      <w:pPr>
        <w:spacing w:after="0" w:line="123" w:lineRule="exact"/>
        <w:rPr>
          <w:sz w:val="20"/>
          <w:szCs w:val="20"/>
          <w:color w:val="auto"/>
        </w:rPr>
      </w:pPr>
    </w:p>
    <w:p>
      <w:pPr>
        <w:ind w:left="1140" w:right="260" w:hanging="1114"/>
        <w:spacing w:after="0" w:line="228"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6"/>
          <w:szCs w:val="16"/>
          <w:color w:val="auto"/>
        </w:rPr>
        <w:t>The table below shows the adjustments made to the compensation totals presented in the Summary Compensation Table for the NEOs in order to calculate “compensation actually paid” in accordance with Item 402(v) of Regulation S-K. Equity values are calculated in accordance with FASB ASC Topic 718, and the valuation assumptions used to calculate fair values did not materially differ from those disclosed at the time of the grant.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Average of</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Average of</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Average of</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PEO</w:t>
            </w: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Non-PEO</w:t>
            </w:r>
          </w:p>
        </w:tc>
        <w:tc>
          <w:tcPr>
            <w:tcW w:w="13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PEO</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Non-PEO</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PEO</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NEOs</w:t>
            </w:r>
          </w:p>
        </w:tc>
        <w:tc>
          <w:tcPr>
            <w:tcW w:w="1340" w:type="dxa"/>
            <w:vAlign w:val="bottom"/>
            <w:gridSpan w:val="3"/>
            <w:vMerge w:val="continue"/>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NEOs</w:t>
            </w:r>
          </w:p>
        </w:tc>
        <w:tc>
          <w:tcPr>
            <w:tcW w:w="1240" w:type="dxa"/>
            <w:vAlign w:val="bottom"/>
            <w:gridSpan w:val="2"/>
            <w:vMerge w:val="continue"/>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Non-PEO NEOs</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Summary Compensation Table Total</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1,400,868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746,190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905,663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931,950</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984,541</w:t>
            </w:r>
          </w:p>
        </w:tc>
        <w:tc>
          <w:tcPr>
            <w:tcW w:w="0" w:type="dxa"/>
            <w:vAlign w:val="bottom"/>
          </w:tcPr>
          <w:p>
            <w:pPr>
              <w:spacing w:after="0"/>
              <w:rPr>
                <w:sz w:val="1"/>
                <w:szCs w:val="1"/>
                <w:color w:val="auto"/>
              </w:rPr>
            </w:pPr>
          </w:p>
        </w:tc>
      </w:tr>
      <w:tr>
        <w:trPr>
          <w:trHeight w:val="162"/>
        </w:trPr>
        <w:tc>
          <w:tcPr>
            <w:tcW w:w="3900" w:type="dxa"/>
            <w:vAlign w:val="bottom"/>
            <w:gridSpan w:val="2"/>
          </w:tcPr>
          <w:p>
            <w:pPr>
              <w:ind w:left="240"/>
              <w:spacing w:after="0" w:line="162" w:lineRule="exact"/>
              <w:rPr>
                <w:sz w:val="20"/>
                <w:szCs w:val="20"/>
                <w:color w:val="auto"/>
              </w:rPr>
            </w:pPr>
            <w:r>
              <w:rPr>
                <w:rFonts w:ascii="Arial" w:cs="Arial" w:eastAsia="Arial" w:hAnsi="Arial"/>
                <w:sz w:val="16"/>
                <w:szCs w:val="16"/>
                <w:color w:val="auto"/>
              </w:rPr>
              <w:t>Less, value of Stock Awards reported in</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(605,768)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(80,769)</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(353,500)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(411,000)</w:t>
            </w:r>
          </w:p>
        </w:tc>
        <w:tc>
          <w:tcPr>
            <w:tcW w:w="220" w:type="dxa"/>
            <w:vAlign w:val="bottom"/>
          </w:tcPr>
          <w:p>
            <w:pPr>
              <w:spacing w:after="0"/>
              <w:rPr>
                <w:sz w:val="14"/>
                <w:szCs w:val="14"/>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(239,000)</w:t>
            </w:r>
          </w:p>
        </w:tc>
        <w:tc>
          <w:tcPr>
            <w:tcW w:w="0" w:type="dxa"/>
            <w:vAlign w:val="bottom"/>
          </w:tcPr>
          <w:p>
            <w:pPr>
              <w:spacing w:after="0"/>
              <w:rPr>
                <w:sz w:val="1"/>
                <w:szCs w:val="1"/>
                <w:color w:val="auto"/>
              </w:rPr>
            </w:pPr>
          </w:p>
        </w:tc>
      </w:tr>
      <w:tr>
        <w:trPr>
          <w:trHeight w:val="215"/>
        </w:trPr>
        <w:tc>
          <w:tcPr>
            <w:tcW w:w="3900" w:type="dxa"/>
            <w:vAlign w:val="bottom"/>
            <w:gridSpan w:val="2"/>
          </w:tcPr>
          <w:p>
            <w:pPr>
              <w:ind w:left="240"/>
              <w:spacing w:after="0"/>
              <w:rPr>
                <w:sz w:val="20"/>
                <w:szCs w:val="20"/>
                <w:color w:val="auto"/>
              </w:rPr>
            </w:pPr>
            <w:r>
              <w:rPr>
                <w:rFonts w:ascii="Arial" w:cs="Arial" w:eastAsia="Arial" w:hAnsi="Arial"/>
                <w:sz w:val="16"/>
                <w:szCs w:val="16"/>
                <w:color w:val="auto"/>
              </w:rPr>
              <w:t>Summary Compensation Table</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40"/>
              <w:spacing w:after="0" w:line="163" w:lineRule="exact"/>
              <w:rPr>
                <w:sz w:val="20"/>
                <w:szCs w:val="20"/>
                <w:color w:val="auto"/>
              </w:rPr>
            </w:pPr>
            <w:r>
              <w:rPr>
                <w:rFonts w:ascii="Arial" w:cs="Arial" w:eastAsia="Arial" w:hAnsi="Arial"/>
                <w:sz w:val="16"/>
                <w:szCs w:val="16"/>
                <w:color w:val="auto"/>
              </w:rPr>
              <w:t>Plus, year-end fair value of outstanding and</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975,750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130,100</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717,500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461,250</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unvested equity awards granted in the year</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gridSpan w:val="2"/>
          </w:tcPr>
          <w:p>
            <w:pPr>
              <w:ind w:left="240"/>
              <w:spacing w:after="0" w:line="162" w:lineRule="exact"/>
              <w:rPr>
                <w:sz w:val="20"/>
                <w:szCs w:val="20"/>
                <w:color w:val="auto"/>
              </w:rPr>
            </w:pPr>
            <w:r>
              <w:rPr>
                <w:rFonts w:ascii="Arial" w:cs="Arial" w:eastAsia="Arial" w:hAnsi="Arial"/>
                <w:sz w:val="16"/>
                <w:szCs w:val="16"/>
                <w:color w:val="auto"/>
              </w:rPr>
              <w:t>Plus (less), year over year change in fair value of</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gridSpan w:val="2"/>
          </w:tcPr>
          <w:p>
            <w:pPr>
              <w:ind w:left="240"/>
              <w:spacing w:after="0" w:line="162" w:lineRule="exact"/>
              <w:rPr>
                <w:sz w:val="20"/>
                <w:szCs w:val="20"/>
                <w:color w:val="auto"/>
              </w:rPr>
            </w:pPr>
            <w:r>
              <w:rPr>
                <w:rFonts w:ascii="Arial" w:cs="Arial" w:eastAsia="Arial" w:hAnsi="Arial"/>
                <w:sz w:val="16"/>
                <w:szCs w:val="16"/>
                <w:color w:val="auto"/>
              </w:rPr>
              <w:t>outstanding and unvested equity awards granted</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433,125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334,125</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369,250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(107,625)</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(27,782)</w:t>
            </w:r>
          </w:p>
        </w:tc>
        <w:tc>
          <w:tcPr>
            <w:tcW w:w="0" w:type="dxa"/>
            <w:vAlign w:val="bottom"/>
          </w:tcPr>
          <w:p>
            <w:pPr>
              <w:spacing w:after="0"/>
              <w:rPr>
                <w:sz w:val="1"/>
                <w:szCs w:val="1"/>
                <w:color w:val="auto"/>
              </w:rPr>
            </w:pPr>
          </w:p>
        </w:tc>
      </w:tr>
      <w:tr>
        <w:trPr>
          <w:trHeight w:val="215"/>
        </w:trPr>
        <w:tc>
          <w:tcPr>
            <w:tcW w:w="3900" w:type="dxa"/>
            <w:vAlign w:val="bottom"/>
            <w:gridSpan w:val="2"/>
          </w:tcPr>
          <w:p>
            <w:pPr>
              <w:ind w:left="240"/>
              <w:spacing w:after="0"/>
              <w:rPr>
                <w:sz w:val="20"/>
                <w:szCs w:val="20"/>
                <w:color w:val="auto"/>
              </w:rPr>
            </w:pPr>
            <w:r>
              <w:rPr>
                <w:rFonts w:ascii="Arial" w:cs="Arial" w:eastAsia="Arial" w:hAnsi="Arial"/>
                <w:sz w:val="16"/>
                <w:szCs w:val="16"/>
                <w:color w:val="auto"/>
              </w:rPr>
              <w:t>in prior years</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40"/>
              <w:spacing w:after="0" w:line="163" w:lineRule="exact"/>
              <w:rPr>
                <w:sz w:val="20"/>
                <w:szCs w:val="20"/>
                <w:color w:val="auto"/>
              </w:rPr>
            </w:pPr>
            <w:r>
              <w:rPr>
                <w:rFonts w:ascii="Arial" w:cs="Arial" w:eastAsia="Arial" w:hAnsi="Arial"/>
                <w:sz w:val="16"/>
                <w:szCs w:val="16"/>
                <w:color w:val="auto"/>
              </w:rPr>
              <w:t>Plus, fair value as of vesting date of equity</w:t>
            </w:r>
          </w:p>
        </w:tc>
        <w:tc>
          <w:tcPr>
            <w:tcW w:w="13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gridSpan w:val="3"/>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awards granted and vested in the year</w:t>
            </w:r>
          </w:p>
        </w:tc>
        <w:tc>
          <w:tcPr>
            <w:tcW w:w="1320" w:type="dxa"/>
            <w:vAlign w:val="bottom"/>
            <w:gridSpan w:val="3"/>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gridSpan w:val="2"/>
          </w:tcPr>
          <w:p>
            <w:pPr>
              <w:ind w:left="240"/>
              <w:spacing w:after="0" w:line="162" w:lineRule="exact"/>
              <w:rPr>
                <w:sz w:val="20"/>
                <w:szCs w:val="20"/>
                <w:color w:val="auto"/>
              </w:rPr>
            </w:pPr>
            <w:r>
              <w:rPr>
                <w:rFonts w:ascii="Arial" w:cs="Arial" w:eastAsia="Arial" w:hAnsi="Arial"/>
                <w:sz w:val="16"/>
                <w:szCs w:val="16"/>
                <w:color w:val="auto"/>
              </w:rPr>
              <w:t>Plus (less), year over year change in fair value of</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gridSpan w:val="2"/>
          </w:tcPr>
          <w:p>
            <w:pPr>
              <w:ind w:left="240"/>
              <w:spacing w:after="0" w:line="162" w:lineRule="exact"/>
              <w:rPr>
                <w:sz w:val="20"/>
                <w:szCs w:val="20"/>
                <w:color w:val="auto"/>
              </w:rPr>
            </w:pPr>
            <w:r>
              <w:rPr>
                <w:rFonts w:ascii="Arial" w:cs="Arial" w:eastAsia="Arial" w:hAnsi="Arial"/>
                <w:sz w:val="16"/>
                <w:szCs w:val="16"/>
                <w:color w:val="auto"/>
              </w:rPr>
              <w:t>equity awards granted in prior years that vested</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656,250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324,000</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62,125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908</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(49,000)</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215"/>
        </w:trPr>
        <w:tc>
          <w:tcPr>
            <w:tcW w:w="3900" w:type="dxa"/>
            <w:vAlign w:val="bottom"/>
            <w:gridSpan w:val="2"/>
          </w:tcPr>
          <w:p>
            <w:pPr>
              <w:ind w:left="240"/>
              <w:spacing w:after="0"/>
              <w:rPr>
                <w:sz w:val="20"/>
                <w:szCs w:val="20"/>
                <w:color w:val="auto"/>
              </w:rPr>
            </w:pPr>
            <w:r>
              <w:rPr>
                <w:rFonts w:ascii="Arial" w:cs="Arial" w:eastAsia="Arial" w:hAnsi="Arial"/>
                <w:sz w:val="16"/>
                <w:szCs w:val="16"/>
                <w:color w:val="auto"/>
              </w:rPr>
              <w:t>in the year</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40"/>
              <w:spacing w:after="0" w:line="163" w:lineRule="exact"/>
              <w:rPr>
                <w:sz w:val="20"/>
                <w:szCs w:val="20"/>
                <w:color w:val="auto"/>
              </w:rPr>
            </w:pPr>
            <w:r>
              <w:rPr>
                <w:rFonts w:ascii="Arial" w:cs="Arial" w:eastAsia="Arial" w:hAnsi="Arial"/>
                <w:sz w:val="16"/>
                <w:szCs w:val="16"/>
                <w:color w:val="auto"/>
              </w:rPr>
              <w:t>Less, prior year-end fair value for any equity</w:t>
            </w:r>
          </w:p>
        </w:tc>
        <w:tc>
          <w:tcPr>
            <w:tcW w:w="132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gridSpan w:val="3"/>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(115,581)</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awards forfeited in the year</w:t>
            </w:r>
          </w:p>
        </w:tc>
        <w:tc>
          <w:tcPr>
            <w:tcW w:w="1320" w:type="dxa"/>
            <w:vAlign w:val="bottom"/>
            <w:gridSpan w:val="3"/>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 Actually Paid ($)</w:t>
            </w:r>
          </w:p>
        </w:tc>
        <w:tc>
          <w:tcPr>
            <w:tcW w:w="10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2,860,225</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1,453,646</w:t>
            </w:r>
          </w:p>
        </w:tc>
        <w:tc>
          <w:tcPr>
            <w:tcW w:w="2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1,979,875</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841,240</w:t>
            </w:r>
          </w:p>
        </w:tc>
        <w:tc>
          <w:tcPr>
            <w:tcW w:w="2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775,325</w:t>
            </w:r>
          </w:p>
        </w:tc>
        <w:tc>
          <w:tcPr>
            <w:tcW w:w="14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6" w:name="page37"/>
    <w:bookmarkEnd w:id="36"/>
    <w:p>
      <w:pPr>
        <w:ind w:left="1140" w:right="40" w:hanging="1114"/>
        <w:spacing w:after="0" w:line="234"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6"/>
          <w:szCs w:val="16"/>
          <w:color w:val="auto"/>
        </w:rPr>
        <w:t>As required under Item 201(e) of Regulation S-K, total shareholder return (“TSR”) measures the cumulative value of $100 invested on the last trading day before the earliest fiscal year in the table, or December 31, 2022, through and including the end of the applicable fiscal year for which total shareholder return is calculated (December 31, 2023, December 31, 2024 or December 31, 2025, as applicable).</w:t>
      </w:r>
    </w:p>
    <w:p>
      <w:pPr>
        <w:spacing w:after="0" w:line="1" w:lineRule="exact"/>
        <w:rPr>
          <w:rFonts w:ascii="Arial" w:cs="Arial" w:eastAsia="Arial" w:hAnsi="Arial"/>
          <w:sz w:val="14"/>
          <w:szCs w:val="14"/>
          <w:color w:val="auto"/>
        </w:rPr>
      </w:pPr>
    </w:p>
    <w:p>
      <w:pPr>
        <w:ind w:left="1140" w:right="20" w:hanging="1114"/>
        <w:spacing w:after="0" w:line="251" w:lineRule="auto"/>
        <w:tabs>
          <w:tab w:leader="none" w:pos="1140"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The dollar amounts reported are the Company’s net loss amounts reflected in the Company’s audited financial statements for the applicable year.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Compensation Actually Paid disclosed in the Pay Versus Performance table, and other table elements</w:t>
      </w:r>
    </w:p>
    <w:p>
      <w:pPr>
        <w:spacing w:after="0" w:line="25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Compensation Actually Paid (“CAP”) to Mr. Aballi and TSR increased in both 2025 and 2024 relative to the prior year. The increase in PEO CAP was largely the result of the increase in stock price over that same time period.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average non-CEO NEO CAP increased in 2025 relative to 2024 and 2023, largely as a result of the increase in stock price over the time period. However, the average non-CEO NEO CAP decreased in 2024 relative to 2023 primarily because of the transition in non-CEO NEOs in 2024 and 2023, partially offset by the increase in stock price over the same period.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increase in our stock price that largely contributed to the increased PEO CAP and average non-CEO NEO CAP also drove the increase in TSR over the three-year reported period.</w:t>
      </w:r>
    </w:p>
    <w:p>
      <w:pPr>
        <w:spacing w:after="0" w:line="1"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Under the leadership of Mr. Aballi, we have been executing an operational turnaround of our business, which has resulted in a return to revenue growth and gross margin expansion while significantly reducing operating expenses and cash burn.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2025.</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As of December 31, 2025, we had two equity compensation plans in place under which shares of our Common Stock were authorized for issuance detailed as follows: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00" w:type="dxa"/>
            <w:vAlign w:val="bottom"/>
          </w:tcPr>
          <w:p>
            <w:pPr>
              <w:jc w:val="center"/>
              <w:ind w:left="268"/>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3480" w:type="dxa"/>
            <w:vAlign w:val="bottom"/>
            <w:vMerge w:val="restart"/>
          </w:tcPr>
          <w:p>
            <w:pPr>
              <w:jc w:val="center"/>
              <w:ind w:left="908"/>
              <w:spacing w:after="0"/>
              <w:rPr>
                <w:sz w:val="20"/>
                <w:szCs w:val="20"/>
                <w:color w:val="auto"/>
              </w:rPr>
            </w:pPr>
            <w:r>
              <w:rPr>
                <w:rFonts w:ascii="Arial" w:cs="Arial" w:eastAsia="Arial" w:hAnsi="Arial"/>
                <w:sz w:val="14"/>
                <w:szCs w:val="14"/>
                <w:b w:val="1"/>
                <w:bCs w:val="1"/>
                <w:color w:val="auto"/>
              </w:rPr>
              <w:t>Number of securities to be</w:t>
            </w: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3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300" w:type="dxa"/>
            <w:vAlign w:val="bottom"/>
          </w:tcPr>
          <w:p>
            <w:pPr>
              <w:jc w:val="center"/>
              <w:ind w:left="268"/>
              <w:spacing w:after="0" w:line="145" w:lineRule="exact"/>
              <w:rPr>
                <w:sz w:val="20"/>
                <w:szCs w:val="20"/>
                <w:color w:val="auto"/>
              </w:rPr>
            </w:pPr>
            <w:r>
              <w:rPr>
                <w:rFonts w:ascii="Arial" w:cs="Arial" w:eastAsia="Arial" w:hAnsi="Arial"/>
                <w:sz w:val="14"/>
                <w:szCs w:val="14"/>
                <w:b w:val="1"/>
                <w:bCs w:val="1"/>
                <w:color w:val="auto"/>
              </w:rPr>
              <w:t>future issuance under equity</w:t>
            </w: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3480" w:type="dxa"/>
            <w:vAlign w:val="bottom"/>
          </w:tcPr>
          <w:p>
            <w:pPr>
              <w:jc w:val="center"/>
              <w:ind w:left="908"/>
              <w:spacing w:after="0" w:line="139" w:lineRule="exact"/>
              <w:rPr>
                <w:sz w:val="20"/>
                <w:szCs w:val="20"/>
                <w:color w:val="auto"/>
              </w:rPr>
            </w:pPr>
            <w:r>
              <w:rPr>
                <w:rFonts w:ascii="Arial" w:cs="Arial" w:eastAsia="Arial" w:hAnsi="Arial"/>
                <w:sz w:val="14"/>
                <w:szCs w:val="14"/>
                <w:b w:val="1"/>
                <w:bCs w:val="1"/>
                <w:color w:val="auto"/>
              </w:rPr>
              <w:t>issued upon the exercise</w:t>
            </w:r>
          </w:p>
        </w:tc>
        <w:tc>
          <w:tcPr>
            <w:tcW w:w="2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price of outstanding</w:t>
            </w:r>
          </w:p>
        </w:tc>
        <w:tc>
          <w:tcPr>
            <w:tcW w:w="2300" w:type="dxa"/>
            <w:vAlign w:val="bottom"/>
          </w:tcPr>
          <w:p>
            <w:pPr>
              <w:jc w:val="center"/>
              <w:ind w:left="268"/>
              <w:spacing w:after="0" w:line="139"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44"/>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480" w:type="dxa"/>
            <w:vAlign w:val="bottom"/>
          </w:tcPr>
          <w:p>
            <w:pPr>
              <w:jc w:val="center"/>
              <w:ind w:left="908"/>
              <w:spacing w:after="0" w:line="145" w:lineRule="exact"/>
              <w:rPr>
                <w:sz w:val="20"/>
                <w:szCs w:val="20"/>
                <w:color w:val="auto"/>
              </w:rPr>
            </w:pPr>
            <w:r>
              <w:rPr>
                <w:rFonts w:ascii="Arial" w:cs="Arial" w:eastAsia="Arial" w:hAnsi="Arial"/>
                <w:sz w:val="14"/>
                <w:szCs w:val="14"/>
                <w:b w:val="1"/>
                <w:bCs w:val="1"/>
                <w:color w:val="auto"/>
              </w:rPr>
              <w:t>of outstanding options,</w:t>
            </w:r>
          </w:p>
        </w:tc>
        <w:tc>
          <w:tcPr>
            <w:tcW w:w="2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options, warrants and</w:t>
            </w:r>
          </w:p>
        </w:tc>
        <w:tc>
          <w:tcPr>
            <w:tcW w:w="2300" w:type="dxa"/>
            <w:vAlign w:val="bottom"/>
          </w:tcPr>
          <w:p>
            <w:pPr>
              <w:jc w:val="center"/>
              <w:ind w:left="268"/>
              <w:spacing w:after="0" w:line="145"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3480" w:type="dxa"/>
            <w:vAlign w:val="bottom"/>
          </w:tcPr>
          <w:p>
            <w:pPr>
              <w:jc w:val="center"/>
              <w:ind w:left="908"/>
              <w:spacing w:after="0"/>
              <w:rPr>
                <w:sz w:val="20"/>
                <w:szCs w:val="20"/>
                <w:color w:val="auto"/>
              </w:rPr>
            </w:pPr>
            <w:r>
              <w:rPr>
                <w:rFonts w:ascii="Arial" w:cs="Arial" w:eastAsia="Arial" w:hAnsi="Arial"/>
                <w:sz w:val="14"/>
                <w:szCs w:val="14"/>
                <w:b w:val="1"/>
                <w:bCs w:val="1"/>
                <w:color w:val="auto"/>
              </w:rPr>
              <w:t>warrants and rights</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2300" w:type="dxa"/>
            <w:vAlign w:val="bottom"/>
          </w:tcPr>
          <w:p>
            <w:pPr>
              <w:jc w:val="center"/>
              <w:ind w:left="268"/>
              <w:spacing w:after="0"/>
              <w:rPr>
                <w:sz w:val="20"/>
                <w:szCs w:val="20"/>
                <w:color w:val="auto"/>
              </w:rPr>
            </w:pPr>
            <w:r>
              <w:rPr>
                <w:rFonts w:ascii="Arial" w:cs="Arial" w:eastAsia="Arial" w:hAnsi="Arial"/>
                <w:sz w:val="14"/>
                <w:szCs w:val="14"/>
                <w:b w:val="1"/>
                <w:bCs w:val="1"/>
                <w:color w:val="auto"/>
              </w:rPr>
              <w:t>reflected in column(a))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1170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p>
      <w:pPr>
        <w:spacing w:after="0" w:line="229" w:lineRule="exact"/>
        <w:rPr>
          <w:sz w:val="20"/>
          <w:szCs w:val="20"/>
          <w:color w:val="auto"/>
        </w:rPr>
      </w:pPr>
    </w:p>
    <w:p>
      <w:pPr>
        <w:ind w:left="20" w:right="260"/>
        <w:spacing w:after="0" w:line="246" w:lineRule="auto"/>
        <w:rPr>
          <w:sz w:val="20"/>
          <w:szCs w:val="20"/>
          <w:color w:val="auto"/>
        </w:rPr>
      </w:pPr>
      <w:r>
        <w:rPr>
          <w:rFonts w:ascii="Arial" w:cs="Arial" w:eastAsia="Arial" w:hAnsi="Arial"/>
          <w:sz w:val="16"/>
          <w:szCs w:val="16"/>
          <w:color w:val="auto"/>
        </w:rPr>
        <w:t>Equity compensation plans approved by security holders</w:t>
      </w:r>
    </w:p>
    <w:p>
      <w:pPr>
        <w:spacing w:after="0" w:line="1" w:lineRule="exact"/>
        <w:rPr>
          <w:sz w:val="20"/>
          <w:szCs w:val="20"/>
          <w:color w:val="auto"/>
        </w:rPr>
      </w:pPr>
    </w:p>
    <w:p>
      <w:pPr>
        <w:ind w:left="20"/>
        <w:spacing w:after="0" w:line="251" w:lineRule="auto"/>
        <w:rPr>
          <w:sz w:val="20"/>
          <w:szCs w:val="20"/>
          <w:color w:val="auto"/>
        </w:rPr>
      </w:pPr>
      <w:r>
        <w:rPr>
          <w:rFonts w:ascii="Arial" w:cs="Arial" w:eastAsia="Arial" w:hAnsi="Arial"/>
          <w:sz w:val="16"/>
          <w:szCs w:val="16"/>
          <w:color w:val="auto"/>
        </w:rPr>
        <w:t>Equity compensation plans not approved by security holders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90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(a)</w:t>
            </w:r>
          </w:p>
        </w:tc>
        <w:tc>
          <w:tcPr>
            <w:tcW w:w="6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(b)(1)</w:t>
            </w:r>
          </w:p>
        </w:tc>
        <w:tc>
          <w:tcPr>
            <w:tcW w:w="600" w:type="dxa"/>
            <w:vAlign w:val="bottom"/>
          </w:tcPr>
          <w:p>
            <w:pPr>
              <w:spacing w:after="0"/>
              <w:rPr>
                <w:sz w:val="18"/>
                <w:szCs w:val="18"/>
                <w:color w:val="auto"/>
              </w:rPr>
            </w:pPr>
          </w:p>
        </w:tc>
        <w:tc>
          <w:tcPr>
            <w:tcW w:w="2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8"/>
                <w:szCs w:val="18"/>
                <w:color w:val="auto"/>
              </w:rPr>
            </w:pPr>
          </w:p>
        </w:tc>
      </w:tr>
      <w:tr>
        <w:trPr>
          <w:trHeight w:val="371"/>
        </w:trPr>
        <w:tc>
          <w:tcPr>
            <w:tcW w:w="2500" w:type="dxa"/>
            <w:vAlign w:val="bottom"/>
            <w:gridSpan w:val="2"/>
          </w:tcPr>
          <w:p>
            <w:pPr>
              <w:jc w:val="right"/>
              <w:ind w:right="380"/>
              <w:spacing w:after="0"/>
              <w:rPr>
                <w:sz w:val="20"/>
                <w:szCs w:val="20"/>
                <w:color w:val="auto"/>
              </w:rPr>
            </w:pPr>
            <w:r>
              <w:rPr>
                <w:rFonts w:ascii="Arial" w:cs="Arial" w:eastAsia="Arial" w:hAnsi="Arial"/>
                <w:sz w:val="16"/>
                <w:szCs w:val="16"/>
                <w:color w:val="auto"/>
              </w:rPr>
              <w:t>2,322,478 (2)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8.07</w:t>
            </w:r>
          </w:p>
        </w:tc>
        <w:tc>
          <w:tcPr>
            <w:tcW w:w="60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2,817,358 (3)</w:t>
            </w:r>
          </w:p>
        </w:tc>
      </w:tr>
      <w:tr>
        <w:trPr>
          <w:trHeight w:val="379"/>
        </w:trPr>
        <w:tc>
          <w:tcPr>
            <w:tcW w:w="25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208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2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r>
      <w:tr>
        <w:trPr>
          <w:trHeight w:val="210"/>
        </w:trPr>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2,322,478</w:t>
            </w:r>
          </w:p>
        </w:tc>
        <w:tc>
          <w:tcPr>
            <w:tcW w:w="6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600" w:type="dxa"/>
            <w:vAlign w:val="bottom"/>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2,817,358</w:t>
            </w:r>
          </w:p>
        </w:tc>
        <w:tc>
          <w:tcPr>
            <w:tcW w:w="200" w:type="dxa"/>
            <w:vAlign w:val="bottom"/>
          </w:tcPr>
          <w:p>
            <w:pPr>
              <w:spacing w:after="0"/>
              <w:rPr>
                <w:sz w:val="18"/>
                <w:szCs w:val="18"/>
                <w:color w:val="auto"/>
              </w:rPr>
            </w:pP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-659130</wp:posOffset>
            </wp:positionV>
            <wp:extent cx="713232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-179070</wp:posOffset>
            </wp:positionV>
            <wp:extent cx="71323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420"/>
            <w:col w:w="7580"/>
          </w:cols>
          <w:pgMar w:left="320" w:top="935" w:right="4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type w:val="continuous"/>
        </w:sectPr>
      </w:pPr>
    </w:p>
    <w:bookmarkStart w:id="37" w:name="page38"/>
    <w:bookmarkEnd w:id="37"/>
    <w:p>
      <w:pPr>
        <w:ind w:left="774" w:hanging="774"/>
        <w:spacing w:after="0"/>
        <w:tabs>
          <w:tab w:leader="none" w:pos="774"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2143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43125" cy="8255"/>
                    </a:xfrm>
                    <a:prstGeom prst="rect">
                      <a:avLst/>
                    </a:prstGeom>
                    <a:noFill/>
                  </pic:spPr>
                </pic:pic>
              </a:graphicData>
            </a:graphic>
          </wp:anchor>
        </w:drawing>
        <w:t>The weighted-average exercise price is calculated based solely on outstanding options.</w:t>
      </w:r>
    </w:p>
    <w:p>
      <w:pPr>
        <w:spacing w:after="0" w:line="180" w:lineRule="exact"/>
        <w:rPr>
          <w:rFonts w:ascii="Arial" w:cs="Arial" w:eastAsia="Arial" w:hAnsi="Arial"/>
          <w:sz w:val="16"/>
          <w:szCs w:val="16"/>
          <w:color w:val="auto"/>
        </w:rPr>
      </w:pPr>
    </w:p>
    <w:p>
      <w:pPr>
        <w:ind w:left="774" w:right="200" w:hanging="774"/>
        <w:spacing w:after="0" w:line="234" w:lineRule="auto"/>
        <w:tabs>
          <w:tab w:leader="none" w:pos="77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2,276,455 shares of Common Stock that were subject to awards as of December 31, 2025 under the 2019 Plan and 46,023 shares of Common Stock that were subject to awards as of December 31, 2025 under the 2013 Plan. Of these shares, 480,816 were subject to options outstanding under the 2019 Plan, and 1,795,639 were subject to restricted stock units outstanding under the 2019 Plan.</w:t>
      </w:r>
    </w:p>
    <w:p>
      <w:pPr>
        <w:spacing w:after="0" w:line="150" w:lineRule="exact"/>
        <w:rPr>
          <w:rFonts w:ascii="Arial" w:cs="Arial" w:eastAsia="Arial" w:hAnsi="Arial"/>
          <w:sz w:val="16"/>
          <w:szCs w:val="16"/>
          <w:color w:val="auto"/>
        </w:rPr>
      </w:pPr>
    </w:p>
    <w:p>
      <w:pPr>
        <w:ind w:left="774" w:hanging="774"/>
        <w:spacing w:after="0" w:line="218" w:lineRule="auto"/>
        <w:tabs>
          <w:tab w:leader="none" w:pos="77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2,274,550 shares of Common Stock available for issuance under the 2019 Plan and 542,808 shares of Common Stock available for issuance under our Employee Stock Purchase Plan. This amount does not include any additional shares that may become available for future issuance under the 2019 Plan pursuant to the automatic increase to the share reserve on January 1 of each of our calendar years beginning 2026 and continuing through 2029 by the number of shares equal to 4% of the total outstanding shares of our Common Stock and Common Stock equivalents as of the immediately preceding December 31. Additionally, this amount does not include any additional shares that may become available for future issuance under our Employee Stock Purchase Plan pursuant to the automatic increase to the share reserve on January 1 of each of our calendar years beginning 2026 and continuing through 2029 by the number of shares equal to 1% of the total outstanding shares of our Common Stock and Common Stock equivalents as of the immediately preceding December 31. There are no shares of Common Stock remaining available for issuance under our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4"/>
          </w:cols>
          <w:pgMar w:left="346" w:top="1084"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our Common Stock at April 15, 2026 for:</w:t>
      </w:r>
    </w:p>
    <w:p>
      <w:pPr>
        <w:spacing w:after="0" w:line="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NEOs;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outstanding Common Stock.</w:t>
      </w:r>
    </w:p>
    <w:p>
      <w:pPr>
        <w:spacing w:after="0" w:line="23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Applicable percentage ownership is based on 24,142,122 shares of Common Stock outstanding as of April 15, 2026.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or scheduled to vest within 60 days of April 15, 2026. We did not deem these shares outstanding, however, for the purpose of computing the percentage ownership of any other person. Unless otherwise indicated, the address of each beneficial owner listed in the table below is c/o Exagen Inc., 1261 Liberty Way, Vista, California 92081.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450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Beneficial Ownership</w:t>
            </w:r>
          </w:p>
        </w:tc>
      </w:tr>
      <w:tr>
        <w:trPr>
          <w:trHeight w:val="19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52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rPr>
              <w:t>Number</w:t>
            </w:r>
          </w:p>
        </w:tc>
        <w:tc>
          <w:tcPr>
            <w:tcW w:w="1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Percentage</w:t>
            </w:r>
          </w:p>
        </w:tc>
      </w:tr>
      <w:tr>
        <w:trPr>
          <w:trHeight w:val="196"/>
        </w:trPr>
        <w:tc>
          <w:tcPr>
            <w:tcW w:w="6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5% or Greater Stockholders</w:t>
            </w:r>
          </w:p>
        </w:tc>
        <w:tc>
          <w:tcPr>
            <w:tcW w:w="25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4"/>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NMSIC Co-Investment Fund, L.P. (1)</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1,368,958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w:t>
            </w:r>
          </w:p>
        </w:tc>
      </w:tr>
      <w:tr>
        <w:trPr>
          <w:trHeight w:val="199"/>
        </w:trPr>
        <w:tc>
          <w:tcPr>
            <w:tcW w:w="6740" w:type="dxa"/>
            <w:vAlign w:val="bottom"/>
          </w:tcPr>
          <w:p>
            <w:pPr>
              <w:ind w:left="20"/>
              <w:spacing w:after="0"/>
              <w:rPr>
                <w:sz w:val="20"/>
                <w:szCs w:val="20"/>
                <w:color w:val="auto"/>
              </w:rPr>
            </w:pPr>
            <w:r>
              <w:rPr>
                <w:rFonts w:ascii="Arial" w:cs="Arial" w:eastAsia="Arial" w:hAnsi="Arial"/>
                <w:sz w:val="14"/>
                <w:szCs w:val="14"/>
                <w:color w:val="auto"/>
              </w:rPr>
              <w:t>Entities affiliated with Tullis-Dickerson Capital Focus III, L.P. (2)</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1,789,287</w:t>
            </w:r>
          </w:p>
        </w:tc>
        <w:tc>
          <w:tcPr>
            <w:tcW w:w="1980" w:type="dxa"/>
            <w:vAlign w:val="bottom"/>
          </w:tcPr>
          <w:p>
            <w:pPr>
              <w:jc w:val="right"/>
              <w:spacing w:after="0"/>
              <w:rPr>
                <w:sz w:val="20"/>
                <w:szCs w:val="20"/>
                <w:color w:val="auto"/>
              </w:rPr>
            </w:pPr>
            <w:r>
              <w:rPr>
                <w:rFonts w:ascii="Arial" w:cs="Arial" w:eastAsia="Arial" w:hAnsi="Arial"/>
                <w:sz w:val="14"/>
                <w:szCs w:val="14"/>
                <w:color w:val="auto"/>
              </w:rPr>
              <w:t>7.4 %</w:t>
            </w:r>
          </w:p>
        </w:tc>
      </w:tr>
      <w:tr>
        <w:trPr>
          <w:trHeight w:val="20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 Bio-Exagen, L.P. (3)</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1,696,252</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199"/>
        </w:trPr>
        <w:tc>
          <w:tcPr>
            <w:tcW w:w="6740" w:type="dxa"/>
            <w:vAlign w:val="bottom"/>
          </w:tcPr>
          <w:p>
            <w:pPr>
              <w:ind w:left="20"/>
              <w:spacing w:after="0"/>
              <w:rPr>
                <w:sz w:val="20"/>
                <w:szCs w:val="20"/>
                <w:color w:val="auto"/>
              </w:rPr>
            </w:pPr>
            <w:r>
              <w:rPr>
                <w:rFonts w:ascii="Arial" w:cs="Arial" w:eastAsia="Arial" w:hAnsi="Arial"/>
                <w:sz w:val="14"/>
                <w:szCs w:val="14"/>
                <w:color w:val="auto"/>
              </w:rPr>
              <w:t>Jorey Chernett (4)</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1,231,438</w:t>
            </w:r>
          </w:p>
        </w:tc>
        <w:tc>
          <w:tcPr>
            <w:tcW w:w="198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20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25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199"/>
        </w:trPr>
        <w:tc>
          <w:tcPr>
            <w:tcW w:w="6740" w:type="dxa"/>
            <w:vAlign w:val="bottom"/>
          </w:tcPr>
          <w:p>
            <w:pPr>
              <w:ind w:left="20"/>
              <w:spacing w:after="0"/>
              <w:rPr>
                <w:sz w:val="20"/>
                <w:szCs w:val="20"/>
                <w:color w:val="auto"/>
              </w:rPr>
            </w:pPr>
            <w:r>
              <w:rPr>
                <w:rFonts w:ascii="Arial" w:cs="Arial" w:eastAsia="Arial" w:hAnsi="Arial"/>
                <w:sz w:val="14"/>
                <w:szCs w:val="14"/>
                <w:color w:val="auto"/>
              </w:rPr>
              <w:t>John Aballi (5)</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534,698</w:t>
            </w:r>
          </w:p>
        </w:tc>
        <w:tc>
          <w:tcPr>
            <w:tcW w:w="198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0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Jeffrey Black (6)</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92,078</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740" w:type="dxa"/>
            <w:vAlign w:val="bottom"/>
          </w:tcPr>
          <w:p>
            <w:pPr>
              <w:ind w:left="20"/>
              <w:spacing w:after="0"/>
              <w:rPr>
                <w:sz w:val="20"/>
                <w:szCs w:val="20"/>
                <w:color w:val="auto"/>
              </w:rPr>
            </w:pPr>
            <w:r>
              <w:rPr>
                <w:rFonts w:ascii="Arial" w:cs="Arial" w:eastAsia="Arial" w:hAnsi="Arial"/>
                <w:sz w:val="14"/>
                <w:szCs w:val="14"/>
                <w:color w:val="auto"/>
              </w:rPr>
              <w:t>Tina S. Nova, Ph.D. (7)</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81,113</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 Hooker (8)</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42,000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tcPr>
          <w:p>
            <w:pPr>
              <w:ind w:left="20"/>
              <w:spacing w:after="0"/>
              <w:rPr>
                <w:sz w:val="20"/>
                <w:szCs w:val="20"/>
                <w:color w:val="auto"/>
              </w:rPr>
            </w:pPr>
            <w:r>
              <w:rPr>
                <w:rFonts w:ascii="Arial" w:cs="Arial" w:eastAsia="Arial" w:hAnsi="Arial"/>
                <w:sz w:val="14"/>
                <w:szCs w:val="14"/>
                <w:color w:val="auto"/>
              </w:rPr>
              <w:t>Scott Kahn, Ph.D. (9)</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19,000</w:t>
            </w:r>
          </w:p>
        </w:tc>
        <w:tc>
          <w:tcPr>
            <w:tcW w:w="1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Paul Kim (10)</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32,166</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tcPr>
          <w:p>
            <w:pPr>
              <w:ind w:left="20"/>
              <w:spacing w:after="0"/>
              <w:rPr>
                <w:sz w:val="20"/>
                <w:szCs w:val="20"/>
                <w:color w:val="auto"/>
              </w:rPr>
            </w:pPr>
            <w:r>
              <w:rPr>
                <w:rFonts w:ascii="Arial" w:cs="Arial" w:eastAsia="Arial" w:hAnsi="Arial"/>
                <w:sz w:val="14"/>
                <w:szCs w:val="14"/>
                <w:color w:val="auto"/>
              </w:rPr>
              <w:t>Bruce C. Robertson, Ph.D. (11)</w:t>
            </w:r>
          </w:p>
        </w:tc>
        <w:tc>
          <w:tcPr>
            <w:tcW w:w="2520" w:type="dxa"/>
            <w:vAlign w:val="bottom"/>
          </w:tcPr>
          <w:p>
            <w:pPr>
              <w:jc w:val="right"/>
              <w:ind w:right="368"/>
              <w:spacing w:after="0"/>
              <w:rPr>
                <w:sz w:val="20"/>
                <w:szCs w:val="20"/>
                <w:color w:val="auto"/>
              </w:rPr>
            </w:pPr>
            <w:r>
              <w:rPr>
                <w:rFonts w:ascii="Arial" w:cs="Arial" w:eastAsia="Arial" w:hAnsi="Arial"/>
                <w:sz w:val="14"/>
                <w:szCs w:val="14"/>
                <w:color w:val="auto"/>
              </w:rPr>
              <w:t>1,696,252</w:t>
            </w:r>
          </w:p>
        </w:tc>
        <w:tc>
          <w:tcPr>
            <w:tcW w:w="198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207"/>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Frank Stokes (12)</w:t>
            </w:r>
          </w:p>
        </w:tc>
        <w:tc>
          <w:tcPr>
            <w:tcW w:w="2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51,000</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Charles S. McKhann</w:t>
            </w:r>
          </w:p>
        </w:tc>
        <w:tc>
          <w:tcPr>
            <w:tcW w:w="2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 current directors and executive officers as a group (8 persons)(13)</w:t>
            </w:r>
          </w:p>
        </w:tc>
        <w:tc>
          <w:tcPr>
            <w:tcW w:w="2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2,506,307</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10.4 %</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9" w:name="page40"/>
    <w:bookmarkEnd w:id="39"/>
    <w:p>
      <w:pPr>
        <w:ind w:left="1034" w:hanging="1034"/>
        <w:spacing w:after="0"/>
        <w:tabs>
          <w:tab w:leader="none" w:pos="1034" w:val="left"/>
        </w:tabs>
        <w:numPr>
          <w:ilvl w:val="0"/>
          <w:numId w:val="3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12255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25550" cy="8255"/>
                    </a:xfrm>
                    <a:prstGeom prst="rect">
                      <a:avLst/>
                    </a:prstGeom>
                    <a:noFill/>
                  </pic:spPr>
                </pic:pic>
              </a:graphicData>
            </a:graphic>
          </wp:anchor>
        </w:drawing>
        <w:t>Less than 1%.</w:t>
      </w:r>
    </w:p>
    <w:p>
      <w:pPr>
        <w:spacing w:after="0" w:line="190" w:lineRule="exact"/>
        <w:rPr>
          <w:sz w:val="20"/>
          <w:szCs w:val="20"/>
          <w:color w:val="auto"/>
        </w:rPr>
      </w:pPr>
    </w:p>
    <w:p>
      <w:pPr>
        <w:ind w:left="1034" w:hanging="1034"/>
        <w:spacing w:after="0" w:line="224"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1,368,958 shares of Common Stock held by NMSIC Co-Investment Fund, L.P. (“NMSIC”). The general partner of NMSIC is Sun Mountain Capital Partners LLC (“Sun Mountain”). The controlling members of Sun Mountain are Brian Birk and Sally Coming. As a result, each of Sun Mountain, Mr. Birk and Ms. Coming may be deemed to possess voting and investment control over, and may be deemed to have indirect beneficial ownership with respect to, all shares held by NMSIC. Neither Sun Mountain, Mr. Birk nor Ms. Coming owns directly any of the shares held of record by NMSIC. Each of Sun Mountain, Mr. Birk and Ms. Coming disclaims beneficial ownership of the shares held by NMSIC, except to the extent of their pecuniary interest therein. The address for each of the NMSIC entities is 527 Don Gaspar Avenue, Santa Fe, New Mexico 87505. This information is based on this stockholder’s Schedule 13G/A, filed with the SEC on February 11, 2026 and such additional information as is known to us.</w:t>
      </w:r>
    </w:p>
    <w:p>
      <w:pPr>
        <w:spacing w:after="0" w:line="163" w:lineRule="exact"/>
        <w:rPr>
          <w:rFonts w:ascii="Arial" w:cs="Arial" w:eastAsia="Arial" w:hAnsi="Arial"/>
          <w:sz w:val="14"/>
          <w:szCs w:val="14"/>
          <w:color w:val="auto"/>
        </w:rPr>
      </w:pPr>
    </w:p>
    <w:p>
      <w:pPr>
        <w:ind w:left="1034" w:hanging="1034"/>
        <w:spacing w:after="0" w:line="221"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(a) 1,087,694 shares of Common Stock held by Tullis-Dickerson Capital Focus III, L.P. (“Tullis”), (b) 552,677 shares of Common Stock held by Tullis Growth Fund, L.P, (c) 105,620 shares of Common Stock held by Tullis Growth Fund II, L.P., and (d) 21,348 shares of Common Stock held by James L.L. Tullis and 21,948 shares underlying options to purchase Common Stock that are exercisable on or within 60 days of April 15, 2026 held by James L.L. Tullis.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Fund, L.P. and Tullis Growth Fund II, L.P.,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11770 U.S. Highway 1, Suite 503, Palm Beach Gardens, FL 33408. This information is based on this stockholder’s Schedule 13G/A, filed with the SEC on February 13, 2024, and such additional information as is known to us.</w:t>
      </w:r>
    </w:p>
    <w:p>
      <w:pPr>
        <w:spacing w:after="0" w:line="164" w:lineRule="exact"/>
        <w:rPr>
          <w:rFonts w:ascii="Arial" w:cs="Arial" w:eastAsia="Arial" w:hAnsi="Arial"/>
          <w:sz w:val="14"/>
          <w:szCs w:val="14"/>
          <w:color w:val="auto"/>
        </w:rPr>
      </w:pPr>
    </w:p>
    <w:p>
      <w:pPr>
        <w:ind w:left="1034" w:right="80" w:hanging="1034"/>
        <w:spacing w:after="0" w:line="231"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1,696,252 shares of Common Stock held by H.I.G. Bio-Exagen, L.P., H.I.G. Capital, LLC has sole voting and investment control over the shares owned by H.I.G. Bio-Exagen, LLC. Bruce C. Robertson, Ph.D., one of our directors,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163" w:lineRule="exact"/>
        <w:rPr>
          <w:rFonts w:ascii="Arial" w:cs="Arial" w:eastAsia="Arial" w:hAnsi="Arial"/>
          <w:sz w:val="14"/>
          <w:szCs w:val="14"/>
          <w:color w:val="auto"/>
        </w:rPr>
      </w:pPr>
    </w:p>
    <w:p>
      <w:pPr>
        <w:ind w:left="1034" w:right="80" w:hanging="1034"/>
        <w:spacing w:after="0" w:line="264"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1,231,438 shares of Common Stock held by Mr. Jorey Chernett. The address for Mr. Chernett is 6222 Indianwood Trail, Bloomfield Hills, MI 48301. This information is based on this stockholder’s Schedule 13G, filed with the SEC on February 4, 2026, and such additional information as is known to us.</w:t>
      </w:r>
    </w:p>
    <w:p>
      <w:pPr>
        <w:spacing w:after="0" w:line="145" w:lineRule="exact"/>
        <w:rPr>
          <w:rFonts w:ascii="Arial" w:cs="Arial" w:eastAsia="Arial" w:hAnsi="Arial"/>
          <w:sz w:val="14"/>
          <w:szCs w:val="14"/>
          <w:color w:val="auto"/>
        </w:rPr>
      </w:pPr>
    </w:p>
    <w:p>
      <w:pPr>
        <w:ind w:left="1034" w:right="340" w:hanging="1034"/>
        <w:spacing w:after="0" w:line="264"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(i) 470,860 shares of Common Stock held by Mr. Aballi, (ii) 40,401 shares of Common Stock held by Mr. Aballi's spouse and (iii) 23,437 shares underlying options to purchase Common Stock that are exercisable on or within 60 days of April 15, 2026 by Mr. Aballi.</w:t>
      </w:r>
    </w:p>
    <w:p>
      <w:pPr>
        <w:spacing w:after="0" w:line="131" w:lineRule="exact"/>
        <w:rPr>
          <w:rFonts w:ascii="Arial" w:cs="Arial" w:eastAsia="Arial" w:hAnsi="Arial"/>
          <w:sz w:val="14"/>
          <w:szCs w:val="14"/>
          <w:color w:val="auto"/>
        </w:rPr>
      </w:pPr>
    </w:p>
    <w:p>
      <w:pPr>
        <w:ind w:left="1034" w:right="120" w:hanging="1034"/>
        <w:spacing w:after="0" w:line="264"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(i) 88,953 shares of Common Stock held by Mr. Black and (ii) 3,125 shares underlying options to purchase Common Stock that are exercisable on or within 60 days of April 15, 2026 by Mr. Black.</w:t>
      </w:r>
    </w:p>
    <w:p>
      <w:pPr>
        <w:spacing w:after="0" w:line="131"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81,113 shares underlying options to purchase Common Stock that are exercisable on or within 60 days of April 15, 2026 by Dr. Nova.</w:t>
      </w:r>
    </w:p>
    <w:p>
      <w:pPr>
        <w:spacing w:after="0" w:line="190" w:lineRule="exact"/>
        <w:rPr>
          <w:rFonts w:ascii="Arial" w:cs="Arial" w:eastAsia="Arial" w:hAnsi="Arial"/>
          <w:sz w:val="14"/>
          <w:szCs w:val="14"/>
          <w:color w:val="auto"/>
        </w:rPr>
      </w:pPr>
    </w:p>
    <w:p>
      <w:pPr>
        <w:ind w:left="1034" w:right="20" w:hanging="1034"/>
        <w:spacing w:after="0" w:line="264"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42,000 shares underlying options to purchase Common Stock that are exercisable on or within 60 days of April 15, 2026 by Ms. Hooker. Ms Hooker resigned from the Board in April 2026 and forfeited 9,000 unvested options to purchase Common Stock.</w:t>
      </w:r>
    </w:p>
    <w:p>
      <w:pPr>
        <w:spacing w:after="0" w:line="131"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19,000 shares underlying options to purchase Common Stock that are exercisable on or within 60 days of April 15, 2026 by Dr. Kahn.</w:t>
      </w:r>
    </w:p>
    <w:p>
      <w:pPr>
        <w:spacing w:after="0" w:line="190"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32,166 shares underlying options to purchase Common Stock that are exercisable on or within 60 days of April 15, 2026 by Mr. Kim.</w:t>
      </w:r>
    </w:p>
    <w:p>
      <w:pPr>
        <w:spacing w:after="0" w:line="190"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shares of Common Stock. Also includes shares described in footnote (3) which may be deemed to be beneficially owned by Dr. Robertson.</w:t>
      </w:r>
    </w:p>
    <w:p>
      <w:pPr>
        <w:spacing w:after="0" w:line="190" w:lineRule="exact"/>
        <w:rPr>
          <w:rFonts w:ascii="Arial" w:cs="Arial" w:eastAsia="Arial" w:hAnsi="Arial"/>
          <w:sz w:val="14"/>
          <w:szCs w:val="14"/>
          <w:color w:val="auto"/>
        </w:rPr>
      </w:pPr>
    </w:p>
    <w:p>
      <w:pPr>
        <w:ind w:left="1034" w:hanging="1034"/>
        <w:spacing w:after="0"/>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51,000 shares underlying options to purchase Common Stock that are exercisable on or within 60 days of April 15, 2026 by Mr. Stokes.</w:t>
      </w:r>
    </w:p>
    <w:p>
      <w:pPr>
        <w:spacing w:after="0" w:line="190" w:lineRule="exact"/>
        <w:rPr>
          <w:rFonts w:ascii="Arial" w:cs="Arial" w:eastAsia="Arial" w:hAnsi="Arial"/>
          <w:sz w:val="14"/>
          <w:szCs w:val="14"/>
          <w:color w:val="auto"/>
        </w:rPr>
      </w:pPr>
    </w:p>
    <w:p>
      <w:pPr>
        <w:ind w:left="1034" w:right="120" w:hanging="1034"/>
        <w:spacing w:after="0" w:line="264" w:lineRule="auto"/>
        <w:tabs>
          <w:tab w:leader="none" w:pos="103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the shares of Common Stock and shares of Common Stock issuable upon exercise of outstanding options which are exercisable within 60 days of April 15, 2026 as set forth in footnotes (5) through (7) and (9) through (12). Ms Hooker resigned from the Board in April 2026.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108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are and have been no transactions entered into or existing since January 1, 2024 to which we have been a party in which the amount involved exceeded or will exceed $120,000 (or, if less, 1% of the average of our total assets amounts for the years ended December 31, 2025 and 2024),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16(a) of the Exchange Act requires directors, certain officers and persons who own more than 10% of our common stock to file with the SEC initial reports of beneficial ownership (Form 3) and reports of subsequent changes in their beneficial ownership (Form 4 or Form 5) of our common stock. Such directors, officers and greater-than-10% stockholders are required to furnish copies of the Section 16(a) reports they file to us. The SEC has established specific due dates for these reports, and we are required to disclose in this proxy statement any late filings or failures to file.</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solely upon a review of the copies of the Section 16(a) reports (and any amendments thereto) furnished to us and written representations from certain reporting persons that no additional reports were required, we believe that our directors, reporting officers and greater-than-10% stockholders complied with all these filing requirements for the fiscal year ended December 31, 2025, with the exception of a Form 3 filing for Mr. McKhann related to a transaction that occurred on July 17, 2025 which was inadvertently filed late on March 16, 2026 due to technical issues with his EDGAR Next account for which we received assistance from the SEC.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2027 Annual Meeting pursuant to Rule 14a-8 under the Exchange Act must submit the proposal to our Corporate Secretary at our offices at 1261 Liberty Way, Vista, CA 92081 in writing not later than December 28, 2026, which is 120 days prior to the one-year anniversary of the mailing date of the proxy statement for the Annual Meeting, unless the date of the 2027 Annual Meeting of Stockholders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Stockholders intending to present a proposal at the 2027 Annual Meeting, but not to include the proposal in our proxy statement, or to</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nominate a person for election as a director, must comply with the requirements set forth in our Bylaws. Our Bylaws require, among other things, that our Corporate Secretary receive written notice from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1" w:name="page42"/>
    <w:bookmarkEnd w:id="41"/>
    <w:p>
      <w:pPr>
        <w:ind w:right="60"/>
        <w:spacing w:after="0" w:line="252" w:lineRule="auto"/>
        <w:rPr>
          <w:sz w:val="20"/>
          <w:szCs w:val="20"/>
          <w:color w:val="auto"/>
        </w:rPr>
      </w:pPr>
      <w:r>
        <w:rPr>
          <w:rFonts w:ascii="Arial" w:cs="Arial" w:eastAsia="Arial" w:hAnsi="Arial"/>
          <w:sz w:val="17"/>
          <w:szCs w:val="17"/>
          <w:color w:val="auto"/>
        </w:rPr>
        <w:t>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2027 Annual Meeting no earlier than the close of business on February 9, 2027 and no later than the close of business on March 11, 2027. The notice must contain the information required by the Bylaws, a copy of which is available upon request to our Corporate Secretary. In the event that the date of the 2027 Annual Meeting is more than 30 days before or more than 60 days after June 9, 2027, our Corporate Secretary must receive such written notice not earlier than the close of business on the</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120th day prior to the 2027 Annual Meeting and not later than the later of the close of business on the 90th day prior to the 2027 Annual Meeting and the 10th day following the day on which public disclosure of the date of such meeting is first made by the Company. SEC rules</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 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 Rule 14a-19 requires, among other things, that any stockholder who intends to solicit proxies in support of director nominees other than our director nominees must provide us with written notice as further described in the rule. To be timely for the 2026 Annual Meeting under Rule 14a-19, such notice must contain the information required by Rule 14a-19 and be postmarked or transmitted electronically to our principal executive offices as provided below no later than April 12, 2027 (a date that is no later than 60 calendar days prior to the anniversary of date of the 2026 Annual Meeting); provided, however that, if the date of the 2027 Annual Meeting has changed by more than 30 calendar days from the date of the 2026 Annual Meeting, then notice must be provided by the later of 60 calendar days prior to the date of the 2027 Annual</w:t>
      </w:r>
    </w:p>
    <w:p>
      <w:pPr>
        <w:spacing w:after="0" w:line="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Meeting or the 10th calendar day following the day on which public announcement of the date of the 2027 Annual Meeting is first made by us.</w:t>
      </w:r>
    </w:p>
    <w:p>
      <w:pPr>
        <w:spacing w:after="0" w:line="22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the 2025 Annual Report, our proxy statement and Internet Notice, is not part of the proxy soliciting material and is not incorporated herein by reference.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proxy is solicited by and on behalf of the Board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891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5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 copy of our 2025 Annual Report, including financial statements thereto but not including exhibits, as filed with the SEC, will be sent to any beneficial owners of our Common Stock on the Record Date without charge upon written request addressed 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Exagen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 CA 92081</w:t>
      </w:r>
    </w:p>
    <w:p>
      <w:pPr>
        <w:spacing w:after="0" w:line="23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reasonable fee will be charged for copies of exhibits. You also may access this proxy statement and our 2025 Annual Report at www.proxydocs.com/XGN. We make available free of charge on our website all of our filings that are made electronically with the SEC, including our 2025 Annual Report. These materials can be found at www.exagen.com under the "Investor Relations" section.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Jeffrey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2026</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9231630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842645</wp:posOffset>
            </wp:positionH>
            <wp:positionV relativeFrom="page">
              <wp:posOffset>732155</wp:posOffset>
            </wp:positionV>
            <wp:extent cx="5863590" cy="75863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3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C"/>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2"/>
    </w:lvl>
  </w:abstractNum>
  <w:abstractNum w:abstractNumId="27">
    <w:nsid w:val="8138641"/>
    <w:multiLevelType w:val="hybridMultilevel"/>
    <w:lvl w:ilvl="0">
      <w:lvlJc w:val="left"/>
      <w:lvlText w:val="(%1)"/>
      <w:numFmt w:val="decimal"/>
      <w:start w:val="3"/>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2026-04-27T17:09:42Z</dcterms:created>
  <dcterms:modified xsi:type="dcterms:W3CDTF">2026-04-27T17:09:42Z</dcterms:modified>
</cp:coreProperties>
</file>