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May 11, 2026, the Company reported its financial results for the three months ended March 31, 2026.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46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8"/>
              </w:rPr>
              <w:t>Press Release dated May 11, 2026</w:t>
            </w:r>
          </w:p>
        </w:tc>
        <w:tc>
          <w:tcPr>
            <w:tcW w:w="732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7447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Exagen Inc. Reports First Quarter 2026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Delivers record total revenue and AVISE</w:t>
      </w:r>
      <w:r>
        <w:rPr>
          <w:rFonts w:ascii="Times New Roman" w:cs="Times New Roman" w:eastAsia="Times New Roman" w:hAnsi="Times New Roman"/>
          <w:sz w:val="28"/>
          <w:szCs w:val="28"/>
          <w:i w:val="1"/>
          <w:iCs w:val="1"/>
          <w:color w:val="auto"/>
          <w:vertAlign w:val="superscript"/>
        </w:rPr>
        <w:t>(R)</w:t>
      </w:r>
      <w:r>
        <w:rPr>
          <w:rFonts w:ascii="Times New Roman" w:cs="Times New Roman" w:eastAsia="Times New Roman" w:hAnsi="Times New Roman"/>
          <w:sz w:val="22"/>
          <w:szCs w:val="22"/>
          <w:i w:val="1"/>
          <w:iCs w:val="1"/>
          <w:color w:val="auto"/>
        </w:rPr>
        <w:t xml:space="preserve"> CTD average selling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11, 2026</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Carlsbad, Calif., – Exagen Inc. (Nasdaq: XGN), a leading provider of autoimmune testing solutions, today reported financial results for the quarter ended March 31, 2026, and recent corporate updates.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38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195"/>
        </w:trPr>
        <w:tc>
          <w:tcPr>
            <w:tcW w:w="6640" w:type="dxa"/>
            <w:vAlign w:val="bottom"/>
          </w:tcPr>
          <w:p>
            <w:pPr>
              <w:spacing w:after="0"/>
              <w:rPr>
                <w:sz w:val="16"/>
                <w:szCs w:val="16"/>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r>
      <w:tr>
        <w:trPr>
          <w:trHeight w:val="181"/>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Unaudited. In thousands, except ASP data.</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17,306</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15,498</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59.0 %</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58.9 %</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13,619</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12,488</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(3,414)</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(3,365)</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(3,967)</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(3,752)</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(2,160)</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(2,508)</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Trailing-twelve-month average selling price (ASP)</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444</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419</w:t>
            </w:r>
          </w:p>
        </w:tc>
      </w:tr>
      <w:tr>
        <w:trPr>
          <w:trHeight w:val="194"/>
        </w:trPr>
        <w:tc>
          <w:tcPr>
            <w:tcW w:w="66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21,513</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11,194</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Highlights:</w:t>
      </w:r>
    </w:p>
    <w:p>
      <w:pPr>
        <w:spacing w:after="0" w:line="23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Achieved record total revenue of $17.3 million, an increase of 12% compared to first quarter 2025.</w:t>
      </w:r>
    </w:p>
    <w:p>
      <w:pPr>
        <w:spacing w:after="0" w:line="137"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Grew AVISE CTD test volume 10% compared to first quarter 2025.</w:t>
      </w:r>
    </w:p>
    <w:p>
      <w:pPr>
        <w:spacing w:after="0" w:line="124" w:lineRule="exact"/>
        <w:rPr>
          <w:rFonts w:ascii="Arial" w:cs="Arial" w:eastAsia="Arial" w:hAnsi="Arial"/>
          <w:sz w:val="22"/>
          <w:szCs w:val="22"/>
          <w:color w:val="auto"/>
        </w:rPr>
      </w:pPr>
    </w:p>
    <w:p>
      <w:pPr>
        <w:ind w:left="660" w:hanging="328"/>
        <w:spacing w:after="0" w:line="257" w:lineRule="auto"/>
        <w:tabs>
          <w:tab w:leader="none" w:pos="6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Expanded AVISE CTD trailing-twelve-month ASP to $444 per test, an increase of $25 per test, or 6% compared to first quarter 2025.</w:t>
      </w:r>
    </w:p>
    <w:p>
      <w:pPr>
        <w:spacing w:after="0" w:line="91"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Delivered an adjusted EBITDA loss of $2.2 million, an improvement of 14% compared to first quarter 2025.</w:t>
      </w:r>
    </w:p>
    <w:p>
      <w:pPr>
        <w:spacing w:after="0" w:line="124"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Ended the quarter with approximately $22 million in cash and cash equivalents, ahead of expectations and consistent with long-standing strategy to hold claims in the first quarter.</w:t>
      </w:r>
    </w:p>
    <w:p>
      <w:pPr>
        <w:spacing w:after="0" w:line="200" w:lineRule="exact"/>
        <w:rPr>
          <w:sz w:val="20"/>
          <w:szCs w:val="20"/>
          <w:color w:val="auto"/>
        </w:rPr>
      </w:pPr>
    </w:p>
    <w:p>
      <w:pPr>
        <w:spacing w:after="0" w:line="2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1B1B1B"/>
        </w:rPr>
        <w:t xml:space="preserve">“First quarter results establish a solid start to 2026, reflecting our team’s disciplined execution and effective revenue cycle management,” </w:t>
      </w:r>
      <w:r>
        <w:rPr>
          <w:rFonts w:ascii="Times New Roman" w:cs="Times New Roman" w:eastAsia="Times New Roman" w:hAnsi="Times New Roman"/>
          <w:sz w:val="22"/>
          <w:szCs w:val="22"/>
          <w:color w:val="000000"/>
        </w:rPr>
        <w:t>said John Aballi, President and CEO.</w:t>
      </w:r>
      <w:r>
        <w:rPr>
          <w:rFonts w:ascii="Times New Roman" w:cs="Times New Roman" w:eastAsia="Times New Roman" w:hAnsi="Times New Roman"/>
          <w:sz w:val="22"/>
          <w:szCs w:val="22"/>
          <w:color w:val="1B1B1B"/>
        </w:rPr>
        <w:t xml:space="preserve"> “Exagen is uniquely committed to providing clarity for autoimmune patients and confidence for clinicians.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1B1B1B"/>
        </w:rPr>
        <w:t>We have built a foundation to expand our reach and advance innovation in a market with significant unmet need.”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Guidance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continues to expect full-year 2026 revenue of $70 million to $73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 conference call to review first quarter financial results is scheduled for today, May 11, 2026, at 8:30 a.m. ET (5:30 a.m. PT). Interested parties may access the conference call by dialing (877) 407-0890 (U.S.), or +1 (201) 389-0918 (international). Additionally, a link to a live webcast of the call will be available in the Investor Relations section of Exagen's website at </w:t>
      </w:r>
      <w:r>
        <w:rPr>
          <w:rFonts w:ascii="Times New Roman" w:cs="Times New Roman" w:eastAsia="Times New Roman" w:hAnsi="Times New Roman"/>
          <w:sz w:val="22"/>
          <w:szCs w:val="22"/>
          <w:color w:val="0000FF"/>
        </w:rPr>
        <w:t>investors.exagen.com</w:t>
      </w:r>
      <w:r>
        <w:rPr>
          <w:rFonts w:ascii="Times New Roman" w:cs="Times New Roman" w:eastAsia="Times New Roman" w:hAnsi="Times New Roman"/>
          <w:sz w:val="22"/>
          <w:szCs w:val="22"/>
          <w:color w:val="000000"/>
        </w:rPr>
        <w:t>. Participants are asked to join a few minutes prior to the call to register for the event.</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replay of the conference call will be available until May 25, 2026. Interested parties may access the replay by dialing (877) 660-6853 (U.S.) or +1 (201) 612-7415 (international) using passcode 13759736. A link to the replay of the webcast will also be available in the Investor Relations section of Exagen's website.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 (UNAUDITED)</w:t>
      </w:r>
    </w:p>
    <w:p>
      <w:pPr>
        <w:spacing w:after="0" w:line="237"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is defined as net loss adjusted for interest income (expense), income tax expense (benefit), depreciation and amortization expense, stock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based compensation expense, change in fair value of warrant liability, and certain other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unusual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recurring items, including, for example, losses on extinguishment of debt and changes in the fair value of warrant liabilities; we do not exclude normal, recurring, cash operating expenses from this measure. Such items could have a significant impact on the calculation of GAAP net loss.</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Exagen uses adjusted EBITDA internally because the company believes these metrics provide useful supplemental information in assessing its operating performance reported in accordance with GAAP. Exagen believes adjusted EBITDA may enhance an evaluation of the operating performance because it excludes the impact of prior decisions made about capital investment, financing, investing and certain expenses the company believes are not indicative of the ongoing performance. However, this non-GAAP financial measure may be different from non-GAAP financial measures used by other companies, even when the same or similarly titled terms are used to identify such measures, limiting their usefulness for comparative purposes.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non-GAAP financial measure is not meant to be considered in isolation or used as a substitute for net loss reported in accordance with GAAP, should be considered in conjunction with the financial information presented in accordance with GAAP, has no standardized meaning prescribed by GAAP, is unaudited, and is not prepared under any comprehensive set of accounting rules or principles. In addition, from time to time in the future, there may be other</w:t>
      </w:r>
    </w:p>
    <w:p>
      <w:pPr>
        <w:sectPr>
          <w:pgSz w:w="11900" w:h="16838" w:orient="portrait"/>
          <w:cols w:equalWidth="0" w:num="1">
            <w:col w:w="11240"/>
          </w:cols>
          <w:pgMar w:left="320" w:top="1408" w:right="339" w:bottom="144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22"/>
          <w:szCs w:val="22"/>
          <w:color w:val="auto"/>
        </w:rPr>
        <w:t>items that Exagen may exclude for purposes of these non-GAAP financial measures, and the company may in the future cease to exclude items that it has historically excluded for purposes of these non-GAAP financial measures. Likewise, Exagen may determine to modify the nature of adjustments to arrive at these non-GAAP financial 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reconciliation of net loss to non-GAAP adjusted EBITDA is provided in the financial schedules that are part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Exagen</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decision-making and improve clinical outcomes through its innovative testing portfolio. The company’s flagship product, AVISE® CTD, enables clinicians to more effectively diagnose complex autoimmune conditions such as lupus, rheumatoid arthritis, and Sjögren’s disease earlier and with greater accuracy. Exagen’s CLIA-certified, CAP-accredited laboratory specializes in the testing of rheumatic diseases, delivering precise and timely results, supported by a suite of AVISE-branded tests for disease diagnosis, prognosis, and monitoring. With a focus on research, innovation, education, and patient-centered care, Exagen is dedicated to addressing the ongoing challenges of autoimmune disease management.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visit </w:t>
      </w:r>
      <w:r>
        <w:rPr>
          <w:rFonts w:ascii="Times New Roman" w:cs="Times New Roman" w:eastAsia="Times New Roman" w:hAnsi="Times New Roman"/>
          <w:sz w:val="22"/>
          <w:szCs w:val="22"/>
          <w:color w:val="0000FF"/>
        </w:rPr>
        <w:t>Exagen.com</w:t>
      </w:r>
      <w:r>
        <w:rPr>
          <w:rFonts w:ascii="Times New Roman" w:cs="Times New Roman" w:eastAsia="Times New Roman" w:hAnsi="Times New Roman"/>
          <w:sz w:val="22"/>
          <w:szCs w:val="22"/>
          <w:color w:val="auto"/>
        </w:rPr>
        <w:t xml:space="preserve"> or follow Exagen on </w:t>
      </w:r>
      <w:r>
        <w:rPr>
          <w:rFonts w:ascii="Times New Roman" w:cs="Times New Roman" w:eastAsia="Times New Roman" w:hAnsi="Times New Roman"/>
          <w:sz w:val="22"/>
          <w:szCs w:val="22"/>
          <w:color w:val="0000FF"/>
        </w:rPr>
        <w:t>LinkedIn</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the potential utility and effectiveness of Exagen’s services and testing solutions; the anticipated benefits of and adoption trajectory for Exagen's recently launched biomarkers; the impact of Exagen's revenue cycle management strategy on the timing of collections and cash burn; potential stockholder value and growth and full-year 2026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w:t>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32" w:lineRule="auto"/>
        <w:rPr>
          <w:sz w:val="20"/>
          <w:szCs w:val="20"/>
          <w:color w:val="auto"/>
        </w:rPr>
      </w:pPr>
      <w:r>
        <w:rPr>
          <w:rFonts w:ascii="Times New Roman" w:cs="Times New Roman" w:eastAsia="Times New Roman" w:hAnsi="Times New Roman"/>
          <w:sz w:val="22"/>
          <w:szCs w:val="22"/>
          <w:color w:val="auto"/>
        </w:rPr>
        <w:t>commercial success depends upon attaining and maintaining significant market acceptance of its testing products among rheumatologists, patients, third-party payors and others in the medical community; Exagen’s ability to successfully execute on its business strategies; and ability to obtain additional funding;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2025, filed with the SEC on March 10, 2026,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Tina Jacobsen, CFA</w:t>
      </w:r>
    </w:p>
    <w:p>
      <w:pPr>
        <w:spacing w:after="0" w:line="230" w:lineRule="auto"/>
        <w:rPr>
          <w:sz w:val="20"/>
          <w:szCs w:val="20"/>
          <w:color w:val="auto"/>
        </w:rPr>
      </w:pPr>
      <w:r>
        <w:rPr>
          <w:rFonts w:ascii="Times New Roman" w:cs="Times New Roman" w:eastAsia="Times New Roman" w:hAnsi="Times New Roman"/>
          <w:sz w:val="22"/>
          <w:szCs w:val="22"/>
          <w:color w:val="auto"/>
        </w:rPr>
        <w:t>Exagen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ir@exagen.com</w:t>
      </w:r>
    </w:p>
    <w:p>
      <w:pPr>
        <w:sectPr>
          <w:pgSz w:w="11900" w:h="16838" w:orient="portrait"/>
          <w:cols w:equalWidth="0" w:num="1">
            <w:col w:w="11240"/>
          </w:cols>
          <w:pgMar w:left="320" w:top="14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c>
          <w:tcPr>
            <w:tcW w:w="0" w:type="dxa"/>
            <w:vAlign w:val="bottom"/>
          </w:tcPr>
          <w:p>
            <w:pPr>
              <w:spacing w:after="0"/>
              <w:rPr>
                <w:sz w:val="1"/>
                <w:szCs w:val="1"/>
                <w:color w:val="auto"/>
              </w:rPr>
            </w:pPr>
          </w:p>
        </w:tc>
      </w:tr>
      <w:tr>
        <w:trPr>
          <w:trHeight w:val="19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w:t>
            </w:r>
          </w:p>
        </w:tc>
        <w:tc>
          <w:tcPr>
            <w:tcW w:w="0" w:type="dxa"/>
            <w:vAlign w:val="bottom"/>
          </w:tcPr>
          <w:p>
            <w:pPr>
              <w:spacing w:after="0"/>
              <w:rPr>
                <w:sz w:val="1"/>
                <w:szCs w:val="1"/>
                <w:color w:val="auto"/>
              </w:rPr>
            </w:pP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11,204</w:t>
            </w:r>
          </w:p>
        </w:tc>
        <w:tc>
          <w:tcPr>
            <w:tcW w:w="0" w:type="dxa"/>
            <w:vAlign w:val="bottom"/>
          </w:tcPr>
          <w:p>
            <w:pPr>
              <w:spacing w:after="0"/>
              <w:rPr>
                <w:sz w:val="1"/>
                <w:szCs w:val="1"/>
                <w:color w:val="auto"/>
              </w:rPr>
            </w:pPr>
          </w:p>
        </w:tc>
      </w:tr>
      <w:tr>
        <w:trPr>
          <w:trHeight w:val="199"/>
        </w:trPr>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12,488</w:t>
            </w:r>
          </w:p>
        </w:tc>
        <w:tc>
          <w:tcPr>
            <w:tcW w:w="0" w:type="dxa"/>
            <w:vAlign w:val="bottom"/>
          </w:tcPr>
          <w:p>
            <w:pPr>
              <w:spacing w:after="0"/>
              <w:rPr>
                <w:sz w:val="1"/>
                <w:szCs w:val="1"/>
                <w:color w:val="auto"/>
              </w:rPr>
            </w:pPr>
          </w:p>
        </w:tc>
      </w:tr>
      <w:tr>
        <w:trPr>
          <w:trHeight w:val="192"/>
        </w:trPr>
        <w:tc>
          <w:tcPr>
            <w:tcW w:w="69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(3,365)</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2"/>
        </w:trPr>
        <w:tc>
          <w:tcPr>
            <w:tcW w:w="694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(3,931)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(3,967)</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23,854,997</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18,557,390</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40" w:top="1409" w:right="759" w:bottom="1440" w:gutter="0" w:footer="0" w:header="0"/>
        </w:sectPr>
      </w:pPr>
    </w:p>
    <w:bookmarkStart w:id="8" w:name="page9"/>
    <w:bookmarkEnd w:id="8"/>
    <w:p>
      <w:pPr>
        <w:ind w:left="5120"/>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1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Unaudited Condensed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32,220</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6,938</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Finance lease liabilities, 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 current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37,525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40,573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as of March 31, 2026 and</w:t>
            </w:r>
          </w:p>
        </w:tc>
        <w:tc>
          <w:tcPr>
            <w:tcW w:w="3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2025</w:t>
            </w:r>
          </w:p>
        </w:tc>
        <w:tc>
          <w:tcPr>
            <w:tcW w:w="3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360"/>
              <w:spacing w:after="0" w:line="149" w:lineRule="exact"/>
              <w:rPr>
                <w:sz w:val="20"/>
                <w:szCs w:val="20"/>
                <w:color w:val="auto"/>
              </w:rPr>
            </w:pPr>
            <w:r>
              <w:rPr>
                <w:rFonts w:ascii="Arial" w:cs="Arial" w:eastAsia="Arial" w:hAnsi="Arial"/>
                <w:sz w:val="14"/>
                <w:szCs w:val="14"/>
                <w:color w:val="auto"/>
              </w:rPr>
              <w:t>Common stock, $0.001 par value; 200,000,000 shares authorized as of March 31, 2026 and December 31, 2025; 24,088,057</w:t>
            </w:r>
          </w:p>
        </w:tc>
        <w:tc>
          <w:tcPr>
            <w:tcW w:w="3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8680" w:type="dxa"/>
            <w:vAlign w:val="bottom"/>
          </w:tcPr>
          <w:p>
            <w:pPr>
              <w:ind w:left="360"/>
              <w:spacing w:after="0"/>
              <w:rPr>
                <w:sz w:val="20"/>
                <w:szCs w:val="20"/>
                <w:color w:val="auto"/>
              </w:rPr>
            </w:pPr>
            <w:r>
              <w:rPr>
                <w:rFonts w:ascii="Arial" w:cs="Arial" w:eastAsia="Arial" w:hAnsi="Arial"/>
                <w:sz w:val="14"/>
                <w:szCs w:val="14"/>
                <w:color w:val="auto"/>
              </w:rPr>
              <w:t>and 22,911,575 shares issued and outstanding as of March 31, 2026 and December 31, 2025, respectively</w:t>
            </w: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331,708</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(314,282)</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17,449</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9" w:right="339" w:bottom="1440" w:gutter="0" w:footer="0" w:header="0"/>
        </w:sectPr>
      </w:pPr>
    </w:p>
    <w:bookmarkStart w:id="9" w:name="page10"/>
    <w:bookmarkEnd w:id="9"/>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1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The table below presents the reconciliation of adjusted EBITDA, which is a non-GAAP financial measure. See "Use of Non-GAAP Financial Measures (UNAUDITED)" above for further information regarding Exagen's use of non-GAAP financial measures.</w:t>
      </w: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181"/>
        </w:trPr>
        <w:tc>
          <w:tcPr>
            <w:tcW w:w="64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5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8"/>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(3,967)</w:t>
            </w:r>
          </w:p>
        </w:tc>
        <w:tc>
          <w:tcPr>
            <w:tcW w:w="12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98"/>
        </w:trPr>
        <w:tc>
          <w:tcPr>
            <w:tcW w:w="20" w:type="dxa"/>
            <w:vAlign w:val="bottom"/>
          </w:tcPr>
          <w:p>
            <w:pPr>
              <w:spacing w:after="0"/>
              <w:rPr>
                <w:sz w:val="17"/>
                <w:szCs w:val="17"/>
                <w:color w:val="auto"/>
              </w:rPr>
            </w:pPr>
          </w:p>
        </w:tc>
        <w:tc>
          <w:tcPr>
            <w:tcW w:w="646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6460" w:type="dxa"/>
            <w:vAlign w:val="bottom"/>
            <w:gridSpan w:val="2"/>
          </w:tcPr>
          <w:p>
            <w:pPr>
              <w:ind w:left="340"/>
              <w:spacing w:after="0"/>
              <w:rPr>
                <w:sz w:val="20"/>
                <w:szCs w:val="20"/>
                <w:color w:val="auto"/>
              </w:rPr>
            </w:pPr>
            <w:r>
              <w:rPr>
                <w:rFonts w:ascii="Arial" w:cs="Arial" w:eastAsia="Arial" w:hAnsi="Arial"/>
                <w:sz w:val="14"/>
                <w:szCs w:val="14"/>
                <w:color w:val="auto"/>
              </w:rPr>
              <w:t>Income tax expense (benefit)</w:t>
            </w: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98"/>
        </w:trPr>
        <w:tc>
          <w:tcPr>
            <w:tcW w:w="20" w:type="dxa"/>
            <w:vAlign w:val="bottom"/>
            <w:tcBorders>
              <w:bottom w:val="single" w:sz="8" w:color="CCEEFF"/>
            </w:tcBorders>
          </w:tcPr>
          <w:p>
            <w:pPr>
              <w:spacing w:after="0"/>
              <w:rPr>
                <w:sz w:val="17"/>
                <w:szCs w:val="17"/>
                <w:color w:val="auto"/>
              </w:rPr>
            </w:pPr>
          </w:p>
        </w:tc>
        <w:tc>
          <w:tcPr>
            <w:tcW w:w="6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r>
      <w:tr>
        <w:trPr>
          <w:trHeight w:val="221"/>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20"/>
      </w:cols>
      <w:pgMar w:left="320" w:top="140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2026-05-11T07:04:45Z</dcterms:created>
  <dcterms:modified xsi:type="dcterms:W3CDTF">2026-05-11T07:04:45Z</dcterms:modified>
</cp:coreProperties>
</file>