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350,000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350,000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October 16, 2022, subject to the Reporting Person's continued service through the applicable vesting date. In addition, the award may become fully vested upon a qualifying termination of employment in connection with a change in control.</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311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2022-10-18T19:43:28Z</dcterms:created>
  <dcterms:modified xsi:type="dcterms:W3CDTF">2022-10-18T19:43:28Z</dcterms:modified>
</cp:coreProperties>
</file>