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18, 2024</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18, 2024, the Company reported its financial results for the quarter and year ended December 31, 2023.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18, 2024</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7447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Exagen Inc. Reports Strong Fourth Quarter and Full-Year 2023 Results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March 18, 2024</w:t>
      </w:r>
    </w:p>
    <w:p>
      <w:pPr>
        <w:spacing w:after="0" w:line="248" w:lineRule="exact"/>
        <w:rPr>
          <w:sz w:val="20"/>
          <w:szCs w:val="20"/>
          <w:color w:val="auto"/>
        </w:rPr>
      </w:pPr>
    </w:p>
    <w:p>
      <w:pPr>
        <w:ind w:right="280"/>
        <w:spacing w:after="0" w:line="224" w:lineRule="auto"/>
        <w:rPr>
          <w:sz w:val="20"/>
          <w:szCs w:val="20"/>
          <w:color w:val="auto"/>
        </w:rPr>
      </w:pPr>
      <w:r>
        <w:rPr>
          <w:rFonts w:ascii="Calibri" w:cs="Calibri" w:eastAsia="Calibri" w:hAnsi="Calibri"/>
          <w:sz w:val="22"/>
          <w:szCs w:val="22"/>
          <w:color w:val="auto"/>
        </w:rPr>
        <w:t xml:space="preserve">Carlsbad, Calif., </w:t>
      </w:r>
      <w:r>
        <w:rPr>
          <w:rFonts w:ascii="Calibri" w:cs="Calibri" w:eastAsia="Calibri" w:hAnsi="Calibri"/>
          <w:sz w:val="19"/>
          <w:szCs w:val="19"/>
          <w:color w:val="auto"/>
        </w:rPr>
        <w:t>– Exagen Inc. (Nasdaq: XGN), a leading provider of autoimmune testng solutons, today reported fnancial results for</w:t>
      </w:r>
      <w:r>
        <w:rPr>
          <w:rFonts w:ascii="Calibri" w:cs="Calibri" w:eastAsia="Calibri" w:hAnsi="Calibri"/>
          <w:sz w:val="22"/>
          <w:szCs w:val="22"/>
          <w:color w:val="auto"/>
        </w:rPr>
        <w:t xml:space="preserve"> </w:t>
      </w:r>
      <w:r>
        <w:rPr>
          <w:rFonts w:ascii="Calibri" w:cs="Calibri" w:eastAsia="Calibri" w:hAnsi="Calibri"/>
          <w:sz w:val="19"/>
          <w:szCs w:val="19"/>
          <w:color w:val="auto"/>
        </w:rPr>
        <w:t>the fourth quarter and full year ended December 31, 2023.</w:t>
      </w:r>
    </w:p>
    <w:p>
      <w:pPr>
        <w:spacing w:after="0" w:line="36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Financial Highlights:</w:t>
      </w:r>
    </w:p>
    <w:p>
      <w:pPr>
        <w:spacing w:after="0" w:line="147" w:lineRule="exact"/>
        <w:rPr>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Record total revenue of $52.5 million for the full-year 2023, and total revenue of $13.8 million for the fourth quarter of 2023.</w:t>
      </w:r>
    </w:p>
    <w:p>
      <w:pPr>
        <w:spacing w:after="0" w:line="170" w:lineRule="exact"/>
        <w:rPr>
          <w:rFonts w:ascii="Calibri" w:cs="Calibri" w:eastAsia="Calibri" w:hAnsi="Calibri"/>
          <w:sz w:val="20"/>
          <w:szCs w:val="20"/>
          <w:color w:val="auto"/>
        </w:rPr>
      </w:pPr>
    </w:p>
    <w:p>
      <w:pPr>
        <w:ind w:left="980" w:right="380" w:hanging="324"/>
        <w:spacing w:after="0" w:line="228"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Record 137,650 AVISE® CTD tests performed for the full-year 2023, including 30,438 tests for the fourth quarter of 2023. Over 900,000 AVISE® CTD tests performed to date since launch.</w:t>
      </w:r>
    </w:p>
    <w:p>
      <w:pPr>
        <w:spacing w:after="0" w:line="160"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AVISE® CTD trailing twelve-month average selling price (ASP) of $336, an increase of $51 over the course of the year.</w:t>
      </w:r>
    </w:p>
    <w:p>
      <w:pPr>
        <w:spacing w:after="0" w:line="147"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Delivered 56% gross margin for full-year 2023 and 59% for the fourth quarter of 2023.</w:t>
      </w:r>
    </w:p>
    <w:p>
      <w:pPr>
        <w:spacing w:after="0" w:line="174"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Net loss of $23.7 million for the full-year 2023 and $5.6 million for the fourth quarter of 2023.</w:t>
      </w:r>
    </w:p>
    <w:p>
      <w:pPr>
        <w:spacing w:after="0" w:line="160"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Adjusted EBITDA of $(17.1) million for the full-year 2023 and $(3.9) million in the fourth quarter of 2023.</w:t>
      </w:r>
    </w:p>
    <w:p>
      <w:pPr>
        <w:spacing w:after="0" w:line="160"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Cash balance of $36.5 million at year-end 2023.</w:t>
      </w:r>
    </w:p>
    <w:p>
      <w:pPr>
        <w:spacing w:after="0" w:line="200" w:lineRule="exact"/>
        <w:rPr>
          <w:sz w:val="20"/>
          <w:szCs w:val="20"/>
          <w:color w:val="auto"/>
        </w:rPr>
      </w:pPr>
    </w:p>
    <w:p>
      <w:pPr>
        <w:spacing w:after="0" w:line="214" w:lineRule="exact"/>
        <w:rPr>
          <w:sz w:val="20"/>
          <w:szCs w:val="20"/>
          <w:color w:val="auto"/>
        </w:rPr>
      </w:pPr>
    </w:p>
    <w:p>
      <w:pPr>
        <w:spacing w:after="0" w:line="215" w:lineRule="auto"/>
        <w:rPr>
          <w:sz w:val="20"/>
          <w:szCs w:val="20"/>
          <w:color w:val="auto"/>
        </w:rPr>
      </w:pPr>
      <w:r>
        <w:rPr>
          <w:rFonts w:ascii="Calibri" w:cs="Calibri" w:eastAsia="Calibri" w:hAnsi="Calibri"/>
          <w:sz w:val="20"/>
          <w:szCs w:val="20"/>
          <w:color w:val="auto"/>
        </w:rPr>
        <w:t>“I am extremely proud of our team's commitment and hard work this past year. We transformed quite a bit at Exagen and together, we are steering the company towards proftability, with a sharp focus on increasing ASP while diligently driving down expenses and responsibly managing cash. The progress we've made in the past year has signifcantly bolstered the health of our organizaton. We look forward to serving our clinicians and patents in 2024 with a renewed organizaton which is very much focused on reaching our operatng goals. Our strategy has been validated and I’m confdent that the best is yet to come for Exagen.” said John Aballi, President and Chief Executve Ofcer.</w:t>
      </w:r>
    </w:p>
    <w:p>
      <w:pPr>
        <w:spacing w:after="0" w:line="36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Fourth Quarter 2023 Financial Results</w:t>
      </w:r>
    </w:p>
    <w:p>
      <w:pPr>
        <w:spacing w:after="0" w:line="157" w:lineRule="exact"/>
        <w:rPr>
          <w:sz w:val="20"/>
          <w:szCs w:val="20"/>
          <w:color w:val="auto"/>
        </w:rPr>
      </w:pPr>
    </w:p>
    <w:p>
      <w:pPr>
        <w:ind w:right="80"/>
        <w:spacing w:after="0"/>
        <w:rPr>
          <w:sz w:val="20"/>
          <w:szCs w:val="20"/>
          <w:color w:val="auto"/>
        </w:rPr>
      </w:pPr>
      <w:r>
        <w:rPr>
          <w:rFonts w:ascii="Calibri" w:cs="Calibri" w:eastAsia="Calibri" w:hAnsi="Calibri"/>
          <w:sz w:val="20"/>
          <w:szCs w:val="20"/>
          <w:color w:val="auto"/>
        </w:rPr>
        <w:t>Total revenue for the fourth quarter of 2023 and 2022 was $13.8 million and $12.8 million, respectvely. Total gross margin was 59.2% in the fourth quarter of 2023 compared to 50.9% in the fourth quarter of 2022. The increase in gross margin percentage was primarily driven by an increase in ASP.</w:t>
      </w:r>
    </w:p>
    <w:p>
      <w:pPr>
        <w:sectPr>
          <w:pgSz w:w="11900" w:h="16838" w:orient="portrait"/>
          <w:cols w:equalWidth="0" w:num="1">
            <w:col w:w="11220"/>
          </w:cols>
          <w:pgMar w:left="320" w:top="1440" w:right="359" w:bottom="1440" w:gutter="0" w:footer="0" w:header="0"/>
        </w:sectPr>
      </w:pPr>
    </w:p>
    <w:bookmarkStart w:id="4" w:name="page5"/>
    <w:bookmarkEnd w:id="4"/>
    <w:p>
      <w:pPr>
        <w:ind w:right="80"/>
        <w:spacing w:after="0" w:line="222" w:lineRule="auto"/>
        <w:rPr>
          <w:sz w:val="20"/>
          <w:szCs w:val="20"/>
          <w:color w:val="auto"/>
        </w:rPr>
      </w:pPr>
      <w:r>
        <w:rPr>
          <w:rFonts w:ascii="Calibri" w:cs="Calibri" w:eastAsia="Calibri" w:hAnsi="Calibri"/>
          <w:sz w:val="20"/>
          <w:szCs w:val="20"/>
          <w:color w:val="auto"/>
        </w:rPr>
        <w:t>Operatng expenses were $18.9 million in the fourth quarter of 2023, compared to $27.3 million in the fourth quarter of 2022. The year-over-year decreases in operatng expenses in the fourth quarter was primarily driven by lower selling, general and administratve expenses due to decreases in personnel costs and lower research and development expenses.</w:t>
      </w:r>
    </w:p>
    <w:p>
      <w:pPr>
        <w:spacing w:after="0" w:line="227" w:lineRule="exact"/>
        <w:rPr>
          <w:sz w:val="20"/>
          <w:szCs w:val="20"/>
          <w:color w:val="auto"/>
        </w:rPr>
      </w:pPr>
    </w:p>
    <w:p>
      <w:pPr>
        <w:ind w:right="260"/>
        <w:spacing w:after="0" w:line="228" w:lineRule="auto"/>
        <w:rPr>
          <w:sz w:val="20"/>
          <w:szCs w:val="20"/>
          <w:color w:val="auto"/>
        </w:rPr>
      </w:pPr>
      <w:r>
        <w:rPr>
          <w:rFonts w:ascii="Calibri" w:cs="Calibri" w:eastAsia="Calibri" w:hAnsi="Calibri"/>
          <w:sz w:val="20"/>
          <w:szCs w:val="20"/>
          <w:color w:val="auto"/>
        </w:rPr>
        <w:t>For the fourth quarter of 2023, net loss was $5.6 million, compared to a net loss of $14.4 million for the fourth quarter of 2022 (which includes a $5.5 million impairment of goodwill that we recognized in the fourth quarter of 2022).</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Adjusted EBITDA was $(3.9) million for the fourth quarter of 2023 compared to $(13.4) million for the fourth quarter of 2022.</w:t>
      </w:r>
    </w:p>
    <w:p>
      <w:pPr>
        <w:spacing w:after="0" w:line="157" w:lineRule="exact"/>
        <w:rPr>
          <w:sz w:val="20"/>
          <w:szCs w:val="20"/>
          <w:color w:val="auto"/>
        </w:rPr>
      </w:pPr>
    </w:p>
    <w:p>
      <w:pPr>
        <w:ind w:right="80"/>
        <w:spacing w:after="0" w:line="234" w:lineRule="auto"/>
        <w:rPr>
          <w:sz w:val="20"/>
          <w:szCs w:val="20"/>
          <w:color w:val="auto"/>
        </w:rPr>
      </w:pPr>
      <w:r>
        <w:rPr>
          <w:rFonts w:ascii="Calibri" w:cs="Calibri" w:eastAsia="Calibri" w:hAnsi="Calibri"/>
          <w:sz w:val="20"/>
          <w:szCs w:val="20"/>
          <w:color w:val="auto"/>
        </w:rPr>
        <w:t>A reconciliaton of non-GAAP adjusted EBITDA is provided in the fnancial schedules that are part of this press release. An explanaton of this non-GAAP fnancial measures is also included below under the heading “Use of Non-GAAP Financial Measures (unaudited).”</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Full-Year 2023 Financial Results</w:t>
      </w:r>
    </w:p>
    <w:p>
      <w:pPr>
        <w:spacing w:after="0" w:line="157"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Total revenue for full-year 2023 was $52.5 million, compared with $45.6 million for full-year 2022. Total gross margin was 56.1% for the full-year 2023 compared to 46.9% in 2022.</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color w:val="auto"/>
        </w:rPr>
        <w:t>Operatng expenses were $75.4 million for the full-year 2023, compared with $91.6 million for the full-year 2022.</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Net loss was $23.7 million for the full year of 2023, compared with $47.4 million for the full year of 2022.</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Adjusted EBITDA was $(17.1) million for the full-year 2023 compared to $(39.8) million during the same period in 2022.</w:t>
      </w:r>
    </w:p>
    <w:p>
      <w:pPr>
        <w:spacing w:after="0" w:line="157" w:lineRule="exact"/>
        <w:rPr>
          <w:sz w:val="20"/>
          <w:szCs w:val="20"/>
          <w:color w:val="auto"/>
        </w:rPr>
      </w:pPr>
    </w:p>
    <w:p>
      <w:pPr>
        <w:ind w:right="80"/>
        <w:spacing w:after="0" w:line="234" w:lineRule="auto"/>
        <w:rPr>
          <w:sz w:val="20"/>
          <w:szCs w:val="20"/>
          <w:color w:val="auto"/>
        </w:rPr>
      </w:pPr>
      <w:r>
        <w:rPr>
          <w:rFonts w:ascii="Calibri" w:cs="Calibri" w:eastAsia="Calibri" w:hAnsi="Calibri"/>
          <w:sz w:val="20"/>
          <w:szCs w:val="20"/>
          <w:color w:val="auto"/>
        </w:rPr>
        <w:t>Cash and cash equivalents were approximately $36.5 million as of December 31, 2023 and our accounts receivables were $6.5 million as of December 31, 2023.</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Guidance</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For full-year 2024 revenue, we are providing guidance of approximately $54 million. For frst quarter 2024 revenue, we are providing 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guidance range of $13.0 million to $13.5 million. For full-year 2024, we believe our adjusted EBITDA will be beter than negatve $20</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million. Given our contnued improved performance, we believe our existng cash and cash equivalents are adequate to meet our</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antcipated cash requirements into 2026.</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w:t>
      </w:r>
    </w:p>
    <w:p>
      <w:pPr>
        <w:spacing w:after="0" w:line="157" w:lineRule="exact"/>
        <w:rPr>
          <w:sz w:val="20"/>
          <w:szCs w:val="20"/>
          <w:color w:val="auto"/>
        </w:rPr>
      </w:pPr>
    </w:p>
    <w:p>
      <w:pPr>
        <w:ind w:right="140"/>
        <w:spacing w:after="0"/>
        <w:rPr>
          <w:sz w:val="20"/>
          <w:szCs w:val="20"/>
          <w:color w:val="auto"/>
        </w:rPr>
      </w:pPr>
      <w:r>
        <w:rPr>
          <w:rFonts w:ascii="Calibri" w:cs="Calibri" w:eastAsia="Calibri" w:hAnsi="Calibri"/>
          <w:sz w:val="20"/>
          <w:szCs w:val="20"/>
          <w:color w:val="auto"/>
        </w:rPr>
        <w:t>A conference call to provide a business update and review fourth quarter and full-year 2023 fnancial results is scheduled for today March 18, 2024 at 8:30 AM Eastern Time (5:30 AM Pacifc Time). Interested partes may access the conference call by dialing (201) 389-0918 (U.S.) or (877) 407-0890 (internatonal). Additonally, a link to a live webcast of the call will be available in the Investor Relatons secton of Exagen's website at investors.exagen.com.</w:t>
      </w:r>
    </w:p>
    <w:p>
      <w:pPr>
        <w:spacing w:after="0" w:line="157"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Partcipants are asked to join a few minutes prior to the call to register for the event. A replay of the conference call will be available untl Monday, April 1, 2024 at 11:59 PM Eastern Time (8:59 PM Pacifc</w:t>
      </w:r>
    </w:p>
    <w:p>
      <w:pPr>
        <w:sectPr>
          <w:pgSz w:w="11900" w:h="16838" w:orient="portrait"/>
          <w:cols w:equalWidth="0" w:num="1">
            <w:col w:w="11240"/>
          </w:cols>
          <w:pgMar w:left="320" w:top="1398" w:right="339" w:bottom="1440" w:gutter="0" w:footer="0" w:header="0"/>
        </w:sectPr>
      </w:pPr>
    </w:p>
    <w:bookmarkStart w:id="5" w:name="page6"/>
    <w:bookmarkEnd w:id="5"/>
    <w:p>
      <w:pPr>
        <w:ind w:right="680"/>
        <w:spacing w:after="0" w:line="234" w:lineRule="auto"/>
        <w:rPr>
          <w:sz w:val="20"/>
          <w:szCs w:val="20"/>
          <w:color w:val="auto"/>
        </w:rPr>
      </w:pPr>
      <w:r>
        <w:rPr>
          <w:rFonts w:ascii="Calibri" w:cs="Calibri" w:eastAsia="Calibri" w:hAnsi="Calibri"/>
          <w:sz w:val="20"/>
          <w:szCs w:val="20"/>
          <w:color w:val="auto"/>
        </w:rPr>
        <w:t>Time). Interested partes may access the replay by dialing (201) 612-7415 (U.S.) or (877) 660-6853 (internatonal) using passcode 13743861. A link to the replay of the webcast will also be available in the investor relatons secton of Exagen's website.</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Use of Non-GAAP Financial Measures (UNAUDITED)</w:t>
      </w:r>
    </w:p>
    <w:p>
      <w:pPr>
        <w:spacing w:after="0" w:line="22"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In this release, we use the metrics adjusted EBITDA, which is not calculated in accordance with generally accepted accountng principles in the United States (GAAP) and is a non-GAAP fnancial measure. Adjusted EBITDA excludes from net loss interest income (expense), income tax (expense) beneft, depreciaton and amortzaton expense, and stock-based compensaton expense.</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use adjusted EBITDA internally because we believe these metrics provide useful supplemental informaton in assessing our operatng performance reported in accordance with GAAP. We believe adjusted EBITDA may enhance an evaluaton of our operatng performance because it</w:t>
      </w:r>
    </w:p>
    <w:p>
      <w:pPr>
        <w:ind w:right="120"/>
        <w:spacing w:after="0" w:line="232" w:lineRule="auto"/>
        <w:rPr>
          <w:sz w:val="20"/>
          <w:szCs w:val="20"/>
          <w:color w:val="auto"/>
        </w:rPr>
      </w:pPr>
      <w:r>
        <w:rPr>
          <w:rFonts w:ascii="Calibri" w:cs="Calibri" w:eastAsia="Calibri" w:hAnsi="Calibri"/>
          <w:sz w:val="20"/>
          <w:szCs w:val="20"/>
          <w:color w:val="auto"/>
        </w:rPr>
        <w:t>excludes the impact of prior decisions made about capital investment, fnancing, investng and certain expenses we believe are not indicatve of our ongoing performance. However, this non-GAAP fnancial measure may be diferent from non-GAAP fnancial measures used by other companies, even when the same or similarly ttled terms are used to identfy such measures, limitng their usefulness for comparatve purposes.</w:t>
      </w:r>
    </w:p>
    <w:p>
      <w:pPr>
        <w:spacing w:after="0" w:line="253" w:lineRule="exact"/>
        <w:rPr>
          <w:sz w:val="20"/>
          <w:szCs w:val="20"/>
          <w:color w:val="auto"/>
        </w:rPr>
      </w:pPr>
    </w:p>
    <w:p>
      <w:pPr>
        <w:ind w:right="40"/>
        <w:spacing w:after="0" w:line="232" w:lineRule="auto"/>
        <w:rPr>
          <w:sz w:val="20"/>
          <w:szCs w:val="20"/>
          <w:color w:val="auto"/>
        </w:rPr>
      </w:pPr>
      <w:r>
        <w:rPr>
          <w:rFonts w:ascii="Calibri" w:cs="Calibri" w:eastAsia="Calibri" w:hAnsi="Calibri"/>
          <w:sz w:val="20"/>
          <w:szCs w:val="20"/>
          <w:color w:val="auto"/>
        </w:rPr>
        <w:t>This non-GAAP fnancial measure is not meant to be considered in isolaton or used as a substtute for net loss reported in accordance with GAAP, should be considered in conjuncton with our fnancial informaton presented in accordance with GAAP, has no standardized meaning prescribed by GAAP, is unaudited, and is not prepared under any comprehensive set of accountng rules or principles. In additon, from tme to tme in the future, there may be other items that we may exclude for purposes of these non-GAAP fnancial measures, and we may in the future cease to exclude items that we have historically excluded for purposes of these non-GAAP fnancial measures. Likewise, we may determine to modify the nature of adjustments to arrive at these non-GAAP fnancial measures. Because of the non-standardized defnitons of non-GAAP fnancial measures, the non-GAAP fnancial measure as used by us in this press release and the accompanying reconciliaton table have limits in their usefulness to investors and may be calculated diferently from, and therefore may not be directly comparable to, similarly ttled measures used by other companies. Accordingly, investors should not place undue reliance on non-GAAP fnancial measures.</w:t>
      </w:r>
    </w:p>
    <w:p>
      <w:pPr>
        <w:spacing w:after="0" w:line="24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Exagen</w:t>
      </w:r>
    </w:p>
    <w:p>
      <w:pPr>
        <w:spacing w:after="0" w:line="9" w:lineRule="exact"/>
        <w:rPr>
          <w:sz w:val="20"/>
          <w:szCs w:val="20"/>
          <w:color w:val="auto"/>
        </w:rPr>
      </w:pPr>
    </w:p>
    <w:p>
      <w:pPr>
        <w:ind w:right="580"/>
        <w:spacing w:after="0" w:line="228" w:lineRule="auto"/>
        <w:rPr>
          <w:sz w:val="20"/>
          <w:szCs w:val="20"/>
          <w:color w:val="auto"/>
        </w:rPr>
      </w:pPr>
      <w:r>
        <w:rPr>
          <w:rFonts w:ascii="Calibri" w:cs="Calibri" w:eastAsia="Calibri" w:hAnsi="Calibri"/>
          <w:sz w:val="20"/>
          <w:szCs w:val="20"/>
          <w:color w:val="auto"/>
        </w:rPr>
        <w:t>Exagen is a leading provider of autoimmune testng and its purpose as an organizaton is to provide clarity in autoimmune disease decision making with the goal of improving patents’ clinical outcomes. Exagen is located in San Diego County, California.</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For more informaton, please visit Exagen.com or follow @ExagenInc on X (formally known as Twiter).</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9" w:lineRule="exact"/>
        <w:rPr>
          <w:sz w:val="20"/>
          <w:szCs w:val="20"/>
          <w:color w:val="auto"/>
        </w:rPr>
      </w:pPr>
    </w:p>
    <w:p>
      <w:pPr>
        <w:ind w:right="60"/>
        <w:spacing w:after="0" w:line="219" w:lineRule="auto"/>
        <w:rPr>
          <w:sz w:val="20"/>
          <w:szCs w:val="20"/>
          <w:color w:val="auto"/>
        </w:rPr>
      </w:pPr>
      <w:r>
        <w:rPr>
          <w:rFonts w:ascii="Calibri" w:cs="Calibri" w:eastAsia="Calibri" w:hAnsi="Calibri"/>
          <w:sz w:val="20"/>
          <w:szCs w:val="20"/>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and ambitons; potental future fnancial and business performance; the potental utlity and efectveness of Exagen’s services and testng solutons; potental shareholder value and growth and 2024 guidance. The inclusion of forward-looking statements should not be regarded as a representaton by Exagen that any of its plans will be achieved. Actual results may difer from those set forth in this press release due to the risks and uncertaintes inherent in Exagen’s</w:t>
      </w:r>
    </w:p>
    <w:p>
      <w:pPr>
        <w:sectPr>
          <w:pgSz w:w="11900" w:h="16838" w:orient="portrait"/>
          <w:cols w:equalWidth="0" w:num="1">
            <w:col w:w="11200"/>
          </w:cols>
          <w:pgMar w:left="320" w:top="1411" w:right="379" w:bottom="1440" w:gutter="0" w:footer="0" w:header="0"/>
        </w:sectPr>
      </w:pPr>
    </w:p>
    <w:bookmarkStart w:id="6" w:name="page7"/>
    <w:bookmarkEnd w:id="6"/>
    <w:p>
      <w:pPr>
        <w:spacing w:after="0" w:line="237" w:lineRule="auto"/>
        <w:rPr>
          <w:sz w:val="20"/>
          <w:szCs w:val="20"/>
          <w:color w:val="auto"/>
        </w:rPr>
      </w:pPr>
      <w:r>
        <w:rPr>
          <w:rFonts w:ascii="Calibri" w:cs="Calibri" w:eastAsia="Calibri" w:hAnsi="Calibri"/>
          <w:sz w:val="20"/>
          <w:szCs w:val="20"/>
          <w:color w:val="auto"/>
        </w:rPr>
        <w:t>business, including, without limitaton: delays in reimbursement and coverage decisions from Medicare and third-party payors and in interactons with regulatory authorites, and delays in ongoing and planned clinical trials involving its tests;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 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2023, fled with the SEC on March 18, 2024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Ryan Douglas</w:t>
      </w:r>
    </w:p>
    <w:p>
      <w:pPr>
        <w:spacing w:after="0" w:line="229" w:lineRule="auto"/>
        <w:rPr>
          <w:sz w:val="20"/>
          <w:szCs w:val="20"/>
          <w:color w:val="auto"/>
        </w:rPr>
      </w:pPr>
      <w:r>
        <w:rPr>
          <w:rFonts w:ascii="Calibri" w:cs="Calibri" w:eastAsia="Calibri" w:hAnsi="Calibri"/>
          <w:sz w:val="22"/>
          <w:szCs w:val="22"/>
          <w:color w:val="auto"/>
        </w:rPr>
        <w:t>Exagen Inc.</w:t>
      </w:r>
    </w:p>
    <w:p>
      <w:pPr>
        <w:spacing w:after="0" w:line="229" w:lineRule="auto"/>
        <w:rPr>
          <w:sz w:val="20"/>
          <w:szCs w:val="20"/>
          <w:color w:val="auto"/>
        </w:rPr>
      </w:pPr>
      <w:r>
        <w:rPr>
          <w:rFonts w:ascii="Calibri" w:cs="Calibri" w:eastAsia="Calibri" w:hAnsi="Calibri"/>
          <w:sz w:val="22"/>
          <w:szCs w:val="22"/>
          <w:u w:val="single" w:color="auto"/>
          <w:color w:val="0563C1"/>
        </w:rPr>
        <w:t>ir@exagen.com</w:t>
      </w:r>
    </w:p>
    <w:p>
      <w:pPr>
        <w:spacing w:after="0" w:line="227" w:lineRule="auto"/>
        <w:rPr>
          <w:sz w:val="20"/>
          <w:szCs w:val="20"/>
          <w:color w:val="auto"/>
        </w:rPr>
      </w:pPr>
      <w:r>
        <w:rPr>
          <w:rFonts w:ascii="Calibri" w:cs="Calibri" w:eastAsia="Calibri" w:hAnsi="Calibri"/>
          <w:sz w:val="22"/>
          <w:szCs w:val="22"/>
          <w:color w:val="auto"/>
        </w:rPr>
        <w:t>760.560.1525</w:t>
      </w:r>
    </w:p>
    <w:p>
      <w:pPr>
        <w:sectPr>
          <w:pgSz w:w="11900" w:h="16838" w:orient="portrait"/>
          <w:cols w:equalWidth="0" w:num="1">
            <w:col w:w="11240"/>
          </w:cols>
          <w:pgMar w:left="320" w:top="1438"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7"/>
                <w:szCs w:val="17"/>
                <w:color w:val="auto"/>
              </w:rPr>
            </w:pPr>
          </w:p>
        </w:tc>
        <w:tc>
          <w:tcPr>
            <w:tcW w:w="27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13,765</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12,837</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52,548</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45,563</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5,620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6,309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24,214</w:t>
            </w: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12,216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47,428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52,018</w:t>
            </w: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4,865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9,876</w:t>
            </w:r>
          </w:p>
        </w:tc>
        <w:tc>
          <w:tcPr>
            <w:tcW w:w="0" w:type="dxa"/>
            <w:vAlign w:val="bottom"/>
          </w:tcPr>
          <w:p>
            <w:pPr>
              <w:spacing w:after="0"/>
              <w:rPr>
                <w:sz w:val="1"/>
                <w:szCs w:val="1"/>
                <w:color w:val="auto"/>
              </w:rPr>
            </w:pPr>
          </w:p>
        </w:tc>
      </w:tr>
      <w:tr>
        <w:trPr>
          <w:trHeight w:val="204"/>
        </w:trPr>
        <w:tc>
          <w:tcPr>
            <w:tcW w:w="4860" w:type="dxa"/>
            <w:vAlign w:val="bottom"/>
          </w:tcPr>
          <w:p>
            <w:pPr>
              <w:ind w:left="340"/>
              <w:spacing w:after="0"/>
              <w:rPr>
                <w:sz w:val="20"/>
                <w:szCs w:val="20"/>
                <w:color w:val="auto"/>
              </w:rPr>
            </w:pPr>
            <w:r>
              <w:rPr>
                <w:rFonts w:ascii="Arial" w:cs="Arial" w:eastAsia="Arial" w:hAnsi="Arial"/>
                <w:sz w:val="14"/>
                <w:szCs w:val="14"/>
                <w:color w:val="auto"/>
              </w:rPr>
              <w:t>Goodwill impairment</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96"/>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18,912</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27,328</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75,385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91,614</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(5,147)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(46,051)</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(2,335)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204"/>
        </w:trPr>
        <w:tc>
          <w:tcPr>
            <w:tcW w:w="486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(5,567)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(14,636)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(47,669)</w:t>
            </w:r>
          </w:p>
        </w:tc>
        <w:tc>
          <w:tcPr>
            <w:tcW w:w="0" w:type="dxa"/>
            <w:vAlign w:val="bottom"/>
          </w:tcPr>
          <w:p>
            <w:pPr>
              <w:spacing w:after="0"/>
              <w:rPr>
                <w:sz w:val="1"/>
                <w:szCs w:val="1"/>
                <w:color w:val="auto"/>
              </w:rPr>
            </w:pPr>
          </w:p>
        </w:tc>
      </w:tr>
      <w:tr>
        <w:trPr>
          <w:trHeight w:val="204"/>
        </w:trPr>
        <w:tc>
          <w:tcPr>
            <w:tcW w:w="48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(5,573)</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(23,689)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(47,387)</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17,836,090</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17,194,293</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17,679,467</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17,082,348</w:t>
            </w:r>
          </w:p>
        </w:tc>
        <w:tc>
          <w:tcPr>
            <w:tcW w:w="0" w:type="dxa"/>
            <w:vAlign w:val="bottom"/>
          </w:tcPr>
          <w:p>
            <w:pPr>
              <w:spacing w:after="0"/>
              <w:rPr>
                <w:sz w:val="1"/>
                <w:szCs w:val="1"/>
                <w:color w:val="auto"/>
              </w:rPr>
            </w:pPr>
          </w:p>
        </w:tc>
      </w:tr>
      <w:tr>
        <w:trPr>
          <w:trHeight w:val="158"/>
        </w:trPr>
        <w:tc>
          <w:tcPr>
            <w:tcW w:w="4860" w:type="dxa"/>
            <w:vAlign w:val="bottom"/>
          </w:tcPr>
          <w:p>
            <w:pPr>
              <w:spacing w:after="0" w:line="158" w:lineRule="exact"/>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6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36,493</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62,391</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6,551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6,077</w:t>
            </w:r>
          </w:p>
        </w:tc>
        <w:tc>
          <w:tcPr>
            <w:tcW w:w="0" w:type="dxa"/>
            <w:vAlign w:val="bottom"/>
          </w:tcPr>
          <w:p>
            <w:pPr>
              <w:spacing w:after="0"/>
              <w:rPr>
                <w:sz w:val="1"/>
                <w:szCs w:val="1"/>
                <w:color w:val="auto"/>
              </w:rPr>
            </w:pPr>
          </w:p>
        </w:tc>
      </w:tr>
      <w:tr>
        <w:trPr>
          <w:trHeight w:val="204"/>
        </w:trPr>
        <w:tc>
          <w:tcPr>
            <w:tcW w:w="866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4,797</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w:t>
            </w:r>
          </w:p>
        </w:tc>
        <w:tc>
          <w:tcPr>
            <w:tcW w:w="0" w:type="dxa"/>
            <w:vAlign w:val="bottom"/>
          </w:tcPr>
          <w:p>
            <w:pPr>
              <w:spacing w:after="0"/>
              <w:rPr>
                <w:sz w:val="1"/>
                <w:szCs w:val="1"/>
                <w:color w:val="auto"/>
              </w:rPr>
            </w:pPr>
          </w:p>
        </w:tc>
      </w:tr>
      <w:tr>
        <w:trPr>
          <w:trHeight w:val="194"/>
        </w:trPr>
        <w:tc>
          <w:tcPr>
            <w:tcW w:w="866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47,841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72,611</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5,201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8,197</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3,286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204"/>
        </w:trPr>
        <w:tc>
          <w:tcPr>
            <w:tcW w:w="8660" w:type="dxa"/>
            <w:vAlign w:val="bottom"/>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6"/>
        </w:trPr>
        <w:tc>
          <w:tcPr>
            <w:tcW w:w="866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3,131</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3,046</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03"/>
        </w:trPr>
        <w:tc>
          <w:tcPr>
            <w:tcW w:w="8660" w:type="dxa"/>
            <w:vAlign w:val="bottom"/>
          </w:tcPr>
          <w:p>
            <w:pPr>
              <w:ind w:left="340"/>
              <w:spacing w:after="0"/>
              <w:rPr>
                <w:sz w:val="20"/>
                <w:szCs w:val="20"/>
                <w:color w:val="auto"/>
              </w:rPr>
            </w:pPr>
            <w:r>
              <w:rPr>
                <w:rFonts w:ascii="Arial" w:cs="Arial" w:eastAsia="Arial" w:hAnsi="Arial"/>
                <w:sz w:val="14"/>
                <w:szCs w:val="14"/>
                <w:color w:val="auto"/>
              </w:rPr>
              <w:t>Borrowings-current portion</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4"/>
        </w:trPr>
        <w:tc>
          <w:tcPr>
            <w:tcW w:w="866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194"/>
        </w:trPr>
        <w:tc>
          <w:tcPr>
            <w:tcW w:w="866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11,902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19,231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28,778</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204"/>
        </w:trPr>
        <w:tc>
          <w:tcPr>
            <w:tcW w:w="86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94"/>
        </w:trPr>
        <w:tc>
          <w:tcPr>
            <w:tcW w:w="866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34,250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43,761</w:t>
            </w: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Commitments and contingencies (Note 5)</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660" w:type="dxa"/>
            <w:vAlign w:val="bottom"/>
          </w:tcPr>
          <w:p>
            <w:pPr>
              <w:ind w:left="340"/>
              <w:spacing w:after="0"/>
              <w:rPr>
                <w:sz w:val="20"/>
                <w:szCs w:val="20"/>
                <w:color w:val="auto"/>
              </w:rPr>
            </w:pPr>
            <w:r>
              <w:rPr>
                <w:rFonts w:ascii="Arial" w:cs="Arial" w:eastAsia="Arial" w:hAnsi="Arial"/>
                <w:sz w:val="14"/>
                <w:szCs w:val="14"/>
                <w:color w:val="auto"/>
              </w:rPr>
              <w:t>Common stock, $0.001 par value; 200,000,000 shares authorized at December 31, 2023 and December 31, 2022; 17,045,954</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rPr>
                <w:sz w:val="20"/>
                <w:szCs w:val="20"/>
                <w:color w:val="auto"/>
              </w:rPr>
            </w:pPr>
            <w:r>
              <w:rPr>
                <w:rFonts w:ascii="Arial" w:cs="Arial" w:eastAsia="Arial" w:hAnsi="Arial"/>
                <w:sz w:val="14"/>
                <w:szCs w:val="14"/>
                <w:color w:val="auto"/>
              </w:rPr>
              <w:t>and 16,549,984 shares issued and outstanding at December 31, 2023 and December 31, 2022, respectively</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6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301,893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297,970</w:t>
            </w:r>
          </w:p>
        </w:tc>
        <w:tc>
          <w:tcPr>
            <w:tcW w:w="0" w:type="dxa"/>
            <w:vAlign w:val="bottom"/>
          </w:tcPr>
          <w:p>
            <w:pPr>
              <w:spacing w:after="0"/>
              <w:rPr>
                <w:sz w:val="1"/>
                <w:szCs w:val="1"/>
                <w:color w:val="auto"/>
              </w:rPr>
            </w:pPr>
          </w:p>
        </w:tc>
      </w:tr>
      <w:tr>
        <w:trPr>
          <w:trHeight w:val="204"/>
        </w:trPr>
        <w:tc>
          <w:tcPr>
            <w:tcW w:w="866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(279,216)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(255,527)</w:t>
            </w:r>
          </w:p>
        </w:tc>
        <w:tc>
          <w:tcPr>
            <w:tcW w:w="0" w:type="dxa"/>
            <w:vAlign w:val="bottom"/>
          </w:tcPr>
          <w:p>
            <w:pPr>
              <w:spacing w:after="0"/>
              <w:rPr>
                <w:sz w:val="1"/>
                <w:szCs w:val="1"/>
                <w:color w:val="auto"/>
              </w:rPr>
            </w:pPr>
          </w:p>
        </w:tc>
      </w:tr>
      <w:tr>
        <w:trPr>
          <w:trHeight w:val="196"/>
        </w:trPr>
        <w:tc>
          <w:tcPr>
            <w:tcW w:w="866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198"/>
        </w:trPr>
        <w:tc>
          <w:tcPr>
            <w:tcW w:w="86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5"/>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5" w:lineRule="exact"/>
        <w:rPr>
          <w:sz w:val="20"/>
          <w:szCs w:val="20"/>
          <w:color w:val="auto"/>
        </w:rPr>
      </w:pPr>
    </w:p>
    <w:p>
      <w:pPr>
        <w:ind w:right="40"/>
        <w:spacing w:after="0" w:line="228" w:lineRule="auto"/>
        <w:rPr>
          <w:sz w:val="20"/>
          <w:szCs w:val="20"/>
          <w:color w:val="auto"/>
        </w:rPr>
      </w:pPr>
      <w:r>
        <w:rPr>
          <w:rFonts w:ascii="Calibri" w:cs="Calibri" w:eastAsia="Calibri" w:hAnsi="Calibri"/>
          <w:sz w:val="20"/>
          <w:szCs w:val="20"/>
          <w:color w:val="auto"/>
        </w:rPr>
        <w:t>The table below presents the reconciliaton of adjusted EBITDA, which is a non-GAAP fnancial measure. See "Use of Non-GAAP Financial Measures (UNAUDITED)" above for further informaton regarding the Company's use of non-GAAP fnancial measures.</w:t>
      </w:r>
    </w:p>
    <w:p>
      <w:pPr>
        <w:sectPr>
          <w:pgSz w:w="11900" w:h="16838" w:orient="portrait"/>
          <w:cols w:equalWidth="0" w:num="1">
            <w:col w:w="11240"/>
          </w:cols>
          <w:pgMar w:left="320" w:top="1417" w:right="339" w:bottom="1440" w:gutter="0" w:footer="0" w:header="0"/>
        </w:sectPr>
      </w:pPr>
    </w:p>
    <w:bookmarkStart w:id="9" w:name="page10"/>
    <w:bookmarkEnd w:id="9"/>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12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52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Twelve Months Ended December 31,</w:t>
            </w:r>
          </w:p>
        </w:tc>
      </w:tr>
      <w:tr>
        <w:trPr>
          <w:trHeight w:val="195"/>
        </w:trPr>
        <w:tc>
          <w:tcPr>
            <w:tcW w:w="12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77"/>
        </w:trPr>
        <w:tc>
          <w:tcPr>
            <w:tcW w:w="4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0"/>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Adjusted EBITDA</w:t>
            </w:r>
          </w:p>
        </w:tc>
        <w:tc>
          <w:tcPr>
            <w:tcW w:w="3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5"/>
        </w:trPr>
        <w:tc>
          <w:tcPr>
            <w:tcW w:w="45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(23,689)</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(47,387)</w:t>
            </w:r>
          </w:p>
        </w:tc>
      </w:tr>
      <w:tr>
        <w:trPr>
          <w:trHeight w:val="203"/>
        </w:trPr>
        <w:tc>
          <w:tcPr>
            <w:tcW w:w="4500" w:type="dxa"/>
            <w:vAlign w:val="bottom"/>
            <w:gridSpan w:val="2"/>
          </w:tcPr>
          <w:p>
            <w:pPr>
              <w:ind w:left="320"/>
              <w:spacing w:after="0"/>
              <w:rPr>
                <w:sz w:val="20"/>
                <w:szCs w:val="20"/>
                <w:color w:val="auto"/>
              </w:rPr>
            </w:pPr>
            <w:r>
              <w:rPr>
                <w:rFonts w:ascii="Arial" w:cs="Arial" w:eastAsia="Arial" w:hAnsi="Arial"/>
                <w:sz w:val="14"/>
                <w:szCs w:val="14"/>
                <w:color w:val="auto"/>
              </w:rPr>
              <w:t>Other (Income) Expense</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(1,516)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(830)</w:t>
            </w:r>
          </w:p>
        </w:tc>
      </w:tr>
      <w:tr>
        <w:trPr>
          <w:trHeight w:val="203"/>
        </w:trPr>
        <w:tc>
          <w:tcPr>
            <w:tcW w:w="4500" w:type="dxa"/>
            <w:vAlign w:val="bottom"/>
            <w:gridSpan w:val="2"/>
          </w:tcPr>
          <w:p>
            <w:pPr>
              <w:ind w:left="320"/>
              <w:spacing w:after="0"/>
              <w:rPr>
                <w:sz w:val="20"/>
                <w:szCs w:val="20"/>
                <w:color w:val="auto"/>
              </w:rPr>
            </w:pPr>
            <w:r>
              <w:rPr>
                <w:rFonts w:ascii="Arial" w:cs="Arial" w:eastAsia="Arial" w:hAnsi="Arial"/>
                <w:sz w:val="14"/>
                <w:szCs w:val="14"/>
                <w:color w:val="auto"/>
              </w:rPr>
              <w:t>Interest Expense</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2,335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2,448</w:t>
            </w:r>
          </w:p>
        </w:tc>
      </w:tr>
      <w:tr>
        <w:trPr>
          <w:trHeight w:val="203"/>
        </w:trPr>
        <w:tc>
          <w:tcPr>
            <w:tcW w:w="4500" w:type="dxa"/>
            <w:vAlign w:val="bottom"/>
            <w:gridSpan w:val="2"/>
          </w:tcPr>
          <w:p>
            <w:pPr>
              <w:ind w:left="320"/>
              <w:spacing w:after="0"/>
              <w:rPr>
                <w:sz w:val="20"/>
                <w:szCs w:val="20"/>
                <w:color w:val="auto"/>
              </w:rPr>
            </w:pPr>
            <w:r>
              <w:rPr>
                <w:rFonts w:ascii="Arial" w:cs="Arial" w:eastAsia="Arial" w:hAnsi="Arial"/>
                <w:sz w:val="14"/>
                <w:szCs w:val="14"/>
                <w:color w:val="auto"/>
              </w:rPr>
              <w:t>Income tax expense (benefit)</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3"/>
        </w:trPr>
        <w:tc>
          <w:tcPr>
            <w:tcW w:w="4500" w:type="dxa"/>
            <w:vAlign w:val="bottom"/>
            <w:gridSpan w:val="2"/>
          </w:tcPr>
          <w:p>
            <w:pPr>
              <w:ind w:left="320"/>
              <w:spacing w:after="0"/>
              <w:rPr>
                <w:sz w:val="20"/>
                <w:szCs w:val="20"/>
                <w:color w:val="auto"/>
              </w:rPr>
            </w:pPr>
            <w:r>
              <w:rPr>
                <w:rFonts w:ascii="Arial" w:cs="Arial" w:eastAsia="Arial" w:hAnsi="Arial"/>
                <w:sz w:val="14"/>
                <w:szCs w:val="14"/>
                <w:color w:val="auto"/>
              </w:rPr>
              <w:t>Depreciation and amortization expense</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1,557</w:t>
            </w:r>
          </w:p>
        </w:tc>
      </w:tr>
      <w:tr>
        <w:trPr>
          <w:trHeight w:val="204"/>
        </w:trPr>
        <w:tc>
          <w:tcPr>
            <w:tcW w:w="4500" w:type="dxa"/>
            <w:vAlign w:val="bottom"/>
            <w:gridSpan w:val="2"/>
          </w:tcPr>
          <w:p>
            <w:pPr>
              <w:ind w:left="3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3,617</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4,704</w:t>
            </w:r>
          </w:p>
        </w:tc>
      </w:tr>
      <w:tr>
        <w:trPr>
          <w:trHeight w:val="198"/>
        </w:trPr>
        <w:tc>
          <w:tcPr>
            <w:tcW w:w="4500" w:type="dxa"/>
            <w:vAlign w:val="bottom"/>
            <w:gridSpan w:val="2"/>
          </w:tcPr>
          <w:p>
            <w:pPr>
              <w:spacing w:after="0"/>
              <w:rPr>
                <w:sz w:val="20"/>
                <w:szCs w:val="20"/>
                <w:color w:val="auto"/>
              </w:rPr>
            </w:pPr>
            <w:r>
              <w:rPr>
                <w:rFonts w:ascii="Arial" w:cs="Arial" w:eastAsia="Arial" w:hAnsi="Arial"/>
                <w:sz w:val="14"/>
                <w:szCs w:val="14"/>
                <w:color w:val="auto"/>
              </w:rPr>
              <w:t>Adjusted EBITDA (Non-GAAP)</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(17,052)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(39,790)</w:t>
            </w:r>
          </w:p>
        </w:tc>
      </w:tr>
      <w:tr>
        <w:trPr>
          <w:trHeight w:val="25"/>
        </w:trPr>
        <w:tc>
          <w:tcPr>
            <w:tcW w:w="12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2024-03-18T07:11:21Z</dcterms:created>
  <dcterms:modified xsi:type="dcterms:W3CDTF">2024-03-18T07:11:21Z</dcterms:modified>
</cp:coreProperties>
</file>