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3" w:lineRule="exact"/>
        <w:rPr>
          <w:sz w:val="24"/>
          <w:szCs w:val="24"/>
          <w:color w:val="auto"/>
        </w:rPr>
      </w:pPr>
    </w:p>
    <w:p>
      <w:pPr>
        <w:jc w:val="center"/>
        <w:ind w:right="200"/>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43"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transition period from to .</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113030</wp:posOffset>
            </wp:positionV>
            <wp:extent cx="131127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490"/>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3"/>
          </w:tcPr>
          <w:p>
            <w:pPr>
              <w:jc w:val="center"/>
              <w:ind w:right="62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0"/>
        </w:trPr>
        <w:tc>
          <w:tcPr>
            <w:tcW w:w="3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6"/>
                <w:szCs w:val="16"/>
                <w:color w:val="auto"/>
              </w:rPr>
            </w:pPr>
          </w:p>
        </w:tc>
      </w:tr>
      <w:tr>
        <w:trPr>
          <w:trHeight w:val="201"/>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48"/>
        </w:trPr>
        <w:tc>
          <w:tcPr>
            <w:tcW w:w="3740" w:type="dxa"/>
            <w:vAlign w:val="bottom"/>
            <w:gridSpan w:val="2"/>
          </w:tcPr>
          <w:p>
            <w:pPr>
              <w:jc w:val="center"/>
              <w:ind w:left="152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80" w:type="dxa"/>
            <w:vAlign w:val="bottom"/>
          </w:tcPr>
          <w:p>
            <w:pPr>
              <w:jc w:val="center"/>
              <w:ind w:right="78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3740" w:type="dxa"/>
            <w:vAlign w:val="bottom"/>
            <w:gridSpan w:val="2"/>
          </w:tcPr>
          <w:p>
            <w:pPr>
              <w:jc w:val="center"/>
              <w:ind w:left="1528"/>
              <w:spacing w:after="0"/>
              <w:rPr>
                <w:sz w:val="20"/>
                <w:szCs w:val="20"/>
                <w:color w:val="auto"/>
              </w:rPr>
            </w:pPr>
            <w:r>
              <w:rPr>
                <w:rFonts w:ascii="Arial" w:cs="Arial" w:eastAsia="Arial" w:hAnsi="Arial"/>
                <w:sz w:val="14"/>
                <w:szCs w:val="14"/>
                <w:b w:val="1"/>
                <w:bCs w:val="1"/>
                <w:color w:val="auto"/>
              </w:rPr>
              <w:t>incorporation or organization)</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83"/>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9"/>
        </w:trPr>
        <w:tc>
          <w:tcPr>
            <w:tcW w:w="3020" w:type="dxa"/>
            <w:vAlign w:val="bottom"/>
          </w:tcPr>
          <w:p>
            <w:pPr>
              <w:ind w:left="1700"/>
              <w:spacing w:after="0"/>
              <w:rPr>
                <w:sz w:val="20"/>
                <w:szCs w:val="20"/>
                <w:color w:val="auto"/>
              </w:rPr>
            </w:pPr>
            <w:r>
              <w:rPr>
                <w:rFonts w:ascii="Arial" w:cs="Arial" w:eastAsia="Arial" w:hAnsi="Arial"/>
                <w:sz w:val="14"/>
                <w:szCs w:val="14"/>
                <w:b w:val="1"/>
                <w:bCs w:val="1"/>
                <w:color w:val="auto"/>
              </w:rPr>
              <w:t>Vista</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California</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190"/>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296"/>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60" w:type="dxa"/>
            <w:vAlign w:val="bottom"/>
            <w:gridSpan w:val="3"/>
          </w:tcPr>
          <w:p>
            <w:pPr>
              <w:jc w:val="right"/>
              <w:ind w:right="546"/>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90"/>
        </w:trPr>
        <w:tc>
          <w:tcPr>
            <w:tcW w:w="3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6"/>
                <w:szCs w:val="16"/>
                <w:color w:val="auto"/>
              </w:rPr>
            </w:pPr>
          </w:p>
        </w:tc>
      </w:tr>
      <w:tr>
        <w:trPr>
          <w:trHeight w:val="270"/>
        </w:trPr>
        <w:tc>
          <w:tcPr>
            <w:tcW w:w="3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201"/>
        </w:trPr>
        <w:tc>
          <w:tcPr>
            <w:tcW w:w="3020" w:type="dxa"/>
            <w:vAlign w:val="bottom"/>
            <w:tcBorders>
              <w:bottom w:val="single" w:sz="8" w:color="auto"/>
            </w:tcBorders>
          </w:tcPr>
          <w:p>
            <w:pPr>
              <w:jc w:val="center"/>
              <w:ind w:left="1108"/>
              <w:spacing w:after="0"/>
              <w:rPr>
                <w:sz w:val="20"/>
                <w:szCs w:val="20"/>
                <w:color w:val="auto"/>
              </w:rPr>
            </w:pPr>
            <w:r>
              <w:rPr>
                <w:rFonts w:ascii="Arial" w:cs="Arial" w:eastAsia="Arial" w:hAnsi="Arial"/>
                <w:sz w:val="14"/>
                <w:szCs w:val="14"/>
                <w:b w:val="1"/>
                <w:bCs w:val="1"/>
                <w:color w:val="auto"/>
              </w:rPr>
              <w:t>Title of each class</w:t>
            </w: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740" w:type="dxa"/>
            <w:vAlign w:val="bottom"/>
            <w:gridSpan w:val="2"/>
          </w:tcPr>
          <w:p>
            <w:pPr>
              <w:jc w:val="center"/>
              <w:ind w:left="368"/>
              <w:spacing w:after="0"/>
              <w:rPr>
                <w:sz w:val="20"/>
                <w:szCs w:val="20"/>
                <w:color w:val="auto"/>
              </w:rPr>
            </w:pPr>
            <w:r>
              <w:rPr>
                <w:rFonts w:ascii="Arial" w:cs="Arial" w:eastAsia="Arial" w:hAnsi="Arial"/>
                <w:sz w:val="14"/>
                <w:szCs w:val="14"/>
                <w:b w:val="1"/>
                <w:bCs w:val="1"/>
                <w:color w:val="auto"/>
              </w:rPr>
              <w:t>Common Stock, par value $0.001 per share</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8"/>
              </w:rPr>
              <w:t>XGN</w:t>
            </w:r>
          </w:p>
        </w:tc>
        <w:tc>
          <w:tcPr>
            <w:tcW w:w="3680" w:type="dxa"/>
            <w:vAlign w:val="bottom"/>
          </w:tcPr>
          <w:p>
            <w:pPr>
              <w:jc w:val="center"/>
              <w:ind w:right="44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0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7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"emerging growth company" in Rule 12b-2 of the Securities Exchange Act of 1934.</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0"/>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0"/>
          <w:szCs w:val="20"/>
          <w:color w:val="auto"/>
        </w:rPr>
      </w:pPr>
    </w:p>
    <w:p>
      <w:pPr>
        <w:spacing w:after="0" w:line="287" w:lineRule="exact"/>
        <w:rPr>
          <w:sz w:val="20"/>
          <w:szCs w:val="20"/>
          <w:color w:val="auto"/>
        </w:rPr>
      </w:pPr>
    </w:p>
    <w:p>
      <w:pPr>
        <w:ind w:right="1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95" w:lineRule="exact"/>
        <w:rPr>
          <w:sz w:val="20"/>
          <w:szCs w:val="20"/>
          <w:color w:val="auto"/>
        </w:rPr>
      </w:pPr>
    </w:p>
    <w:p>
      <w:pPr>
        <w:ind w:right="34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the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8"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aggregate market value of the registrant's common stock held by non-affiliates of the registrant was approximately $158.3 million, based on the closing price of the registrant's common stock on the Nasdaq Global Market of $14.99 per share.</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of common stock outstanding as of the close of business on March 18, 2022 was 16,231,198.</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Certain information required to be disclosed in Part III of this report is incorporated by reference from the registrant's definitive Proxy Statement for the 2022 Annual Meeting of Stockholders, which proxy statement will be filed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22"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140" w:type="dxa"/>
            <w:vAlign w:val="bottom"/>
            <w:gridSpan w:val="9"/>
          </w:tcPr>
          <w:p>
            <w:pPr>
              <w:ind w:left="14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13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780" w:type="dxa"/>
            <w:vAlign w:val="bottom"/>
          </w:tcPr>
          <w:p>
            <w:pPr>
              <w:spacing w:after="0" w:line="189" w:lineRule="exact"/>
              <w:rPr>
                <w:rFonts w:ascii="Arial" w:cs="Arial" w:eastAsia="Arial" w:hAnsi="Arial"/>
                <w:sz w:val="18"/>
                <w:szCs w:val="18"/>
                <w:color w:val="0000FF"/>
                <w:w w:val="97"/>
              </w:rPr>
            </w:pPr>
            <w:hyperlink w:anchor="page4">
              <w:r>
                <w:rPr>
                  <w:rFonts w:ascii="Arial" w:cs="Arial" w:eastAsia="Arial" w:hAnsi="Arial"/>
                  <w:sz w:val="18"/>
                  <w:szCs w:val="18"/>
                  <w:color w:val="0000FF"/>
                  <w:w w:val="97"/>
                </w:rPr>
                <w:t>Business.</w:t>
              </w:r>
            </w:hyperlink>
          </w:p>
        </w:tc>
        <w:tc>
          <w:tcPr>
            <w:tcW w:w="7580" w:type="dxa"/>
            <w:vAlign w:val="bottom"/>
            <w:gridSpan w:val="18"/>
          </w:tcPr>
          <w:p>
            <w:pPr>
              <w:spacing w:after="0"/>
              <w:rPr>
                <w:sz w:val="16"/>
                <w:szCs w:val="16"/>
                <w:color w:val="auto"/>
              </w:rPr>
            </w:pPr>
          </w:p>
        </w:tc>
        <w:tc>
          <w:tcPr>
            <w:tcW w:w="420" w:type="dxa"/>
            <w:vAlign w:val="bottom"/>
            <w:gridSpan w:val="2"/>
          </w:tcPr>
          <w:p>
            <w:pPr>
              <w:ind w:left="320"/>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8360" w:type="dxa"/>
            <w:vAlign w:val="bottom"/>
            <w:gridSpan w:val="1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620" w:type="dxa"/>
            <w:vAlign w:val="bottom"/>
            <w:gridSpan w:val="4"/>
          </w:tcPr>
          <w:p>
            <w:pPr>
              <w:ind w:left="320"/>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1B.</w:t>
            </w:r>
          </w:p>
        </w:tc>
        <w:tc>
          <w:tcPr>
            <w:tcW w:w="2300" w:type="dxa"/>
            <w:vAlign w:val="bottom"/>
            <w:gridSpan w:val="9"/>
          </w:tcPr>
          <w:p>
            <w:pPr>
              <w:spacing w:after="0"/>
              <w:rPr>
                <w:rFonts w:ascii="Arial" w:cs="Arial" w:eastAsia="Arial" w:hAnsi="Arial"/>
                <w:sz w:val="18"/>
                <w:szCs w:val="18"/>
                <w:color w:val="0000FF"/>
                <w:w w:val="99"/>
              </w:rPr>
            </w:pPr>
            <w:hyperlink w:anchor="page74">
              <w:r>
                <w:rPr>
                  <w:rFonts w:ascii="Arial" w:cs="Arial" w:eastAsia="Arial" w:hAnsi="Arial"/>
                  <w:sz w:val="18"/>
                  <w:szCs w:val="18"/>
                  <w:color w:val="0000FF"/>
                  <w:w w:val="99"/>
                </w:rPr>
                <w:t>Unresolved Staff Comments.</w:t>
              </w:r>
            </w:hyperlink>
          </w:p>
        </w:tc>
        <w:tc>
          <w:tcPr>
            <w:tcW w:w="6060" w:type="dxa"/>
            <w:vAlign w:val="bottom"/>
            <w:gridSpan w:val="10"/>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74">
              <w:r>
                <w:rPr>
                  <w:rFonts w:ascii="Arial" w:cs="Arial" w:eastAsia="Arial" w:hAnsi="Arial"/>
                  <w:sz w:val="18"/>
                  <w:szCs w:val="18"/>
                  <w:color w:val="0000FF"/>
                </w:rPr>
                <w:t>71</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2300" w:type="dxa"/>
            <w:vAlign w:val="bottom"/>
            <w:gridSpan w:val="9"/>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Properties.</w:t>
              </w:r>
            </w:hyperlink>
          </w:p>
        </w:tc>
        <w:tc>
          <w:tcPr>
            <w:tcW w:w="6060" w:type="dxa"/>
            <w:vAlign w:val="bottom"/>
            <w:gridSpan w:val="10"/>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74">
              <w:r>
                <w:rPr>
                  <w:rFonts w:ascii="Arial" w:cs="Arial" w:eastAsia="Arial" w:hAnsi="Arial"/>
                  <w:sz w:val="18"/>
                  <w:szCs w:val="18"/>
                  <w:color w:val="0000FF"/>
                </w:rPr>
                <w:t>72</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1540" w:type="dxa"/>
            <w:vAlign w:val="bottom"/>
            <w:gridSpan w:val="6"/>
          </w:tcPr>
          <w:p>
            <w:pPr>
              <w:spacing w:after="0"/>
              <w:rPr>
                <w:rFonts w:ascii="Arial" w:cs="Arial" w:eastAsia="Arial" w:hAnsi="Arial"/>
                <w:sz w:val="18"/>
                <w:szCs w:val="18"/>
                <w:color w:val="0000FF"/>
                <w:w w:val="98"/>
              </w:rPr>
            </w:pPr>
            <w:hyperlink w:anchor="page75">
              <w:r>
                <w:rPr>
                  <w:rFonts w:ascii="Arial" w:cs="Arial" w:eastAsia="Arial" w:hAnsi="Arial"/>
                  <w:sz w:val="18"/>
                  <w:szCs w:val="18"/>
                  <w:color w:val="0000FF"/>
                  <w:w w:val="98"/>
                </w:rPr>
                <w:t>Legal Proceedings.</w:t>
              </w:r>
            </w:hyperlink>
          </w:p>
        </w:tc>
        <w:tc>
          <w:tcPr>
            <w:tcW w:w="6820" w:type="dxa"/>
            <w:vAlign w:val="bottom"/>
            <w:gridSpan w:val="13"/>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75">
              <w:r>
                <w:rPr>
                  <w:rFonts w:ascii="Arial" w:cs="Arial" w:eastAsia="Arial" w:hAnsi="Arial"/>
                  <w:sz w:val="18"/>
                  <w:szCs w:val="18"/>
                  <w:color w:val="0000FF"/>
                </w:rPr>
                <w:t>72</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8360" w:type="dxa"/>
            <w:vAlign w:val="bottom"/>
            <w:gridSpan w:val="19"/>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Mine Safety Disclosures.</w:t>
              </w:r>
            </w:hyperlink>
          </w:p>
        </w:tc>
        <w:tc>
          <w:tcPr>
            <w:tcW w:w="620" w:type="dxa"/>
            <w:vAlign w:val="bottom"/>
            <w:gridSpan w:val="4"/>
          </w:tcPr>
          <w:p>
            <w:pPr>
              <w:ind w:left="320"/>
              <w:spacing w:after="0"/>
              <w:rPr>
                <w:rFonts w:ascii="Arial" w:cs="Arial" w:eastAsia="Arial" w:hAnsi="Arial"/>
                <w:sz w:val="18"/>
                <w:szCs w:val="18"/>
                <w:color w:val="0000FF"/>
              </w:rPr>
            </w:pPr>
            <w:hyperlink w:anchor="page75">
              <w:r>
                <w:rPr>
                  <w:rFonts w:ascii="Arial" w:cs="Arial" w:eastAsia="Arial" w:hAnsi="Arial"/>
                  <w:sz w:val="18"/>
                  <w:szCs w:val="18"/>
                  <w:color w:val="0000FF"/>
                </w:rPr>
                <w:t>72</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8360" w:type="dxa"/>
            <w:vAlign w:val="bottom"/>
            <w:gridSpan w:val="19"/>
          </w:tcPr>
          <w:p>
            <w:pPr>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Market for Registrant's Common Equity, Related Stockholder Matters and Issuer Purchases of Equity</w:t>
              </w:r>
            </w:hyperlink>
          </w:p>
        </w:tc>
        <w:tc>
          <w:tcPr>
            <w:tcW w:w="620" w:type="dxa"/>
            <w:vAlign w:val="bottom"/>
            <w:gridSpan w:val="4"/>
            <w:vMerge w:val="restart"/>
          </w:tcPr>
          <w:p>
            <w:pPr>
              <w:ind w:left="320"/>
              <w:spacing w:after="0"/>
              <w:rPr>
                <w:rFonts w:ascii="Arial" w:cs="Arial" w:eastAsia="Arial" w:hAnsi="Arial"/>
                <w:sz w:val="18"/>
                <w:szCs w:val="18"/>
                <w:color w:val="0000FF"/>
              </w:rPr>
            </w:pPr>
            <w:hyperlink w:anchor="page76">
              <w:r>
                <w:rPr>
                  <w:rFonts w:ascii="Arial" w:cs="Arial" w:eastAsia="Arial" w:hAnsi="Arial"/>
                  <w:sz w:val="18"/>
                  <w:szCs w:val="18"/>
                  <w:color w:val="0000FF"/>
                </w:rPr>
                <w:t>73</w:t>
              </w:r>
            </w:hyperlink>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40" w:type="dxa"/>
            <w:vAlign w:val="bottom"/>
            <w:tcBorders>
              <w:top w:val="single" w:sz="8" w:color="0000FF"/>
            </w:tcBorders>
            <w:gridSpan w:val="2"/>
          </w:tcPr>
          <w:p>
            <w:pPr>
              <w:spacing w:after="0" w:line="156" w:lineRule="exact"/>
              <w:rPr>
                <w:rFonts w:ascii="Arial" w:cs="Arial" w:eastAsia="Arial" w:hAnsi="Arial"/>
                <w:sz w:val="18"/>
                <w:szCs w:val="18"/>
                <w:color w:val="0000FF"/>
                <w:w w:val="95"/>
              </w:rPr>
            </w:pPr>
            <w:hyperlink w:anchor="page76">
              <w:r>
                <w:rPr>
                  <w:rFonts w:ascii="Arial" w:cs="Arial" w:eastAsia="Arial" w:hAnsi="Arial"/>
                  <w:sz w:val="18"/>
                  <w:szCs w:val="18"/>
                  <w:color w:val="0000FF"/>
                  <w:w w:val="95"/>
                </w:rPr>
                <w:t>Securities.</w:t>
              </w:r>
            </w:hyperlink>
          </w:p>
        </w:tc>
        <w:tc>
          <w:tcPr>
            <w:tcW w:w="7220" w:type="dxa"/>
            <w:vAlign w:val="bottom"/>
            <w:tcBorders>
              <w:top w:val="single" w:sz="8" w:color="0000FF"/>
            </w:tcBorders>
            <w:gridSpan w:val="16"/>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4"/>
            <w:vMerge w:val="continue"/>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920" w:type="dxa"/>
            <w:vAlign w:val="bottom"/>
            <w:gridSpan w:val="3"/>
          </w:tcPr>
          <w:p>
            <w:pPr>
              <w:spacing w:after="0"/>
              <w:rPr>
                <w:rFonts w:ascii="Arial" w:cs="Arial" w:eastAsia="Arial" w:hAnsi="Arial"/>
                <w:sz w:val="18"/>
                <w:szCs w:val="18"/>
                <w:color w:val="0000FF"/>
                <w:w w:val="97"/>
              </w:rPr>
            </w:pPr>
            <w:hyperlink w:anchor="page77">
              <w:r>
                <w:rPr>
                  <w:rFonts w:ascii="Arial" w:cs="Arial" w:eastAsia="Arial" w:hAnsi="Arial"/>
                  <w:sz w:val="18"/>
                  <w:szCs w:val="18"/>
                  <w:color w:val="0000FF"/>
                  <w:w w:val="97"/>
                </w:rPr>
                <w:t>[Reserved].</w:t>
              </w:r>
            </w:hyperlink>
          </w:p>
        </w:tc>
        <w:tc>
          <w:tcPr>
            <w:tcW w:w="7440" w:type="dxa"/>
            <w:vAlign w:val="bottom"/>
            <w:gridSpan w:val="16"/>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77">
              <w:r>
                <w:rPr>
                  <w:rFonts w:ascii="Arial" w:cs="Arial" w:eastAsia="Arial" w:hAnsi="Arial"/>
                  <w:sz w:val="18"/>
                  <w:szCs w:val="18"/>
                  <w:color w:val="0000FF"/>
                </w:rPr>
                <w:t>74</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7.</w:t>
            </w:r>
          </w:p>
        </w:tc>
        <w:tc>
          <w:tcPr>
            <w:tcW w:w="8360" w:type="dxa"/>
            <w:vAlign w:val="bottom"/>
            <w:gridSpan w:val="19"/>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Management's Discussion and Analysis of Financial Condition and Results of Operations.</w:t>
              </w:r>
            </w:hyperlink>
          </w:p>
        </w:tc>
        <w:tc>
          <w:tcPr>
            <w:tcW w:w="620" w:type="dxa"/>
            <w:vAlign w:val="bottom"/>
            <w:gridSpan w:val="4"/>
          </w:tcPr>
          <w:p>
            <w:pPr>
              <w:ind w:left="320"/>
              <w:spacing w:after="0"/>
              <w:rPr>
                <w:rFonts w:ascii="Arial" w:cs="Arial" w:eastAsia="Arial" w:hAnsi="Arial"/>
                <w:sz w:val="18"/>
                <w:szCs w:val="18"/>
                <w:color w:val="0000FF"/>
              </w:rPr>
            </w:pPr>
            <w:hyperlink w:anchor="page77">
              <w:r>
                <w:rPr>
                  <w:rFonts w:ascii="Arial" w:cs="Arial" w:eastAsia="Arial" w:hAnsi="Arial"/>
                  <w:sz w:val="18"/>
                  <w:szCs w:val="18"/>
                  <w:color w:val="0000FF"/>
                </w:rPr>
                <w:t>75</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7A.</w:t>
            </w:r>
          </w:p>
        </w:tc>
        <w:tc>
          <w:tcPr>
            <w:tcW w:w="4760" w:type="dxa"/>
            <w:vAlign w:val="bottom"/>
            <w:gridSpan w:val="14"/>
          </w:tcPr>
          <w:p>
            <w:pPr>
              <w:spacing w:after="0"/>
              <w:rPr>
                <w:rFonts w:ascii="Arial" w:cs="Arial" w:eastAsia="Arial" w:hAnsi="Arial"/>
                <w:sz w:val="18"/>
                <w:szCs w:val="18"/>
                <w:color w:val="0000FF"/>
                <w:w w:val="99"/>
              </w:rPr>
            </w:pPr>
            <w:hyperlink w:anchor="page90">
              <w:r>
                <w:rPr>
                  <w:rFonts w:ascii="Arial" w:cs="Arial" w:eastAsia="Arial" w:hAnsi="Arial"/>
                  <w:sz w:val="18"/>
                  <w:szCs w:val="18"/>
                  <w:color w:val="0000FF"/>
                  <w:w w:val="99"/>
                </w:rPr>
                <w:t>Quantitative and Qualitative Disclosures About Market Risk.</w:t>
              </w:r>
            </w:hyperlink>
          </w:p>
        </w:tc>
        <w:tc>
          <w:tcPr>
            <w:tcW w:w="2360" w:type="dxa"/>
            <w:vAlign w:val="bottom"/>
            <w:gridSpan w:val="3"/>
          </w:tcPr>
          <w:p>
            <w:pPr>
              <w:spacing w:after="0"/>
              <w:rPr>
                <w:sz w:val="18"/>
                <w:szCs w:val="18"/>
                <w:color w:val="auto"/>
              </w:rPr>
            </w:pPr>
          </w:p>
        </w:tc>
        <w:tc>
          <w:tcPr>
            <w:tcW w:w="1240" w:type="dxa"/>
            <w:vAlign w:val="bottom"/>
            <w:gridSpan w:val="2"/>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0">
              <w:r>
                <w:rPr>
                  <w:rFonts w:ascii="Arial" w:cs="Arial" w:eastAsia="Arial" w:hAnsi="Arial"/>
                  <w:sz w:val="18"/>
                  <w:szCs w:val="18"/>
                  <w:color w:val="0000FF"/>
                </w:rPr>
                <w:t>88</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8.</w:t>
            </w:r>
          </w:p>
        </w:tc>
        <w:tc>
          <w:tcPr>
            <w:tcW w:w="4760" w:type="dxa"/>
            <w:vAlign w:val="bottom"/>
            <w:gridSpan w:val="14"/>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Financial Statements and Supplementary Data.</w:t>
              </w:r>
            </w:hyperlink>
          </w:p>
        </w:tc>
        <w:tc>
          <w:tcPr>
            <w:tcW w:w="3600" w:type="dxa"/>
            <w:vAlign w:val="bottom"/>
            <w:gridSpan w:val="5"/>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1">
              <w:r>
                <w:rPr>
                  <w:rFonts w:ascii="Arial" w:cs="Arial" w:eastAsia="Arial" w:hAnsi="Arial"/>
                  <w:sz w:val="18"/>
                  <w:szCs w:val="18"/>
                  <w:color w:val="0000FF"/>
                </w:rPr>
                <w:t>88</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9.</w:t>
            </w:r>
          </w:p>
        </w:tc>
        <w:tc>
          <w:tcPr>
            <w:tcW w:w="7120" w:type="dxa"/>
            <w:vAlign w:val="bottom"/>
            <w:gridSpan w:val="17"/>
          </w:tcPr>
          <w:p>
            <w:pPr>
              <w:spacing w:after="0"/>
              <w:rPr>
                <w:rFonts w:ascii="Arial" w:cs="Arial" w:eastAsia="Arial" w:hAnsi="Arial"/>
                <w:sz w:val="18"/>
                <w:szCs w:val="18"/>
                <w:color w:val="0000FF"/>
                <w:w w:val="98"/>
              </w:rPr>
            </w:pPr>
            <w:hyperlink w:anchor="page91">
              <w:r>
                <w:rPr>
                  <w:rFonts w:ascii="Arial" w:cs="Arial" w:eastAsia="Arial" w:hAnsi="Arial"/>
                  <w:sz w:val="18"/>
                  <w:szCs w:val="18"/>
                  <w:color w:val="0000FF"/>
                  <w:w w:val="98"/>
                </w:rPr>
                <w:t>Changes in and Disagreements with Accountants on Accounting and Financial Disclosure.</w:t>
              </w:r>
            </w:hyperlink>
          </w:p>
        </w:tc>
        <w:tc>
          <w:tcPr>
            <w:tcW w:w="1240" w:type="dxa"/>
            <w:vAlign w:val="bottom"/>
            <w:gridSpan w:val="2"/>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1">
              <w:r>
                <w:rPr>
                  <w:rFonts w:ascii="Arial" w:cs="Arial" w:eastAsia="Arial" w:hAnsi="Arial"/>
                  <w:sz w:val="18"/>
                  <w:szCs w:val="18"/>
                  <w:color w:val="0000FF"/>
                </w:rPr>
                <w:t>88</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9A.</w:t>
            </w:r>
          </w:p>
        </w:tc>
        <w:tc>
          <w:tcPr>
            <w:tcW w:w="2040" w:type="dxa"/>
            <w:vAlign w:val="bottom"/>
            <w:gridSpan w:val="8"/>
          </w:tcPr>
          <w:p>
            <w:pPr>
              <w:spacing w:after="0"/>
              <w:rPr>
                <w:rFonts w:ascii="Arial" w:cs="Arial" w:eastAsia="Arial" w:hAnsi="Arial"/>
                <w:sz w:val="18"/>
                <w:szCs w:val="18"/>
                <w:color w:val="0000FF"/>
                <w:w w:val="97"/>
              </w:rPr>
            </w:pPr>
            <w:hyperlink w:anchor="page91">
              <w:r>
                <w:rPr>
                  <w:rFonts w:ascii="Arial" w:cs="Arial" w:eastAsia="Arial" w:hAnsi="Arial"/>
                  <w:sz w:val="18"/>
                  <w:szCs w:val="18"/>
                  <w:color w:val="0000FF"/>
                  <w:w w:val="97"/>
                </w:rPr>
                <w:t>Controls and Procedures.</w:t>
              </w:r>
            </w:hyperlink>
          </w:p>
        </w:tc>
        <w:tc>
          <w:tcPr>
            <w:tcW w:w="5080" w:type="dxa"/>
            <w:vAlign w:val="bottom"/>
            <w:gridSpan w:val="9"/>
          </w:tcPr>
          <w:p>
            <w:pPr>
              <w:spacing w:after="0"/>
              <w:rPr>
                <w:sz w:val="18"/>
                <w:szCs w:val="18"/>
                <w:color w:val="auto"/>
              </w:rPr>
            </w:pPr>
          </w:p>
        </w:tc>
        <w:tc>
          <w:tcPr>
            <w:tcW w:w="1240" w:type="dxa"/>
            <w:vAlign w:val="bottom"/>
            <w:gridSpan w:val="2"/>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1">
              <w:r>
                <w:rPr>
                  <w:rFonts w:ascii="Arial" w:cs="Arial" w:eastAsia="Arial" w:hAnsi="Arial"/>
                  <w:sz w:val="18"/>
                  <w:szCs w:val="18"/>
                  <w:color w:val="0000FF"/>
                </w:rPr>
                <w:t>88</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9B.</w:t>
            </w:r>
          </w:p>
        </w:tc>
        <w:tc>
          <w:tcPr>
            <w:tcW w:w="2040" w:type="dxa"/>
            <w:vAlign w:val="bottom"/>
            <w:gridSpan w:val="8"/>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Other Information.</w:t>
              </w:r>
            </w:hyperlink>
          </w:p>
        </w:tc>
        <w:tc>
          <w:tcPr>
            <w:tcW w:w="6320" w:type="dxa"/>
            <w:vAlign w:val="bottom"/>
            <w:gridSpan w:val="11"/>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2">
              <w:r>
                <w:rPr>
                  <w:rFonts w:ascii="Arial" w:cs="Arial" w:eastAsia="Arial" w:hAnsi="Arial"/>
                  <w:sz w:val="18"/>
                  <w:szCs w:val="18"/>
                  <w:color w:val="0000FF"/>
                </w:rPr>
                <w:t>90</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9C.</w:t>
            </w:r>
          </w:p>
        </w:tc>
        <w:tc>
          <w:tcPr>
            <w:tcW w:w="8360" w:type="dxa"/>
            <w:vAlign w:val="bottom"/>
            <w:gridSpan w:val="19"/>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Disclosure Regarding Foreign Jurisdictions that Prevent Inspections.</w:t>
              </w:r>
            </w:hyperlink>
          </w:p>
        </w:tc>
        <w:tc>
          <w:tcPr>
            <w:tcW w:w="620" w:type="dxa"/>
            <w:vAlign w:val="bottom"/>
            <w:gridSpan w:val="4"/>
          </w:tcPr>
          <w:p>
            <w:pPr>
              <w:ind w:left="320"/>
              <w:spacing w:after="0"/>
              <w:rPr>
                <w:rFonts w:ascii="Arial" w:cs="Arial" w:eastAsia="Arial" w:hAnsi="Arial"/>
                <w:sz w:val="18"/>
                <w:szCs w:val="18"/>
                <w:color w:val="0000FF"/>
              </w:rPr>
            </w:pPr>
            <w:hyperlink w:anchor="page93">
              <w:r>
                <w:rPr>
                  <w:rFonts w:ascii="Arial" w:cs="Arial" w:eastAsia="Arial" w:hAnsi="Arial"/>
                  <w:sz w:val="18"/>
                  <w:szCs w:val="18"/>
                  <w:color w:val="0000FF"/>
                </w:rPr>
                <w:t>90</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10.</w:t>
            </w:r>
          </w:p>
        </w:tc>
        <w:tc>
          <w:tcPr>
            <w:tcW w:w="8360" w:type="dxa"/>
            <w:vAlign w:val="bottom"/>
            <w:gridSpan w:val="19"/>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Directors, Executive Officers and Corporate Governance.</w:t>
              </w:r>
            </w:hyperlink>
          </w:p>
        </w:tc>
        <w:tc>
          <w:tcPr>
            <w:tcW w:w="620" w:type="dxa"/>
            <w:vAlign w:val="bottom"/>
            <w:gridSpan w:val="4"/>
          </w:tcPr>
          <w:p>
            <w:pPr>
              <w:ind w:left="320"/>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91</w:t>
              </w:r>
            </w:hyperlink>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5"/>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11.</w:t>
            </w:r>
          </w:p>
        </w:tc>
        <w:tc>
          <w:tcPr>
            <w:tcW w:w="2040" w:type="dxa"/>
            <w:vAlign w:val="bottom"/>
            <w:gridSpan w:val="8"/>
          </w:tcPr>
          <w:p>
            <w:pPr>
              <w:spacing w:after="0"/>
              <w:rPr>
                <w:rFonts w:ascii="Arial" w:cs="Arial" w:eastAsia="Arial" w:hAnsi="Arial"/>
                <w:sz w:val="18"/>
                <w:szCs w:val="18"/>
                <w:color w:val="0000FF"/>
                <w:w w:val="97"/>
              </w:rPr>
            </w:pPr>
            <w:hyperlink w:anchor="page94">
              <w:r>
                <w:rPr>
                  <w:rFonts w:ascii="Arial" w:cs="Arial" w:eastAsia="Arial" w:hAnsi="Arial"/>
                  <w:sz w:val="18"/>
                  <w:szCs w:val="18"/>
                  <w:color w:val="0000FF"/>
                  <w:w w:val="97"/>
                </w:rPr>
                <w:t>Executive Compensation.</w:t>
              </w:r>
            </w:hyperlink>
          </w:p>
        </w:tc>
        <w:tc>
          <w:tcPr>
            <w:tcW w:w="2500" w:type="dxa"/>
            <w:vAlign w:val="bottom"/>
            <w:gridSpan w:val="5"/>
          </w:tcPr>
          <w:p>
            <w:pPr>
              <w:spacing w:after="0"/>
              <w:rPr>
                <w:sz w:val="18"/>
                <w:szCs w:val="18"/>
                <w:color w:val="auto"/>
              </w:rPr>
            </w:pPr>
          </w:p>
        </w:tc>
        <w:tc>
          <w:tcPr>
            <w:tcW w:w="3820" w:type="dxa"/>
            <w:vAlign w:val="bottom"/>
            <w:gridSpan w:val="6"/>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4">
              <w:r>
                <w:rPr>
                  <w:rFonts w:ascii="Arial" w:cs="Arial" w:eastAsia="Arial" w:hAnsi="Arial"/>
                  <w:sz w:val="18"/>
                  <w:szCs w:val="18"/>
                  <w:color w:val="0000FF"/>
                </w:rPr>
                <w:t>91</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12.</w:t>
            </w:r>
          </w:p>
        </w:tc>
        <w:tc>
          <w:tcPr>
            <w:tcW w:w="8060" w:type="dxa"/>
            <w:vAlign w:val="bottom"/>
            <w:gridSpan w:val="18"/>
          </w:tcPr>
          <w:p>
            <w:pPr>
              <w:spacing w:after="0"/>
              <w:rPr>
                <w:rFonts w:ascii="Arial" w:cs="Arial" w:eastAsia="Arial" w:hAnsi="Arial"/>
                <w:sz w:val="18"/>
                <w:szCs w:val="18"/>
                <w:color w:val="0000FF"/>
                <w:w w:val="99"/>
              </w:rPr>
            </w:pPr>
            <w:hyperlink w:anchor="page94">
              <w:r>
                <w:rPr>
                  <w:rFonts w:ascii="Arial" w:cs="Arial" w:eastAsia="Arial" w:hAnsi="Arial"/>
                  <w:sz w:val="18"/>
                  <w:szCs w:val="18"/>
                  <w:color w:val="0000FF"/>
                  <w:w w:val="99"/>
                </w:rPr>
                <w:t>Security Ownership of Certain Beneficial Owners and Management and Related Stockholder Matters.</w:t>
              </w:r>
            </w:hyperlink>
          </w:p>
        </w:tc>
        <w:tc>
          <w:tcPr>
            <w:tcW w:w="300" w:type="dxa"/>
            <w:vAlign w:val="bottom"/>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4">
              <w:r>
                <w:rPr>
                  <w:rFonts w:ascii="Arial" w:cs="Arial" w:eastAsia="Arial" w:hAnsi="Arial"/>
                  <w:sz w:val="18"/>
                  <w:szCs w:val="18"/>
                  <w:color w:val="0000FF"/>
                </w:rPr>
                <w:t>91</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13.</w:t>
            </w:r>
          </w:p>
        </w:tc>
        <w:tc>
          <w:tcPr>
            <w:tcW w:w="6120" w:type="dxa"/>
            <w:vAlign w:val="bottom"/>
            <w:gridSpan w:val="16"/>
          </w:tcPr>
          <w:p>
            <w:pPr>
              <w:spacing w:after="0"/>
              <w:rPr>
                <w:rFonts w:ascii="Arial" w:cs="Arial" w:eastAsia="Arial" w:hAnsi="Arial"/>
                <w:sz w:val="18"/>
                <w:szCs w:val="18"/>
                <w:color w:val="0000FF"/>
                <w:w w:val="99"/>
              </w:rPr>
            </w:pPr>
            <w:hyperlink w:anchor="page94">
              <w:r>
                <w:rPr>
                  <w:rFonts w:ascii="Arial" w:cs="Arial" w:eastAsia="Arial" w:hAnsi="Arial"/>
                  <w:sz w:val="18"/>
                  <w:szCs w:val="18"/>
                  <w:color w:val="0000FF"/>
                  <w:w w:val="99"/>
                </w:rPr>
                <w:t>Certain Relationships and Related Transactions, and Director Independence.</w:t>
              </w:r>
            </w:hyperlink>
          </w:p>
        </w:tc>
        <w:tc>
          <w:tcPr>
            <w:tcW w:w="19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4">
              <w:r>
                <w:rPr>
                  <w:rFonts w:ascii="Arial" w:cs="Arial" w:eastAsia="Arial" w:hAnsi="Arial"/>
                  <w:sz w:val="18"/>
                  <w:szCs w:val="18"/>
                  <w:color w:val="0000FF"/>
                </w:rPr>
                <w:t>91</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14.</w:t>
            </w:r>
          </w:p>
        </w:tc>
        <w:tc>
          <w:tcPr>
            <w:tcW w:w="6120" w:type="dxa"/>
            <w:vAlign w:val="bottom"/>
            <w:gridSpan w:val="16"/>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Principal Accountant Fees and Services.</w:t>
              </w:r>
            </w:hyperlink>
          </w:p>
        </w:tc>
        <w:tc>
          <w:tcPr>
            <w:tcW w:w="2240" w:type="dxa"/>
            <w:vAlign w:val="bottom"/>
            <w:gridSpan w:val="3"/>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4">
              <w:r>
                <w:rPr>
                  <w:rFonts w:ascii="Arial" w:cs="Arial" w:eastAsia="Arial" w:hAnsi="Arial"/>
                  <w:sz w:val="18"/>
                  <w:szCs w:val="18"/>
                  <w:color w:val="0000FF"/>
                </w:rPr>
                <w:t>91</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15.</w:t>
            </w:r>
          </w:p>
        </w:tc>
        <w:tc>
          <w:tcPr>
            <w:tcW w:w="3560" w:type="dxa"/>
            <w:vAlign w:val="bottom"/>
            <w:gridSpan w:val="11"/>
          </w:tcPr>
          <w:p>
            <w:pPr>
              <w:spacing w:after="0" w:line="189" w:lineRule="exact"/>
              <w:rPr>
                <w:rFonts w:ascii="Arial" w:cs="Arial" w:eastAsia="Arial" w:hAnsi="Arial"/>
                <w:sz w:val="18"/>
                <w:szCs w:val="18"/>
                <w:color w:val="0000FF"/>
                <w:w w:val="99"/>
              </w:rPr>
            </w:pPr>
            <w:hyperlink w:anchor="page95">
              <w:r>
                <w:rPr>
                  <w:rFonts w:ascii="Arial" w:cs="Arial" w:eastAsia="Arial" w:hAnsi="Arial"/>
                  <w:sz w:val="18"/>
                  <w:szCs w:val="18"/>
                  <w:color w:val="0000FF"/>
                  <w:w w:val="99"/>
                </w:rPr>
                <w:t>Exhibits and Financial Statement Schedules.</w:t>
              </w:r>
            </w:hyperlink>
          </w:p>
        </w:tc>
        <w:tc>
          <w:tcPr>
            <w:tcW w:w="4800" w:type="dxa"/>
            <w:vAlign w:val="bottom"/>
            <w:gridSpan w:val="8"/>
          </w:tcPr>
          <w:p>
            <w:pPr>
              <w:spacing w:after="0"/>
              <w:rPr>
                <w:sz w:val="16"/>
                <w:szCs w:val="16"/>
                <w:color w:val="auto"/>
              </w:rPr>
            </w:pPr>
          </w:p>
        </w:tc>
        <w:tc>
          <w:tcPr>
            <w:tcW w:w="620" w:type="dxa"/>
            <w:vAlign w:val="bottom"/>
            <w:gridSpan w:val="4"/>
          </w:tcPr>
          <w:p>
            <w:pPr>
              <w:ind w:left="320"/>
              <w:spacing w:after="0" w:line="189" w:lineRule="exact"/>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5"/>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16.</w:t>
            </w:r>
          </w:p>
        </w:tc>
        <w:tc>
          <w:tcPr>
            <w:tcW w:w="3560" w:type="dxa"/>
            <w:vAlign w:val="bottom"/>
            <w:gridSpan w:val="11"/>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Form 10-K Summary.</w:t>
              </w:r>
            </w:hyperlink>
          </w:p>
        </w:tc>
        <w:tc>
          <w:tcPr>
            <w:tcW w:w="4800" w:type="dxa"/>
            <w:vAlign w:val="bottom"/>
            <w:gridSpan w:val="8"/>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00" w:type="dxa"/>
            <w:vAlign w:val="bottom"/>
          </w:tcPr>
          <w:p>
            <w:pPr>
              <w:spacing w:after="0"/>
              <w:rPr>
                <w:sz w:val="24"/>
                <w:szCs w:val="24"/>
                <w:color w:val="auto"/>
              </w:rPr>
            </w:pPr>
          </w:p>
        </w:tc>
        <w:tc>
          <w:tcPr>
            <w:tcW w:w="1700" w:type="dxa"/>
            <w:vAlign w:val="bottom"/>
            <w:gridSpan w:val="7"/>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Signatures</w:t>
              </w:r>
            </w:hyperlink>
          </w:p>
        </w:tc>
        <w:tc>
          <w:tcPr>
            <w:tcW w:w="6660" w:type="dxa"/>
            <w:vAlign w:val="bottom"/>
            <w:gridSpan w:val="12"/>
          </w:tcPr>
          <w:p>
            <w:pPr>
              <w:spacing w:after="0"/>
              <w:rPr>
                <w:sz w:val="24"/>
                <w:szCs w:val="24"/>
                <w:color w:val="auto"/>
              </w:rPr>
            </w:pPr>
          </w:p>
        </w:tc>
        <w:tc>
          <w:tcPr>
            <w:tcW w:w="1580" w:type="dxa"/>
            <w:vAlign w:val="bottom"/>
            <w:gridSpan w:val="5"/>
          </w:tcPr>
          <w:p>
            <w:pPr>
              <w:ind w:left="320"/>
              <w:spacing w:after="0"/>
              <w:rPr>
                <w:rFonts w:ascii="Arial" w:cs="Arial" w:eastAsia="Arial" w:hAnsi="Arial"/>
                <w:sz w:val="18"/>
                <w:szCs w:val="18"/>
                <w:color w:val="0000FF"/>
              </w:rPr>
            </w:pPr>
            <w:hyperlink w:anchor="page124">
              <w:r>
                <w:rPr>
                  <w:rFonts w:ascii="Arial" w:cs="Arial" w:eastAsia="Arial" w:hAnsi="Arial"/>
                  <w:sz w:val="18"/>
                  <w:szCs w:val="18"/>
                  <w:color w:val="0000FF"/>
                </w:rPr>
                <w:t>122</w:t>
              </w:r>
            </w:hyperlink>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Annual Report on Form 10-K, or this Annual Report, contains forward-looking statements within the meaning of Section 21E of the Securities Exchange Act of 1934, as amended, or the Exchange Act. All statements other than statements of historical facts contained in this Annual Report, including statements regarding our future results of operations and financial position, business strategy, the impact of the COVID-19 pandemic,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231"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In some cases, you can identify forward-looking statements by terms such as "believe," "may," "will," "should," "predict," "goal," "strategy," "potentially," "estimate," "continue," "anticipate," "intend," "could," "would," "project," "plan," "expect," "seek," and similar expressions that convey uncertainty of future events or outcomes, are intended to identify forward-looking statements.</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“Risk Factors”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w:t>
      </w:r>
    </w:p>
    <w:p>
      <w:pPr>
        <w:spacing w:after="0" w:line="23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use our trademarks in this Annual Report as well as trademarks, tradenames and service marks that are the property of other organizations. Solely for convenience, certain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Item 1. Business.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0"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Exagen is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SLE and rheumatoid arthritis, or RA.</w:t>
      </w:r>
    </w:p>
    <w:p>
      <w:pPr>
        <w:spacing w:after="0" w:line="138" w:lineRule="exact"/>
        <w:rPr>
          <w:sz w:val="20"/>
          <w:szCs w:val="20"/>
          <w:color w:val="auto"/>
        </w:rPr>
      </w:pPr>
    </w:p>
    <w:p>
      <w:pPr>
        <w:ind w:right="220"/>
        <w:spacing w:after="0" w:line="213"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may provide clinical utility for over 23 million patients in the United States suffering from these diseases, which include SLE, RA, Sjögren’s syndrome, antiphospholipid syndrome, or APS, other autoimmune-related diseases such as autoimmune thyroid, and other disorders that mimic these diseases, such as fibromyalgia.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leveraging our portfolio of testing products to establish partnerships with leading pharmaceutical companies, academic research centers and patient advocacy organizations. We also have agreements with other leading pharmaceutical companies and clinical research organizations, including GlaxoSmithKline LLC, or GSK, Labcorp Drug Development and Parexel that leverage our testing products and/or the data generated from such tests. We provide GSK, a leader in lupus therapeutics, our test result data to provide market insight into and help increase awareness of the benefits of an early and accurate diagnosis of SLE and lupus nephritis, and monitoring disease activity. We partner with academic research centers and patient advocacy organizations, such as Brigham and Women's Hospital, Hospital for Special Surgery, Duke University and Emory University as well as the Lupus Foundation of America, to help improve the quality of life for people affected by autoimmune diseases through programs of research, education, support and advocacy. We plan to pursue additional partnerships that are synergistic with our evolving portfolio of testing products.</w:t>
      </w:r>
    </w:p>
    <w:p>
      <w:pPr>
        <w:spacing w:after="0" w:line="15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have demonstrated a strong track record of developing innovative testing products that meet the needs of diagnosing, prognosing and monitoring CTDs, as illustrated below: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816610</wp:posOffset>
            </wp:positionH>
            <wp:positionV relativeFrom="page">
              <wp:posOffset>680085</wp:posOffset>
            </wp:positionV>
            <wp:extent cx="5915025" cy="2957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915025"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leverages our proprietary CB-CAPs technology to enable the differential diagnosis SLE.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provides rheumatologists and their patients with sensitive and specific results that allow for potentially faster and more accurate differential diagnosis of SLE as compared to other currently-marketed testing methods. Beyond SLE,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allows rheumatologists to accurately diagnose other overlapping autoimmune and autoimmune-related diseases, including RA, with the same blood sample.</w:t>
      </w:r>
    </w:p>
    <w:p>
      <w:pPr>
        <w:spacing w:after="0" w:line="139"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testing product also leverages our proprietary CB-CAPs technology by measuring two CB-CAPs 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may be utilized by patients multiple times a year throughout their lives.</w:t>
      </w:r>
    </w:p>
    <w:p>
      <w:pPr>
        <w:spacing w:after="0" w:line="139"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Our RA-focused testing products include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a drug monitoring test designed to aid in the optimization of methotrexate therapy, the standard of care and first-line therapy for patients with RA.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based on our proprietary methotrexate polyglutamate, or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compatible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 our low-volume test sample collection method that allows for a micro-volume blood sample to be collected anywhere from a simple fingerstick.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which measures anti-carbamylated protein antibody, or anti-CarP, was developed by the Leiden University Medical Center, and we introduced it as a biomarker-driven RA prognostic test through a distribution agreement with Werfen USA, LLC with the goal of identifying patients prone to more severe disease.</w:t>
      </w:r>
    </w:p>
    <w:p>
      <w:pPr>
        <w:spacing w:after="0" w:line="145"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 force. Since the launch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through December 31, 2021, we have delivered over 615,000 of these tests. For the year ended December 31, 2021, 128,246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an approximate 28% increase over the same period in 2020. In the fourth quarter of 2021, the number of ordering healthcare providers reached a record 2,126 compared to 1,690 in the same period in 2020, and we reached a record 739 adopting healthcare providers (defined as those who previously prescribed at least 11 diagnostic tests in the corresponding period) compared to 635 in the same period in 2020. A high percentage of adopting healthcare providers continue to order tests in subsequent quarters, including a retention rate of approximately 99% among adopting healthcare providers from the third quarter of 2021 that order at least one diagnostic test in the fourth quarter of 2021.</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we continue to populate a growing proprietary database of de-identified patient test results from our clinical studies and our clinical laboratory. We believe the insight emerging from these results has the potential to unlock value for pharmaceutical and biotechnology companies in the development and commercialization of therapeutics. We believe we also have the ability to further leverage our database to optimize patient selection in clinical trials for companies developing therapeutics for autoimmune and autoimmune-related diseases. We plan to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collaborate with our existing and future pharmaceutical and biotechnology partners to help maximize the full value of our in-house database.</w:t>
      </w:r>
    </w:p>
    <w:p>
      <w:pPr>
        <w:spacing w:after="0" w:line="15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also believe we can leverage our portfolio of testing products to market therapeutics through our sales channel, targeting the approximately 5,000 rheumatologists across the United States, by integrating testing products and therapeutics to offer targeted solutions to rheumatologists and ultimately, better serve patients. We will continue to rely on our existing testing products to drive revenue growth and intend to leverage our integrated testing and therapeutics strategy to establish partnerships with a focus on the development and commercialization of therapeutics that are synergistic with our testing products.</w:t>
      </w:r>
    </w:p>
    <w:p>
      <w:pPr>
        <w:spacing w:after="0" w:line="148"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We are led by an experienced management team with unique capabilities to execute on our strategy. Our senior management has an average of over 20 years of experience in the healthcare industry with a focus on integrating diagnostics and therapeutics.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0"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We develop and commercialize next-generation testing products to ultimately improve the continuum of care for patients suffering from debilitating and chronic autoimmune diseases. The key tenets of our business strategy include:</w:t>
      </w:r>
    </w:p>
    <w:p>
      <w:pPr>
        <w:spacing w:after="0" w:line="13" w:lineRule="exact"/>
        <w:rPr>
          <w:sz w:val="20"/>
          <w:szCs w:val="20"/>
          <w:color w:val="auto"/>
        </w:rPr>
      </w:pPr>
    </w:p>
    <w:p>
      <w:pPr>
        <w:ind w:left="660" w:hanging="328"/>
        <w:spacing w:after="0" w:line="242" w:lineRule="auto"/>
        <w:tabs>
          <w:tab w:leader="none" w:pos="656"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our track record of developing innovative testing products. </w:t>
      </w:r>
      <w:r>
        <w:rPr>
          <w:rFonts w:ascii="Arial" w:cs="Arial" w:eastAsia="Arial" w:hAnsi="Arial"/>
          <w:sz w:val="18"/>
          <w:szCs w:val="18"/>
          <w:color w:val="auto"/>
        </w:rPr>
        <w:t>Since inception, we have demonstrated a strong track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of developing testing products that address the challenges in the differential diagnosis, prognosis and monitoring of patients with autoimmune and autoimmune-related diseases. We are leveraging our proprietary CB-CAPs and methotrexate polyglutamate, or MTXPG, technologies to develop additional testing products designed to have superior clinical utility for CTDs. We believe our commitment to innovating our portfolio of testing products will further strengthen our relationships with rheumatologists and our value proposition to our existing and future pharmaceutical and biotechnology partners.</w:t>
      </w:r>
    </w:p>
    <w:p>
      <w:pPr>
        <w:spacing w:after="0" w:line="16" w:lineRule="exact"/>
        <w:rPr>
          <w:rFonts w:ascii="Arial" w:cs="Arial" w:eastAsia="Arial" w:hAnsi="Arial"/>
          <w:sz w:val="18"/>
          <w:szCs w:val="18"/>
          <w:color w:val="auto"/>
        </w:rPr>
      </w:pPr>
    </w:p>
    <w:p>
      <w:pPr>
        <w:ind w:left="660" w:right="120" w:hanging="328"/>
        <w:spacing w:after="0"/>
        <w:tabs>
          <w:tab w:leader="none" w:pos="65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Drive additional market penetration for our testing products. </w:t>
      </w:r>
      <w:r>
        <w:rPr>
          <w:rFonts w:ascii="Arial" w:cs="Arial" w:eastAsia="Arial" w:hAnsi="Arial"/>
          <w:sz w:val="18"/>
          <w:szCs w:val="18"/>
          <w:color w:val="auto"/>
        </w:rPr>
        <w:t>Our portfolio of testing products enables the differential diagnosis,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prognosis and monitoring of complex autoimmune and autoimmune-related diseases. We have demonstrated a strong track record of commercial growth from our testing products, leveraging our specialized sales force and expansive network of relationships with rheumatologists across the United States. We believe we are uniquely positioned to continue expanding our commercial presence within the autoimmune disease market and plan to continue to invest in our sales force in order to achieve the optimal reach and frequency with rheumatologists. In addition, we will continue to expand our efforts in the targeted promotion and education of rheumatologists and payors as to the clinical and cost benefits of our testing products. We believe these efforts will position us to capture additional market share for our portfolio of testing products.</w:t>
      </w:r>
    </w:p>
    <w:p>
      <w:pPr>
        <w:spacing w:after="0" w:line="18" w:lineRule="exact"/>
        <w:rPr>
          <w:rFonts w:ascii="Arial" w:cs="Arial" w:eastAsia="Arial" w:hAnsi="Arial"/>
          <w:sz w:val="18"/>
          <w:szCs w:val="18"/>
          <w:b w:val="1"/>
          <w:bCs w:val="1"/>
          <w:i w:val="1"/>
          <w:iCs w:val="1"/>
          <w:color w:val="auto"/>
        </w:rPr>
      </w:pPr>
    </w:p>
    <w:p>
      <w:pPr>
        <w:ind w:left="660" w:hanging="328"/>
        <w:spacing w:after="0" w:line="244" w:lineRule="auto"/>
        <w:tabs>
          <w:tab w:leader="none" w:pos="656"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 the promotion of testing products and therapeutics for autoimmune and autoimmune-related diseases and establish partnerships. </w:t>
      </w:r>
      <w:r>
        <w:rPr>
          <w:rFonts w:ascii="Arial" w:cs="Arial" w:eastAsia="Arial" w:hAnsi="Arial"/>
          <w:sz w:val="18"/>
          <w:szCs w:val="18"/>
          <w:color w:val="auto"/>
        </w:rPr>
        <w:t>We are seeking to leverage our sales and marketing efforts targeting rheumatologists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our testing products to promote therapeutics. We intend to establish partnerships with a focus on the development and commercialization of therapeutics that are synergistic with our testing products to execute on this integrated testing and therapeutics strategy.</w:t>
      </w:r>
    </w:p>
    <w:p>
      <w:pPr>
        <w:spacing w:after="0" w:line="14" w:lineRule="exact"/>
        <w:rPr>
          <w:rFonts w:ascii="Arial" w:cs="Arial" w:eastAsia="Arial" w:hAnsi="Arial"/>
          <w:sz w:val="18"/>
          <w:szCs w:val="18"/>
          <w:color w:val="auto"/>
        </w:rPr>
      </w:pPr>
    </w:p>
    <w:p>
      <w:pPr>
        <w:ind w:left="660" w:right="80" w:hanging="328"/>
        <w:spacing w:after="0" w:line="266" w:lineRule="auto"/>
        <w:tabs>
          <w:tab w:leader="none" w:pos="656"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meaningful margin. </w:t>
      </w:r>
      <w:r>
        <w:rPr>
          <w:rFonts w:ascii="Arial" w:cs="Arial" w:eastAsia="Arial" w:hAnsi="Arial"/>
          <w:sz w:val="17"/>
          <w:szCs w:val="17"/>
          <w:color w:val="auto"/>
        </w:rPr>
        <w:t>We believe we are well positioned to maintain meaningful margin through a continued focus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operating leverage through the implementation of certain internal initiatives, such as conducting additional validation and reimbursement oriented clinical studies to facilitate payor coverage of our testing products, capitalizing on our growing reagent purchasing to negotiate improved volume-based pricing and automation in our clinical laboratory to reduce material and labor costs.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Autoimmune and Connective Tissue Diseases</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Autoimmune diseases encompass a broad range of serious, chronic and debilitating conditions in which a person’s immune system creates antibodies that mistakenly react against normal healthy tissues causing inflammation and irreversible tissue damage. These antibodies are called autoantibodies and their detection through blood tests can help diagnose, prognose and monitor the course of autoimmune diseases. However, knowing when and which autoantibody to test for is challenging due to the vagueness of symptoms, the unexplained flaring and remission of symptoms, and the many conditions which can mimic autoimmune disease. Early and accurate diagnosis of the conditions causing these overlapping symptoms is critical as an incorrect diagnosis can lead to toxicity from inappropriate medications, irreversible tissue damage and other comorbidities associated with uncontrolled disease. There is no known cause or cure for these chronic conditions and current treatment interventions are targeted at managing symptoms and limiting disease progression.</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7" w:name="page8"/>
    <w:bookmarkEnd w:id="7"/>
    <w:p>
      <w:pPr>
        <w:spacing w:after="0" w:line="224" w:lineRule="auto"/>
        <w:rPr>
          <w:sz w:val="20"/>
          <w:szCs w:val="20"/>
          <w:color w:val="auto"/>
        </w:rPr>
      </w:pPr>
      <w:r>
        <w:rPr>
          <w:rFonts w:ascii="Arial" w:cs="Arial" w:eastAsia="Arial" w:hAnsi="Arial"/>
          <w:sz w:val="18"/>
          <w:szCs w:val="18"/>
          <w:color w:val="auto"/>
        </w:rPr>
        <w:t>CTDs are a sub-category of autoimmune diseases involving inflammation of the joints, tissues and internal organs. Persons with CTDs often present to their rheumatologist with complaints of joint pain, fatigue, unexplained fever, inflammation, rash, stiffness and muscle aches. These symptoms overlap among numerous CTDs, including SLE, one of the most severe CTDs and historically difficult to rule out, as well as other autoimmune-related diseases and other disorders that mimic these diseases, such as fibromyalgia. Based on a study we commissioned in 2014, we estimate that there are approximately 23 million undiagnosed patients in the United States who are symptomatic of these conditions and who may benefit from the differential diagnosis of CTDs. Of these patients, we estimate approximately seven million are potentially referable to rheumatologists and would be candidates for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representing a total addressable market of approximately $3.6 billion, based on the current Medicare allowable reimbursement rate. We estimate the total addressable market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to be approximately $5 billion, based on estimated patient populations, the current Medicare allowable reimbursement rate and testing frequencies.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Lupus Erythematosus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SLE, the most common and severe form of lupus, is a chronic, inflammatory disorder that can damage any part of the body, including the skin, joints and internal organs. The blood of a person afflicted with SLE contains autoantibodies, which are the cause of the inflammation and organ damage and are one indicator of immune system abnormalities. SLE is characterized by a rise in symptoms and/or abnormal laboratory test results. SLE varies in severity, from mild cases to those in which significant and potentially fatal damage occurs to vital organs such as the brain, heart, kidneys and lungs. Detection of these autoantibodies can assist rheumatologists in the diagnosis of SLE. Diagnosis of SLE allows rheumatologists to initiate the most appropriate therapy to minimize irreversible organ damage and reduce morbidity and mortality. Current treatment for SLE involves the use of antimalarials, corticosteroids, immunosuppressants and biologic agents to prevent or suppress active disease or flares.</w:t>
      </w:r>
    </w:p>
    <w:p>
      <w:pPr>
        <w:spacing w:after="0" w:line="15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Standard laboratory tests for diagnosing SLE include measuring immunological biomarkers, such as antinuclear antibodies, or ANA, anti-double stranded DNA, or anti-dsDNA, and other autoantibody tests. ANA are a group of autoantibodies produced by a person’s immune system when it fails to adequately distinguish between self and non-self. The ANA test detects these autoantibodies in the blood and is a useful screening tool for SLE and other autoimmune and autoimmune-related diseases. The vast majority of SLE patients test positive for ANA. However, the high sensitivity of ANA for SLE is counterbalanced by somewhat poor specificity. Sensitivity measures the proportion of patients who are correctly identified as having a particular condition, while specificity measures the proportion of patients who are correctly identified as not having a particular condition. Therefore, the majority of individuals who test positive for ANA do not have SLE. Only approximately 11-13% of individuals with a positive ANA test have SLE. This lack of specificity leads to many inappropriate non-autoimmune referrals to the rheumatologist from primary care physicians. For example, it has been reported that 30% of fibromyalgia patients may test positive for ANA, potentially generating as many as four million inappropriate rheumatology referrals. In addition, a study published in 2012 reported the estimated prevalence of a positive ANA test in the normal, healthy, U.S. population to be 13.8%, or 32 million people, indicating a significant need for a highly-specific test for this disease.</w:t>
      </w:r>
    </w:p>
    <w:p>
      <w:pPr>
        <w:spacing w:after="0" w:line="15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Anti-dsDNA are autoantibodies that target a person’s double stranded DNA. The anti-dsDNA antibody test is a very specific test for SLE as anti-dsDNA antibodies are rarely found in autoimmune diseases other than SLE. A strongly positive anti-dsDNA antibody test makes it very likely that a person has SLE, although if the test is negative it does not necessarily rule out SLE. Approximately 30-70% of people with SLE have a negative anti-dsDNA antibody test, reaffirming the need for an effective testing product which adds clarity to the rheumatologist’s clinical assessment.</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Activation of the complement system is an integral part of the disease process of SLE. Thus, rheumatologists measure components of the complement system, including serum levels of C3 and C4, to help diagnose SLE and monitor SLE disease activity. In 2012, the Systemic Lupus Collaborating Clinics added low C3 and low C4 as immunologic criteria for classifying SLE. In active SLE, C3 and C4 complement proteins are consumed and broken down to fragments, known as complement activation products. Therefore, low levels of C3 and C4 suggest a diagnosis of SLE and that the disease is active. However, variability in the levels of C3 and C4 can occur due to factors unrelated to SLE disease presence or disease activity, making them less reliable as biomarkers for SLE. For example, C3 and C4 are acute phase reactants and produced during inflammation. As a result, many SLE patients have normal complement levels even when the disease is active. Although relatively specific for SLE, low complement levels can also be seen in certain chronic infections, including non-lupus related kidney inflammation, severe liver disease and other autoimmune diseases. CB-CAPs are formed when the fragments of complement activation products from C4 bind permanently to circulating cells such as red blood cells, b-cells and platelets. This binding lasts for the life of the cell and represents a more stable and reliable indicator of complement activation than measuring C3 and C4 alone.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8" w:name="page9"/>
    <w:bookmarkEnd w:id="8"/>
    <w:p>
      <w:pPr>
        <w:spacing w:after="0" w:line="225" w:lineRule="auto"/>
        <w:rPr>
          <w:sz w:val="20"/>
          <w:szCs w:val="20"/>
          <w:color w:val="auto"/>
        </w:rPr>
      </w:pPr>
      <w:r>
        <w:rPr>
          <w:rFonts w:ascii="Arial" w:cs="Arial" w:eastAsia="Arial" w:hAnsi="Arial"/>
          <w:sz w:val="18"/>
          <w:szCs w:val="18"/>
          <w:color w:val="auto"/>
        </w:rPr>
        <w:t>In March 2011, the first new biologic targeting treatment of SLE in over 50 years, GSK’s Benlysta</w:t>
      </w:r>
      <w:r>
        <w:rPr>
          <w:rFonts w:ascii="Arial" w:cs="Arial" w:eastAsia="Arial" w:hAnsi="Arial"/>
          <w:sz w:val="23"/>
          <w:szCs w:val="23"/>
          <w:color w:val="auto"/>
          <w:vertAlign w:val="superscript"/>
        </w:rPr>
        <w:t>®</w:t>
      </w:r>
      <w:r>
        <w:rPr>
          <w:rFonts w:ascii="Arial" w:cs="Arial" w:eastAsia="Arial" w:hAnsi="Arial"/>
          <w:sz w:val="18"/>
          <w:szCs w:val="18"/>
          <w:color w:val="auto"/>
        </w:rPr>
        <w:t>, was approved by the U.S. Food and Drug Administration, or the FDA, and in December 2020, the FDA approved this biologic drug for the treatment of lupus nephritis. It is the only approved biologic for the treatment of active, antibody-positive SLE who are receiving standard therapy, and in December 2020, the FDA approved this biologic for the treatment of adult patients with active lupus nephritis who are receiving standard therapy. Since Benlysta</w:t>
      </w:r>
      <w:r>
        <w:rPr>
          <w:rFonts w:ascii="Arial" w:cs="Arial" w:eastAsia="Arial" w:hAnsi="Arial"/>
          <w:sz w:val="23"/>
          <w:szCs w:val="23"/>
          <w:color w:val="auto"/>
          <w:vertAlign w:val="superscript"/>
        </w:rPr>
        <w:t>®</w:t>
      </w:r>
      <w:r>
        <w:rPr>
          <w:rFonts w:ascii="Arial" w:cs="Arial" w:eastAsia="Arial" w:hAnsi="Arial"/>
          <w:sz w:val="18"/>
          <w:szCs w:val="18"/>
          <w:color w:val="auto"/>
        </w:rPr>
        <w:t>'s approval, there have been a number of drug development programs that have failed in SLE, which may suggest that guidelines for classifying SLE patients and the endpoints used to determine clinical effectiveness have not adequately addressed the complexity of the disease process and its heterogeneous population. We believe biopharmaceutical companies would benefit from the differential diagnosis enabled by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 order to better identify sub-populations of SLE patients for targeted therapies.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Rheumatoid Arthritis</w:t>
      </w:r>
    </w:p>
    <w:p>
      <w:pPr>
        <w:spacing w:after="0" w:line="18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RA is a chronic, systemic autoimmune disease in which the immune system attacks the joints and can also affect other organ systems. The annual incidence and prevalence of RA in the United States is estimated to be 120,000 and two million, respectively. Patients suffering from RA develop joint damage that is associated with painful inflammation which often progresses to irreversible damage of cartilage and bone leading to significant disability and a reduction in quality of life and the ability to work. Early diagnosis and effective treatment of RA is critically important to prevent erosive bone or joint damage and disability. Rheumatologists are compelled to reach a definitive diagnosis quickly and administer effective treatment.</w:t>
      </w:r>
    </w:p>
    <w:p>
      <w:pPr>
        <w:spacing w:after="0" w:line="15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Diagnosis of RA involves performing a complete medical history with physical and/or radiographic examination of the number and distribution of swollen, tender and painful joints that have persisted for more than six weeks. Laboratory testing for rheumatoid factor, or RF, anti-cyclic citrullinated peptide, or CCP, antibodies, and testing for general, nonspecific inflammation with erythrocyte sedimentation rate, or the ESR, and C-reactive protein tests are used to assist in the diagnosis.</w:t>
      </w:r>
    </w:p>
    <w:p>
      <w:pPr>
        <w:spacing w:after="0" w:line="15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standard of care for the treatment for RA involves the use of Disease Modifying Anti-Rheumatic Drugs, or DMARDs, which have shown, in clinical studies, the ability to slow or stop disease progression. Methotrexate remains the most commonly used DMARD, due to its low cost, effectiveness, and the extensive clinical experience with its use. It is estimated that approximately 74% of RA patients in the United States, or 1.3 million patients, are treated with methotrexate, either as a monotherapy or in combination with another DMARD.</w:t>
      </w:r>
    </w:p>
    <w:p>
      <w:pPr>
        <w:spacing w:after="0" w:line="151" w:lineRule="exact"/>
        <w:rPr>
          <w:sz w:val="20"/>
          <w:szCs w:val="20"/>
          <w:color w:val="auto"/>
        </w:rPr>
      </w:pPr>
    </w:p>
    <w:p>
      <w:pPr>
        <w:ind w:right="160"/>
        <w:spacing w:after="0" w:line="214" w:lineRule="auto"/>
        <w:rPr>
          <w:sz w:val="20"/>
          <w:szCs w:val="20"/>
          <w:color w:val="auto"/>
        </w:rPr>
      </w:pPr>
      <w:r>
        <w:rPr>
          <w:rFonts w:ascii="Arial" w:cs="Arial" w:eastAsia="Arial" w:hAnsi="Arial"/>
          <w:sz w:val="18"/>
          <w:szCs w:val="18"/>
          <w:color w:val="auto"/>
        </w:rPr>
        <w:t>Biologics DMARDs are proteins that have been genetically modified to target cellular components of the immune system that attack healthy tissues causing the symptoms of RA. They are a targeted form of therapy, which makes them different from traditional RA treatments, such as methotrexate. The first FDA approved biologics for RA were the anti-TNFs. ENBREL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approved for RA in 1998 and the latest, SIMPONI</w:t>
      </w:r>
      <w:r>
        <w:rPr>
          <w:rFonts w:ascii="Arial" w:cs="Arial" w:eastAsia="Arial" w:hAnsi="Arial"/>
          <w:sz w:val="23"/>
          <w:szCs w:val="23"/>
          <w:color w:val="auto"/>
          <w:vertAlign w:val="superscript"/>
        </w:rPr>
        <w:t>®</w:t>
      </w:r>
      <w:r>
        <w:rPr>
          <w:rFonts w:ascii="Arial" w:cs="Arial" w:eastAsia="Arial" w:hAnsi="Arial"/>
          <w:sz w:val="18"/>
          <w:szCs w:val="18"/>
          <w:color w:val="auto"/>
        </w:rPr>
        <w:t>, was approved in 2009. The anti-TNFs dominate the therapy for RA and generally are the first biologics chosen to augment methotrexate when patients are not achieving a satisfactory response.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69"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including SLE and RA. Our product portfolio integrates our proprietary CB-CAPs technology, which is a stable and reliable method for differentially diagnosing SLE. We are focused on leveraging our sales channel targeting the approximately 5,000 rheumatologists across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two core proprietary technologies, CB-CAPs and MTXPGs, which form the backbone of several of our testing products.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CB-CAPs</w:t>
      </w:r>
    </w:p>
    <w:p>
      <w:pPr>
        <w:spacing w:after="0" w:line="17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proprietary CB-CAPs technology determines the blood levels of complement activation proteins permanently deposited on hematopoietic cells. The determination of complement proteins in a patient’s blood is a mainstay in clinical laboratory science, and state-of-the-art methods traditionally rely on measurement of serum or plasma levels of soluble complements. C3 and C4 are the most commonly determined complement proteins in the blood and the precursors to activation of complement proteins into biologically active breakdown products. However, there are limitations with measuring C3 and C4 blood levels as indicators of complement activation. For example, increased synthesis of C3 and C4 by the liver can offset increased C3 and C4 breakdown during activation of the complement cascade, resulting in no change in serum levels. While the limitations and drawbacks of measuring standard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9" w:name="page10"/>
    <w:bookmarkEnd w:id="9"/>
    <w:p>
      <w:pPr>
        <w:ind w:right="60"/>
        <w:spacing w:after="0" w:line="246" w:lineRule="auto"/>
        <w:rPr>
          <w:sz w:val="20"/>
          <w:szCs w:val="20"/>
          <w:color w:val="auto"/>
        </w:rPr>
      </w:pPr>
      <w:r>
        <w:rPr>
          <w:rFonts w:ascii="Arial" w:cs="Arial" w:eastAsia="Arial" w:hAnsi="Arial"/>
          <w:sz w:val="18"/>
          <w:szCs w:val="18"/>
          <w:color w:val="auto"/>
        </w:rPr>
        <w:t>components of the complement system, such as C3 and C4, are well recognized by the medical community, these laboratory biomarkers are part of international guidelines for the classification of SLE.</w:t>
      </w:r>
    </w:p>
    <w:p>
      <w:pPr>
        <w:spacing w:after="0" w:line="1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believe the availability of novel complement biomarkers supporting or replacing standard C3 and C4 measures will be of great value for rheumatologists and ultimately their patients. Our CB-CAPs technology directly measures protein products of complement activation, such as C4d, the product of C4 activation. These complement activation products become stably attached to surfaces of circulating blood cells to become CB-CAPs. As such, the determination of CB-CAPs in the blood provides benefits when compared to the traditional complement measurement. These include the stable, accurate and unequivocal information of complement activation that enable consistent measurement and an improved ability to assess and monitor changes in biological activity related to activation of the complement system. In a head-to-head study published in 2014, CB-CAPs (EC4d or BC4d) showed 22% higher sensitivity (66%) than C3 and C4 (44%) in diagnosing SLE, with specificity fixed at 91%.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MTXPGs</w:t>
      </w:r>
    </w:p>
    <w:p>
      <w:pPr>
        <w:spacing w:after="0" w:line="17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Methotrexate is the standard of care and first-line treatment of many autoimmune diseases including RA and psoriatic arthritis. Our proprietary technology measures blood levels of MTXPGs, which are the active metabolite of methotrexate. The technology uses a dried capillary blood-based collection method coupled with liquid chromatographic tandem mass spectrometry and quantifies nanomolar concentrations of MTXPG using at least two orders of magnitude lower blood volume than venipuncture. MTXPG blood levels are actionable clinical utility checkpoints and can help clinicians identify causes for a lack of response to methotrexate, such as poor activation to active metabolites, underexposure secondary to poor absorption or poor compliance, all of which are limiting factors to the achievement of a robust clinical response with this first-line treatment. We believe we can leverage this technology to optimize anti-TNF treatment by reducing the formation of anti-drug antibodies that are known to impact the clinical efficacy of these drugs.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Testing Products</w:t>
      </w:r>
    </w:p>
    <w:p>
      <w:pPr>
        <w:spacing w:after="0" w:line="180"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Since inception, we have been committed to developing and commercializing innovative testing products that address the challenges rheumatologists face in differentially diagnosing, prognosing and monitoring complex autoimmune and autoimmune-related diseases. We estimate the total addressable market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to be approximately $5 billion, based on estimated patient populations, the current Medicare allowable reimbursement rate and testing frequencies.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CTD</w:t>
      </w:r>
    </w:p>
    <w:p>
      <w:pPr>
        <w:spacing w:after="0" w:line="100"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is a comprehensive test that aids in the differential diagnosis of SLE versus other common CTDs. The SLE portion of the test employs our proprietary CB-CAPs technology and specifically measures activation of the complement system by quantifying the level of two CB-CAPs biomarkers in the patient’s blood, B-cell C4d, or BC4d, and erythrocyte bound C4d, or EC4d, which are higher in patients with SLE compared to patients with other CTDs. In addition, the comprehensive nature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testing for a series of biomarkers in one convenient blood draw to further aid in the differential diagnosis of a wide variety of CTDs and other diseases which can be challenging to diagnose as a result of overlapping symptoms. These diseases include SLE, RA, Sjögren’s syndrome, APS, other autoimmune-related diseases such as autoimmune thyroid, and other disorders that mimic these diseases, such as fibromyalgia. Our test’s ability to allow rheumatologists to effectively rule out SLE and differentially diagnose other CTDs such as RA adds clarity to the rheumatologist’s assessment, thereby making the larger diagnostic process more efficient and accurate. The clinical performance of our proprietary biomarkers and the convenience of a single blood draw make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an attractive choice among rheumatologists.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Lupus</w:t>
      </w:r>
    </w:p>
    <w:p>
      <w:pPr>
        <w:spacing w:after="0" w:line="100" w:lineRule="exact"/>
        <w:rPr>
          <w:sz w:val="20"/>
          <w:szCs w:val="20"/>
          <w:color w:val="auto"/>
        </w:rPr>
      </w:pPr>
    </w:p>
    <w:p>
      <w:pPr>
        <w:ind w:right="80"/>
        <w:spacing w:after="0" w:line="200" w:lineRule="auto"/>
        <w:rPr>
          <w:sz w:val="20"/>
          <w:szCs w:val="20"/>
          <w:color w:val="auto"/>
        </w:rPr>
      </w:pPr>
      <w:r>
        <w:rPr>
          <w:rFonts w:ascii="Arial" w:cs="Arial" w:eastAsia="Arial" w:hAnsi="Arial"/>
          <w:sz w:val="18"/>
          <w:szCs w:val="18"/>
          <w:color w:val="auto"/>
        </w:rPr>
        <w:t>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employs our proprietary CB-CAPs technology and is the cornerstone of the SLE assessment within our more comprehensive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measures activation of the complement system by quantifying the level of BC4d and EC4d in the patient’s blood. Rheumatologists choose to order the comprehensive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or the more focused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based on medical necessity, which is determined by each patient’s symptoms and medical history.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APS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 w:name="page11"/>
    <w:bookmarkEnd w:id="10"/>
    <w:p>
      <w:pPr>
        <w:ind w:right="20"/>
        <w:spacing w:after="0" w:line="200"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APS consists of a specialized panel of autoantibody tests. This test aids in both the diagnosis and management of APS, a hyper-coagulation state leading to thrombosis, pregnancy complications, and even death. Rheumatologists would typically request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APS test in patients who initially tested positive for one or more APS biomarkers contained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or in the management of patients experiencing a high-risk pregnancy.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Vasculitis AAV</w:t>
      </w:r>
    </w:p>
    <w:p>
      <w:pPr>
        <w:spacing w:after="0" w:line="10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In September 2020, we launched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Vasculitis AAV which utilizes a testing panel of individual analytes designed to provide physicians with rapid and reliable results in the assessment and monitoring of anti-neutrophil cytoplasmic antibody, or ANCA, associated vasculitis, or AAV. AAV is a group of autoimmune diseases characterized by vascular inflammation and damage. Early signs and symptoms vary greatly and are not always indicative of the severity of the disease. Rapid and accurate testing is essential to prevent death and long-term disability.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Prognosis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SLE Prognostic</w:t>
      </w:r>
    </w:p>
    <w:p>
      <w:pPr>
        <w:spacing w:after="0" w:line="100"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is a panel of autoantibodies that have established predictive value for assessing the potential for complications affecting the kidney, brain and cardiovascular system, including lupus nephritis, lupus psychosis, strokes and heart attacks related to lupus. Rheumatologists rely on insights from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test to help tailor their treatment approach.</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color w:val="auto"/>
        </w:rPr>
        <w:t xml:space="preserve"> Anti-CarP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-48895</wp:posOffset>
            </wp:positionV>
            <wp:extent cx="5270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7050" cy="8255"/>
                    </a:xfrm>
                    <a:prstGeom prst="rect">
                      <a:avLst/>
                    </a:prstGeom>
                    <a:noFill/>
                  </pic:spPr>
                </pic:pic>
              </a:graphicData>
            </a:graphic>
          </wp:anchor>
        </w:drawing>
      </w:r>
    </w:p>
    <w:p>
      <w:pPr>
        <w:spacing w:after="0" w:line="80"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which measures anti-carbamylated protein antibody, or anti-CarP, was developed by the Leiden University Medical Center, and we introduced it as a biomarker-driven RA prognostic test through a distribution agreement with Werfen USA, LLC. with the goal of identifying patients prone to more severe disease. We were the first commercial laboratory to make testing for anti-CarP available in the United States with the introduction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in 2018. This test uniquely addresses two major challenges facing rheumatologists today – (1) patients presenting with RA symptoms but lacking the common confirmatory blood tests for anti-RF or anti-CCP, known as sero-negative patients, and (2) the lack of a serologic indicator, which indicates a poor prognosis and helps guide treatment decisions. Anti-CarP can be positive in up to 26% of RA patients who are negative for anti-CCP. Furthermore, RA patients positive for Anti-CarP have an increased risk for more severe RA disease, including permanent joint damage</w:t>
      </w:r>
      <w:r>
        <w:rPr>
          <w:rFonts w:ascii="Arial" w:cs="Arial" w:eastAsia="Arial" w:hAnsi="Arial"/>
          <w:sz w:val="18"/>
          <w:szCs w:val="18"/>
          <w:b w:val="1"/>
          <w:bCs w:val="1"/>
          <w:i w:val="1"/>
          <w:iCs w:val="1"/>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PC4d</w:t>
      </w:r>
    </w:p>
    <w:p>
      <w:pPr>
        <w:spacing w:after="0" w:line="100"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PC4d, introduced in 2018, reflects over 10 years of research efforts and employs our proprietary CB-CAPs technology. This proprietary CB-CAP biomarker measures platelet-bound C4d, or PC4d, and has been shown in clinical studies to have significant association with thrombosis and ischemic stroke in SLE. These thrombotic events can be among the most damaging and deadly forms of lupus flares and often strike without warning. Because of its strong association with thrombosis, we believe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PC4d promises to be a valuable tool for SLE disease monitoring.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SLE Monitor</w:t>
      </w:r>
    </w:p>
    <w:p>
      <w:pPr>
        <w:spacing w:after="0" w:line="100" w:lineRule="exact"/>
        <w:rPr>
          <w:sz w:val="20"/>
          <w:szCs w:val="20"/>
          <w:color w:val="auto"/>
        </w:rPr>
      </w:pPr>
    </w:p>
    <w:p>
      <w:pPr>
        <w:ind w:right="20"/>
        <w:spacing w:after="0" w:line="206"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is a blood test that employs our proprietary CB-CAPs technology and is intended to assess the condition of a patient that has been diagnosed with SLE. It offers a unique combination of biomarkers that measure for EC4d, which has shown greater accuracy in tracking disease activity than C3 and C4, and PC4d, which is associated with thrombosis risk in SLE.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offers additional insight into a patient’s disease activity as well as possible adverse events. Rheumatologists have limited methods for evaluating the extent of disease activity taking place inside the body of an SLE patient. They rely on imperfect biomarkers, overt symptoms or flares, and patient reported history, all of which leave the rheumatologists looking for greater insights. In surveys conducted with SLE patients, it has been reported that patients tend to under report their symptoms and over 70% of healthcare providers are unaware of this bias.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demonstrates correlation to SLE disease activity and is therefore designed to enable rheumatologists to effectively assess and optimize therapeutic intervention in patients diagnosed with SLE. Additionally,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measures EC4d, anti-C1q, C3, C4 and anti-dsDNA which can assist physicians with managing their lupus nephritis patients. Depending on disease severity,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testing product may be utilized by patients multiple times a year and throughout their lives. We believe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will play an increasingly important role in the management of SLE patients and further solidify the role and relationship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for these patients.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MTX</w:t>
      </w:r>
    </w:p>
    <w:p>
      <w:pPr>
        <w:spacing w:after="0" w:line="100"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a patented and validated blood test that precisely measures blood levels of MTXPG, the active metabolite of methotrexate linked to disease control in RA patients. There is large variability in the way patients absorb and metabolize methotrexate, leaving rheumatologists unsure of what steps to take when a patient has an inadequate response. Methotrexate is the most widely prescribed drug by rheumatologists in the treatment of RA. Measuring MTXPGs allows rheumatologists to identify patients presenting with inadequate exposure to methotrexate enabling them to optimize dosing and achieve therapeutic levels commensurate with adequate disease control. When faced with a patient who is not responding to methotrexate therapy, the options include increasing the dose, switching to a parenteral delivery method and/or advancing to a more costly biologic therapy.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provides crucial information as to whether a patient has achieved MTXPG blood levels consistent with an appropriate response to methotrexate, also known as the therapeutic level, or if the MTXPG blood levels are too low to produce adequate effects.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can allow rheumatologists to make a more informed therapeutic decisions in their efforts to optimize methotrexate therapy and give patients their best chance at achieving an optimal response.</w:t>
      </w:r>
    </w:p>
    <w:p>
      <w:pPr>
        <w:spacing w:after="0" w:line="141"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compatible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 our low-volume test sample collection method that allows for a micro-volume blood sample to be collected anywhere from a simple fingerstick.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 has a number of advantages, including empowering rheumatologists to collect and submit samples without full phlebotomy services, convenience for patients who have trouble with venipuncture and potential patient self-collection.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HCQ</w:t>
      </w:r>
    </w:p>
    <w:p>
      <w:pPr>
        <w:spacing w:after="0" w:line="100"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HCQ is a blood test designed to help rheumatologists objectively monitor levels of hydroxychloroquine, or HCQ, in whole blood as they treat patients with SLE and other CTDs, including RA. HCQ is typically prescribed to patients to control SLE disease activity and prevent flares. However, there is large variability in the response to HCQ therapy, the drug can sometimes take weeks or months to have a therapeutic effect and compliance has been documented to be an issue in CTD patients. We believe measuring HCQ makes the patient accountable, and also helps to determine whether HCQ blood levels are adequate and consistent with clinical efficacy. The addition of new and costly biologic therapies approved for the treatment of SLE may drive interest by all healthcare stakeholders, especially payors, to adopt an approach that optimizes a generic drug before advancing to a costlier alternative.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HCQ is also compatible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 Reports</w:t>
      </w:r>
    </w:p>
    <w:p>
      <w:pPr>
        <w:spacing w:after="0" w:line="169" w:lineRule="exact"/>
        <w:rPr>
          <w:sz w:val="20"/>
          <w:szCs w:val="20"/>
          <w:color w:val="auto"/>
        </w:rPr>
      </w:pPr>
    </w:p>
    <w:p>
      <w:pPr>
        <w:spacing w:after="0" w:line="194" w:lineRule="auto"/>
        <w:rPr>
          <w:sz w:val="20"/>
          <w:szCs w:val="20"/>
          <w:color w:val="auto"/>
        </w:rPr>
      </w:pPr>
      <w:r>
        <w:rPr>
          <w:rFonts w:ascii="Arial" w:cs="Arial" w:eastAsia="Arial" w:hAnsi="Arial"/>
          <w:sz w:val="18"/>
          <w:szCs w:val="18"/>
          <w:color w:val="auto"/>
        </w:rPr>
        <w:t>We provide the results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 a comprehensive and easy-to-understand test report typically sent to rheumatologists within five business days following receipt of the blood specimen. As shown below, the result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portion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report displays a gradient illustrating the likelihood of the presence of lupus, which facilitates interpretation and discussion of the result with the patient versus only reporting a numerical value. In addition, all biomarker results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are reported and organized by disease state, providing clarity and convenience for the rheumatologists. A sample of the full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report is shown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CTD Report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680720</wp:posOffset>
            </wp:positionV>
            <wp:extent cx="5666105" cy="7235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666105" cy="723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680720</wp:posOffset>
            </wp:positionV>
            <wp:extent cx="5666105" cy="7243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66610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and Growth Opportunities</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have a Scientific Advisory Board consisting of national experts in the clinical management of rheumatic autoimmune diseases, including RA and lupus, to help guide the organization’s leadership team on the design and</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4" w:name="page15"/>
    <w:bookmarkEnd w:id="14"/>
    <w:p>
      <w:pPr>
        <w:spacing w:after="0" w:line="230" w:lineRule="auto"/>
        <w:rPr>
          <w:sz w:val="20"/>
          <w:szCs w:val="20"/>
          <w:color w:val="auto"/>
        </w:rPr>
      </w:pPr>
      <w:r>
        <w:rPr>
          <w:rFonts w:ascii="Arial" w:cs="Arial" w:eastAsia="Arial" w:hAnsi="Arial"/>
          <w:sz w:val="18"/>
          <w:szCs w:val="18"/>
          <w:color w:val="auto"/>
        </w:rPr>
        <w:t>execution of research projects, as well as weigh-in on known and anticipated advances in technologies affecting clinical management of autoimmune diseases. We believe there is significant potential to capitalize on our proprietary CB-CAPs and MTXPG technologies by integrating those technologies with commercially validated biomarkers to develop testing products with superior clinical utility. The complement pathway is widely implicated in the pathogenesis of a variety of conditions, including autoimmune diseases and organ transplant rejection, and emerging data suggests its implication in cancer development. We believe that our proprietary CB-CAPs technology, owing to its stability and reliability, will allow us to produce meaningful and differentiated proprietary solutions for rheumatologists. For example, we are focused on leveraging our proprietary CB-CAPs technology by developing a thrombosis risk score with PC4d in prognosing cardiovascular events in SLE. In addition, we are developing assays that we believe may have high diagnostic, prognostic, monitoring and/or therapeutic response value in patients with fibromyalgia, RA and additional autoimmune indications, and we continue to evaluate the use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 and microfluidics for our broader portfolio of testing products to increase convenience and cost-effectiveness.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RADR Platform</w:t>
      </w:r>
    </w:p>
    <w:p>
      <w:pPr>
        <w:spacing w:after="0" w:line="17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RA is estimated to affect approximately two million patients in the United States and can be difficult to manage due to the variability in treatment response from patient to patient. Therapeutic agent selection for RA patients remains a significant unmet need. RA patients often try multiple therapies empirically before they find one that lowers their disease activity. The placement of an RA patient on an ineffective therapy risks progression and worsening of the disease, further damage to the joints, and significant wasted spend on expensive therapeutic agents. There are currently no reliable assays for predicting positive patient response prior to the selection of commonly prescribed biological therapeutic agents. In collaboration with Queen Mary University of London, we are aiming to develop a family of patented assays pertaining to RNA expression patterns used in the prediction of patient response to commonly prescribed csDMARD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RADR 1) and biological therapeutics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RADR 2) for RA. The assays utilize minimally invasive synovial tissue biopsies as input, which are then assessed for RNA expression data. These data are then run through proprietary machine learning algorithms that provide actionable insights on predicted csDMARD and biological therapeutic response for RA patients based on an individual patient's RNA expression patterns.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specialized sales force is focused on targeting the approximately 5,000 rheumatologists across the United States. Our sales representatives generally have extensive experience in healthcare sales with backgrounds in rheumatology, biologics, specialty therapeutics and/or testing. In addition, our sales representatives complete a comprehensive disease-level sales training program and are required to participate in regular, ongoing training activities and certifications.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goal is for our sales representative to be viewed as a collaborative consultant versus a traditional drug sales representative.</w:t>
      </w:r>
    </w:p>
    <w:p>
      <w:pPr>
        <w:spacing w:after="0" w:line="15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of December 31, 2021, our overall sales team consisted of approximately 79 members. We have a sales force of 61 representatives, who are managed by a team of seven regional sales directors. Our sales force is organized into seven regions which include, Pacific, Southwest, Midwest, Great Lakes, Southeast, Atlantic and Northeast. As of December 31, 2021, our sales force was covering a total of 63 territories within the seven regions. Our inside sales force helps further our reach with rheumatologists in white space, complementing our decentralized sales force and covering vacant territories. In addition, we intend to continue to evaluate our sales force's reach and frequency of interactions with rheumatologists, including as we launch our pipeline products. To further support our promotional efforts, we have a centralized, dedicated client services department with a high level of technical training that augments our specialized sales force and marketing activities and enhances sales efficiency and customer satisfaction by providing personalized customer support.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Doctor, Right Message, Right Frequency</w:t>
      </w:r>
    </w:p>
    <w:p>
      <w:pPr>
        <w:spacing w:after="0" w:line="15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Our focused “high-touch” selling approach emphasizes execution in three core areas: </w:t>
      </w:r>
      <w:r>
        <w:rPr>
          <w:rFonts w:ascii="Arial" w:cs="Arial" w:eastAsia="Arial" w:hAnsi="Arial"/>
          <w:sz w:val="18"/>
          <w:szCs w:val="18"/>
          <w:i w:val="1"/>
          <w:iCs w:val="1"/>
          <w:color w:val="auto"/>
        </w:rPr>
        <w:t>targeting, messaging and call frequency</w:t>
      </w:r>
      <w:r>
        <w:rPr>
          <w:rFonts w:ascii="Arial" w:cs="Arial" w:eastAsia="Arial" w:hAnsi="Arial"/>
          <w:sz w:val="18"/>
          <w:szCs w:val="18"/>
          <w:color w:val="auto"/>
        </w:rPr>
        <w:t xml:space="preserve">. We strategically </w:t>
      </w:r>
      <w:r>
        <w:rPr>
          <w:rFonts w:ascii="Arial" w:cs="Arial" w:eastAsia="Arial" w:hAnsi="Arial"/>
          <w:sz w:val="18"/>
          <w:szCs w:val="18"/>
          <w:i w:val="1"/>
          <w:iCs w:val="1"/>
          <w:color w:val="auto"/>
        </w:rPr>
        <w:t>target</w:t>
      </w:r>
      <w:r>
        <w:rPr>
          <w:rFonts w:ascii="Arial" w:cs="Arial" w:eastAsia="Arial" w:hAnsi="Arial"/>
          <w:sz w:val="18"/>
          <w:szCs w:val="18"/>
          <w:color w:val="auto"/>
        </w:rPr>
        <w:t xml:space="preserve"> the highest-potential practices by utilizing various data sources (e.g., market analytics, demographic data, historical biologic and diagnostic product usage trends). Furthermore, we believe the increased access afforded by our testing products will allow for patient-focused </w:t>
      </w:r>
      <w:r>
        <w:rPr>
          <w:rFonts w:ascii="Arial" w:cs="Arial" w:eastAsia="Arial" w:hAnsi="Arial"/>
          <w:sz w:val="18"/>
          <w:szCs w:val="18"/>
          <w:i w:val="1"/>
          <w:iCs w:val="1"/>
          <w:color w:val="auto"/>
        </w:rPr>
        <w:t>messaging</w:t>
      </w:r>
      <w:r>
        <w:rPr>
          <w:rFonts w:ascii="Arial" w:cs="Arial" w:eastAsia="Arial" w:hAnsi="Arial"/>
          <w:sz w:val="18"/>
          <w:szCs w:val="18"/>
          <w:color w:val="auto"/>
        </w:rPr>
        <w:t xml:space="preserve"> and the increased accuracy of our testing products over current standard of care diagnostic methodologies. Finally, we execute a high-</w:t>
      </w:r>
      <w:r>
        <w:rPr>
          <w:rFonts w:ascii="Arial" w:cs="Arial" w:eastAsia="Arial" w:hAnsi="Arial"/>
          <w:sz w:val="18"/>
          <w:szCs w:val="18"/>
          <w:i w:val="1"/>
          <w:iCs w:val="1"/>
          <w:color w:val="auto"/>
        </w:rPr>
        <w:t>frequency</w:t>
      </w:r>
      <w:r>
        <w:rPr>
          <w:rFonts w:ascii="Arial" w:cs="Arial" w:eastAsia="Arial" w:hAnsi="Arial"/>
          <w:sz w:val="18"/>
          <w:szCs w:val="18"/>
          <w:color w:val="auto"/>
        </w:rPr>
        <w:t xml:space="preserve"> promotional strategy for our top targeted rheumatologists and their office personnel to build knowledge, understanding and retention of the benefits of our testing products.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5" w:name="page16"/>
    <w:bookmarkEnd w:id="15"/>
    <w:p>
      <w:pPr>
        <w:spacing w:after="0" w:line="228" w:lineRule="auto"/>
        <w:rPr>
          <w:sz w:val="20"/>
          <w:szCs w:val="20"/>
          <w:color w:val="auto"/>
        </w:rPr>
      </w:pPr>
      <w:r>
        <w:rPr>
          <w:rFonts w:ascii="Arial" w:cs="Arial" w:eastAsia="Arial" w:hAnsi="Arial"/>
          <w:sz w:val="18"/>
          <w:szCs w:val="18"/>
          <w:color w:val="auto"/>
        </w:rPr>
        <w:t>We plan to leverage core channels for building awareness and adoption including our participation with multiple patient advocacy organizations, such as the Lupus Foundation of America, or LFA, and medical societies, such as the American College of Rheumatology, or ACR. We have also established strong relationships with multiple rheumatology care management organizations, or super groups, which can be key in influencing favorable reimbursement.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testing product has been included in the clinical guidelines for two of these groups. We believe our experience with advancing a testing product from initial development through clinical adoption differentiates us and uniquely positions us to replicate success with our other testing products. Beyond working with these groups, we intend to continue to augment field selling activity with a balanced marketing mix including print and digital advertising, direct marketing, continuing medical education programs and working with key opinion leaders to support peer-to-peer educational events.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Clinical Validation and Clinical Utility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seek reimbursement for our testing products from several sources, including commercial third-party payors, government payors and patients. Payment from commercial third-party payors differs depending on whether we have entered into a contract with the payor as a participating provider or do not have a contract and are considered to be an out-of-network provider. When we contract to serve as a participating provider, reimbursements are made pursuant to a percentage of our charges or a negotiated fee schedule amount. Where we are not reimbursed in full, or receive a claim denial, for in-network and out-of-network claims, we may elect to appeal the insurer’s underpayment or denial of payment or seek payment from the patient. We continue to focus on expanding coverage among existing contracted providers and achieving coverage with additional commercial payors, laboratory benefit managers and evidence review organizations. We employ a multi-pronged strategy designed to achieve broad coverage and reimbursement for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products:</w:t>
      </w:r>
    </w:p>
    <w:p>
      <w:pPr>
        <w:spacing w:after="0" w:line="5" w:lineRule="exact"/>
        <w:rPr>
          <w:sz w:val="20"/>
          <w:szCs w:val="20"/>
          <w:color w:val="auto"/>
        </w:rPr>
      </w:pPr>
    </w:p>
    <w:p>
      <w:pPr>
        <w:ind w:left="660" w:hanging="328"/>
        <w:spacing w:after="0" w:line="228"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Meet the evidence standards necessary to be consistent with leading clinical guidelines. </w:t>
      </w:r>
      <w:r>
        <w:rPr>
          <w:rFonts w:ascii="Arial" w:cs="Arial" w:eastAsia="Arial" w:hAnsi="Arial"/>
          <w:sz w:val="18"/>
          <w:szCs w:val="18"/>
          <w:color w:val="auto"/>
        </w:rPr>
        <w:t>We believe inclusion in leading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plays a critical role in payors’ coverage decisions. In order to change clinical guidelines, tests must carry a high level of published evidence demonstrating analytical validity, clinical validity, clinical utility and cost effectiveness. When studies with such evidence are published in peer-reviewed journals, the authors of clinical guidelines may assess the level of evidence and determine whether modifying existing guidelines to include new technology is warranted. For example, we previously conducted peer-reviewed, published clinical studies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which helped us secure favorable coverage from various commercial third-party payors. In the future, we also intend to conduct similar studies in order to develop similar supporting literature with respect to our other testing products.</w:t>
      </w:r>
    </w:p>
    <w:p>
      <w:pPr>
        <w:spacing w:after="0" w:line="28" w:lineRule="exact"/>
        <w:rPr>
          <w:rFonts w:ascii="Arial" w:cs="Arial" w:eastAsia="Arial" w:hAnsi="Arial"/>
          <w:sz w:val="18"/>
          <w:szCs w:val="18"/>
          <w:color w:val="auto"/>
        </w:rPr>
      </w:pPr>
    </w:p>
    <w:p>
      <w:pPr>
        <w:ind w:left="660" w:right="340" w:hanging="328"/>
        <w:spacing w:after="0" w:line="242"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Execute an internal managed care policy and claims adjudication function as part of our core business operations. </w:t>
      </w:r>
      <w:r>
        <w:rPr>
          <w:rFonts w:ascii="Arial" w:cs="Arial" w:eastAsia="Arial" w:hAnsi="Arial"/>
          <w:sz w:val="18"/>
          <w:szCs w:val="18"/>
          <w:color w:val="auto"/>
        </w:rPr>
        <w:t>We employ a</w:t>
      </w:r>
      <w:r>
        <w:rPr>
          <w:rFonts w:ascii="Arial" w:cs="Arial" w:eastAsia="Arial" w:hAnsi="Arial"/>
          <w:sz w:val="18"/>
          <w:szCs w:val="18"/>
          <w:i w:val="1"/>
          <w:iCs w:val="1"/>
          <w:color w:val="auto"/>
        </w:rPr>
        <w:t xml:space="preserve"> </w:t>
      </w:r>
      <w:r>
        <w:rPr>
          <w:rFonts w:ascii="Arial" w:cs="Arial" w:eastAsia="Arial" w:hAnsi="Arial"/>
          <w:sz w:val="18"/>
          <w:szCs w:val="18"/>
          <w:color w:val="auto"/>
        </w:rPr>
        <w:t>team of in-house claims processing and reimbursement specialists who work with patients and payors to obtain maximum reimbursement. In parallel, a managed care team collaborates with our reimbursement specialists to ensure our payor outreach strategy reacts to and anticipates the changing needs of our customer base. Our customer service team is an integral part of our reimbursement strategy, working with patients and rheumatologists to navigate the claims process.</w:t>
      </w:r>
    </w:p>
    <w:p>
      <w:pPr>
        <w:spacing w:after="0" w:line="22" w:lineRule="exact"/>
        <w:rPr>
          <w:rFonts w:ascii="Arial" w:cs="Arial" w:eastAsia="Arial" w:hAnsi="Arial"/>
          <w:sz w:val="18"/>
          <w:szCs w:val="18"/>
          <w:color w:val="auto"/>
        </w:rPr>
      </w:pPr>
    </w:p>
    <w:p>
      <w:pPr>
        <w:ind w:left="660" w:right="40" w:hanging="328"/>
        <w:spacing w:after="0" w:line="245"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Cultivate a network of key opinion leaders. </w:t>
      </w:r>
      <w:r>
        <w:rPr>
          <w:rFonts w:ascii="Arial" w:cs="Arial" w:eastAsia="Arial" w:hAnsi="Arial"/>
          <w:sz w:val="18"/>
          <w:szCs w:val="18"/>
          <w:color w:val="auto"/>
        </w:rPr>
        <w:t>Key opinion leaders are able to influence clinical practice by publishing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whether new tests should be integrated into clinical guidelines. We collaborate with key opinion leaders early in the development process to ensure our clinical studies are designed and executed in a way that clearly demonstrates the benefits of our testing products to healthcare providers and payors.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Validation</w:t>
      </w:r>
    </w:p>
    <w:p>
      <w:pPr>
        <w:spacing w:after="0" w:line="165" w:lineRule="exact"/>
        <w:rPr>
          <w:sz w:val="20"/>
          <w:szCs w:val="20"/>
          <w:color w:val="auto"/>
        </w:rPr>
      </w:pPr>
    </w:p>
    <w:p>
      <w:pPr>
        <w:ind w:right="320"/>
        <w:spacing w:after="0" w:line="206" w:lineRule="auto"/>
        <w:rPr>
          <w:sz w:val="20"/>
          <w:szCs w:val="20"/>
          <w:color w:val="auto"/>
        </w:rPr>
      </w:pPr>
      <w:r>
        <w:rPr>
          <w:rFonts w:ascii="Arial" w:cs="Arial" w:eastAsia="Arial" w:hAnsi="Arial"/>
          <w:sz w:val="18"/>
          <w:szCs w:val="18"/>
          <w:color w:val="auto"/>
        </w:rPr>
        <w:t>We demonstrated the clinical validity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 a study of 794 patients conducted from 2010 to 2014 across multiple leading academic centers. The primary endpoint of the study was the specificity and sensitivity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compared to common autoantibodies used to diagnose SLE and other CTDs, such as ANA and anti-dsDNA. The final results of this study showed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86% specificity and 80% sensitivity in distinguishing SLE from other CTDs and fibromyalgia, was 33% more specific than ANA (53% specificity/89% sensitivity) and was 48% more sensitive than anti-dsDNA (32% sensitivity/97% specificity).</w:t>
      </w:r>
    </w:p>
    <w:p>
      <w:pPr>
        <w:spacing w:after="0" w:line="138"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We further demonstrated the clinical validity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for detection of probable SLE, or pSLE, in a 246 subject multi-center, prospective, cross-sectional study, first published in the Arthritis &amp; Rheumatology Journal in September 2019. The objective of this study was to evaluate the frequency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CB-CAPs as a marker of complement activation in patients with pSLE and the usefulness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as a predictor of the evolution of pSLE into classified SLE by the ACR criteria. Of the 92 pSLE patients, more pSLE were positive for CB-CAPs (28%) 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(40%) than for low complement (9%) at the enrollment visit (p=0.0001, for</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16" w:name="page17"/>
    <w:bookmarkEnd w:id="16"/>
    <w:p>
      <w:pPr>
        <w:ind w:right="480"/>
        <w:spacing w:after="0" w:line="218" w:lineRule="auto"/>
        <w:rPr>
          <w:sz w:val="20"/>
          <w:szCs w:val="20"/>
          <w:color w:val="auto"/>
        </w:rPr>
      </w:pPr>
      <w:r>
        <w:rPr>
          <w:rFonts w:ascii="Arial" w:cs="Arial" w:eastAsia="Arial" w:hAnsi="Arial"/>
          <w:sz w:val="18"/>
          <w:szCs w:val="18"/>
          <w:color w:val="auto"/>
        </w:rPr>
        <w:t>each) and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index score &gt;0.08 prospectively associated with the development from pSLE to SLE by ACR classification criteria within 18 months (hazard ratio = 3.11, p&lt;0.01).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Utility</w:t>
      </w:r>
    </w:p>
    <w:p>
      <w:pPr>
        <w:spacing w:after="0" w:line="165" w:lineRule="exact"/>
        <w:rPr>
          <w:sz w:val="20"/>
          <w:szCs w:val="20"/>
          <w:color w:val="auto"/>
        </w:rPr>
      </w:pPr>
    </w:p>
    <w:p>
      <w:pPr>
        <w:ind w:right="500"/>
        <w:spacing w:after="0" w:line="230" w:lineRule="auto"/>
        <w:rPr>
          <w:sz w:val="20"/>
          <w:szCs w:val="20"/>
          <w:color w:val="auto"/>
        </w:rPr>
      </w:pPr>
      <w:r>
        <w:rPr>
          <w:rFonts w:ascii="Arial" w:cs="Arial" w:eastAsia="Arial" w:hAnsi="Arial"/>
          <w:sz w:val="17"/>
          <w:szCs w:val="17"/>
          <w:color w:val="auto"/>
        </w:rPr>
        <w:t>We have collaborated with both academic and community clinicians to demonstrate the clinical utility of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Lupus versus standard diagnostic tests in physician diagnosis, impact on patient management decisions, patient reported outcomes and health economics.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 sponsored a longitudinal, case-control, retrospective review of medical charts in 2016 to assess the value and clinical utility of AVISE</w:t>
      </w:r>
      <w:r>
        <w:rPr>
          <w:rFonts w:ascii="Arial" w:cs="Arial" w:eastAsia="Arial" w:hAnsi="Arial"/>
          <w:sz w:val="23"/>
          <w:szCs w:val="23"/>
          <w:color w:val="auto"/>
          <w:vertAlign w:val="superscript"/>
        </w:rPr>
        <w:t>®</w:t>
      </w:r>
    </w:p>
    <w:p>
      <w:pPr>
        <w:spacing w:after="0" w:line="234" w:lineRule="auto"/>
        <w:rPr>
          <w:sz w:val="20"/>
          <w:szCs w:val="20"/>
          <w:color w:val="auto"/>
        </w:rPr>
      </w:pPr>
      <w:r>
        <w:rPr>
          <w:rFonts w:ascii="Arial" w:cs="Arial" w:eastAsia="Arial" w:hAnsi="Arial"/>
          <w:sz w:val="18"/>
          <w:szCs w:val="18"/>
          <w:color w:val="auto"/>
        </w:rPr>
        <w:t>Lupus to rheumatologists. The results of this study were published in the Open Rheumatology Journal in 2016 and suggested that a positive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aids in the diagnosis of SLE versus standard diagnostic tests.</w:t>
      </w:r>
    </w:p>
    <w:p>
      <w:pPr>
        <w:spacing w:after="0" w:line="90"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In early 2018, we initiated CARE for Lupus, a prospective, randomized, multi-site study to assess the performance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versus standard diagnostic laboratory tests, or SDLT. A total of 145 patients were enrolled across 32 sites between July 2017 and December 2018, with 73 patients enrolled in the SDLT group and 72 patients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The CARE study was published in September 2019 in Lupus Science &amp; Medicine. Results showed among patients who tested positive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(n=9), 44%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had a higher likelihood of SLE, compared with 9% in the SDLT group (p=0.127), whereas among patients who tested negative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(n=63), 60%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had a lower likelihood of SLE, compared with 37% in the SDLT group (p=0.012). In the group of patients randomized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positive test results associated significantly with initiation of prednisone (p=0.03) and a similar trend was observed with HCQ therapy (p=0.11). Finally, in the group of patients randomized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a positive test result associated with an increase in patient-reported outcomes measuring health-related quality of life using five-level EQ-5D, or EQ5D-5L index score, from enrollment to visit 2 (p=0.028), and greater improvements were detectable when compared to the group of patients positive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randomized to the SDLT arm (p=0.049).</w:t>
      </w:r>
    </w:p>
    <w:p>
      <w:pPr>
        <w:spacing w:after="0" w:line="67" w:lineRule="exact"/>
        <w:rPr>
          <w:sz w:val="20"/>
          <w:szCs w:val="20"/>
          <w:color w:val="auto"/>
        </w:rPr>
      </w:pPr>
    </w:p>
    <w:p>
      <w:pPr>
        <w:ind w:right="20"/>
        <w:spacing w:after="0" w:line="195" w:lineRule="auto"/>
        <w:rPr>
          <w:sz w:val="20"/>
          <w:szCs w:val="20"/>
          <w:color w:val="auto"/>
        </w:rPr>
      </w:pPr>
      <w:r>
        <w:rPr>
          <w:rFonts w:ascii="Arial" w:cs="Arial" w:eastAsia="Arial" w:hAnsi="Arial"/>
          <w:sz w:val="18"/>
          <w:szCs w:val="18"/>
          <w:color w:val="auto"/>
        </w:rPr>
        <w:t>In July 2021, a real-world retrospective analysis of patients tested with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was published in the journal Lupus Science &amp; Medicine, titled "A multianalyte assay panel with cell-bound complement activation products demonstrates clinical utility in systemic lupus erythematosus clinical utility study summary". A cohort of 161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tested patients from 12 rheumatology centers across the U.S. provided clinical outcome data on diagnosis and treatment decisions following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testing. The study findings revealed a 7 to 15-fold increased risk of Lupus diagnosis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Positive and anti-dsDNA negative patients relative to patients negative for both tests. In addition,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positive and anti-dsDNA negative patients were at 3 to 4-fold increased odds relative to patients testing negative for both tests of starting a new hydroxychloroquine (cornerstone therapy for Lupus) prescription following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testing. Collectively, the study results affirm earlier study findings demonstrating the superior clinical utility and actionability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vs. standard diagnostic testing for the differential diagnosis of Lupus.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Economics</w:t>
      </w:r>
    </w:p>
    <w:p>
      <w:pPr>
        <w:spacing w:after="0" w:line="176"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In October 2020, a study in collaboration with leading health economic experts was published in the journal ACR Open Rheumatology, titled "Evaluation of the Economic Benefit of Earlier Systemic Lupus Erythematosus (SLE) Diagnosis using a Multivariate Assay Panel (MAP)." This was the first ever evaluation of the economics of diagnosing SLE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(MAP) compared to standard diagnostic laboratory tests in a hypothetical cohort of 1,000 suspected SLE patients. Over the four-year time horizon,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an estimated total direct cost savings of approximately $2.0 million, or $1,991 per patient. In addition, the year one savings was $655,403, or $655 per eligible patient, with the use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which aligns with early benefit to health plans looking for savings in the first year.</w:t>
      </w:r>
    </w:p>
    <w:p>
      <w:pPr>
        <w:spacing w:after="0" w:line="70"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above referenced studies are included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Dossier. In March 2020, we announced coverage and in-network contract with three California Medical Groups followed by coverage and an in-network agreement with TRICARE East Humana Military and Highmark BCBS coverage policy. In February 2021, we entered into a coverage and in-network contract with TRICARE West followed by coverage and an in-network agreement with Inland Empire Health Plan. We anticipate continued coverage determinations and in-network contracting announcements in 2022 and beyond.</w:t>
      </w:r>
    </w:p>
    <w:p>
      <w:pPr>
        <w:spacing w:after="0" w:line="15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We believe our reimbursement strategy, including establishing the clinical validation, clinical utility and health economics of our testing products, will continue to allow us to drive an expansion in reimbursement coverage for our testing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Operations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0" w:right="379" w:bottom="1440" w:gutter="0" w:footer="0" w:header="0"/>
        </w:sectPr>
      </w:pPr>
    </w:p>
    <w:bookmarkStart w:id="17" w:name="page18"/>
    <w:bookmarkEnd w:id="17"/>
    <w:p>
      <w:pPr>
        <w:ind w:right="20"/>
        <w:spacing w:after="0" w:line="226"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10,000 square foot clinical laboratory located in Vista, California. Our laboratory is certified to perform high-complexity testing under the Clinical Laboratory Improvement Amendments of 1988, or CLIA, and is accredited by the College of American Pathologists, or CAP. Our laboratory also holds a license issued by the California Department of Public Health, and it is licensed by all states requiring out-of-state licensure. Our clinical laboratory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 In the second half of 2021, we began the conversion of approximately 8,000 square feet of warehouse space into additional clinical laboratory space and approximately 6,000 square feet of warehouse space into additional research and development facility space, and expect to complete such conversions by the first quarter of 2022 and mid 2022, respectively. The expansion of our clinical laboratory and research and development facility are expected to allow us to enhance our testing capacity and improve efficiencies as well as allow us to develop molecular and multiomic capabilities and advance our product pipeline. We believe that our existing laboratory facility is adequate to meet our business needs for at least the next 12 months and that additional laboratory space will be available on commercially reasonable terms, if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18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quality assurance function oversees the quality of our laboratory as well as research and development, client services, billing, sales and marketing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Our principal competition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is traditional methods used by healthcare providers to test patients with CTD-like symptoms. Such traditional methods include testing for a broad range of diagnostic, immunology and chemistry biomarkers, such as ANA and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(acquired by Laboratory Corporation of America in June 2020). Other potential competitors include companies that might develop diagnostic or disease or drug monitoring products, such as Progentec Diagnostics Inc., Scipher Medicine Corporation, Genalyte Inc., Oncimmune plc, DxTerity Diagnostics Inc., Immunovia AB and EpicGenetics, Inc. In the future, we may also face competition from companies developing new products or technologies.</w:t>
      </w:r>
    </w:p>
    <w:p>
      <w:pPr>
        <w:spacing w:after="0" w:line="153" w:lineRule="exact"/>
        <w:rPr>
          <w:sz w:val="20"/>
          <w:szCs w:val="20"/>
          <w:color w:val="auto"/>
        </w:rPr>
      </w:pPr>
    </w:p>
    <w:p>
      <w:pPr>
        <w:ind w:right="680"/>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sales and marketing capabilities; the extent of reimbursement; inclusion in clinical guidelines; cost-effectiveness; and ease of use.</w:t>
      </w:r>
    </w:p>
    <w:p>
      <w:pPr>
        <w:spacing w:after="0" w:line="14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payors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Pharmaceutical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with GSK</w:t>
      </w:r>
    </w:p>
    <w:p>
      <w:pPr>
        <w:spacing w:after="0" w:line="176" w:lineRule="exact"/>
        <w:rPr>
          <w:sz w:val="20"/>
          <w:szCs w:val="20"/>
          <w:color w:val="auto"/>
        </w:rPr>
      </w:pPr>
    </w:p>
    <w:p>
      <w:pPr>
        <w:jc w:val="both"/>
        <w:ind w:right="80"/>
        <w:spacing w:after="0" w:line="225" w:lineRule="auto"/>
        <w:rPr>
          <w:sz w:val="20"/>
          <w:szCs w:val="20"/>
          <w:color w:val="auto"/>
        </w:rPr>
      </w:pPr>
      <w:r>
        <w:rPr>
          <w:rFonts w:ascii="Arial" w:cs="Arial" w:eastAsia="Arial" w:hAnsi="Arial"/>
          <w:sz w:val="18"/>
          <w:szCs w:val="18"/>
          <w:color w:val="auto"/>
        </w:rPr>
        <w:t>In January 2018, we entered into a collaboration agreement with GSK, pursuant to which we provide GSK with our test result data to provide market insight into and help increase awareness on the benefits of an early and accurate diagnosis of SLE. The agreement was amended in November 2018 to, among other things, include data from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Prognostic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HCQ testing products and extend the term of the agreement through December 31, 2019. The agreement was further amended in November 2019, November 2020, December 2021 and February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8" w:name="page19"/>
    <w:bookmarkEnd w:id="18"/>
    <w:p>
      <w:pPr>
        <w:ind w:right="420"/>
        <w:spacing w:after="0" w:line="246" w:lineRule="auto"/>
        <w:rPr>
          <w:sz w:val="20"/>
          <w:szCs w:val="20"/>
          <w:color w:val="auto"/>
        </w:rPr>
      </w:pPr>
      <w:r>
        <w:rPr>
          <w:rFonts w:ascii="Arial" w:cs="Arial" w:eastAsia="Arial" w:hAnsi="Arial"/>
          <w:sz w:val="18"/>
          <w:szCs w:val="18"/>
          <w:color w:val="auto"/>
        </w:rPr>
        <w:t>2022 to, among other things, extend the term of the agreement through December 31, 2020, December 31, 2021, January 31, 2022 and December 31, 2022, respectively.</w:t>
      </w:r>
    </w:p>
    <w:p>
      <w:pPr>
        <w:spacing w:after="0" w:line="143"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Under the agreement, we are required to deliver weekly de-identified data files to GSK covering all data obtained from the performance of certain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subject to applicable requirements under the Federal Health Insurance Portability and Accountability Act of 1996, or HIPAA, internal policy requirements and other applicable laws. During the term of the agreement and amendments through December 31, 2021, the data we provided to GSK could not be provided, directly or through a third party, to any other pharmaceutical company that was marketing or developing a product for the treatment of SLE, however, the February 2022 amendment eliminated that limitation. GSK made a single upfront payment in exchange for the right to receive the applicable data files. In addition, GSK has agreed to create a joint steering committee to cooperate with us in order to raise awareness and physician support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including through the development and delivery of approved promotional materials and the implementation of a related training plan for each party’s sales personnel.</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joint committee will meet at least 120 days prior to the end of the term of the agreement in order to discuss renewal options. Either party may terminate the agreement for breach and, in certain cases, such breach must remain uncured for a certain period of time following receipt of written notice of such breach. In addition, GSK may terminate the agreement immediately if we become insolvent or for convenience upon 60 days’ prior written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Overview</w:t>
      </w:r>
    </w:p>
    <w:p>
      <w:pPr>
        <w:spacing w:after="0" w:line="18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and seek to obtain and maintain patents for any patentable aspects of our testing products and services and any other inventions that are important to the development of our business. Our success will depend on our ability to obtain and maintain patent and other proprietary protection for commercially important technology, inventions and know-how related to our business, to defend and enforce our patents, to maintain our licenses to use intellectual property owned by third parties, to preserve the confidentiality of our trade secrets and to operate without infringing the valid and enforceable patents and other proprietary rights of third parties. We also rely on continuing technological innovation and in-licensing opportunities to develop, strengthen, and maintain our proprietary position in the fields targeted by our testing products and services.</w:t>
      </w:r>
    </w:p>
    <w:p>
      <w:pPr>
        <w:spacing w:after="0" w:line="149"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We are the owner or licensee of a portfolio of patents and patent applications and possess substantial know-how and trade secrets which protect various aspects of our business. The patent families comprising our patent portfolio are primarily focused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for the diagnosis, prognosis and monitoring of autoimmune and autoimmune-related diseases, and are generally directed to CB-CAPs, red blood cell MTXPG exposure assessments, and anti-MCV antibodies. We intend to leverage the intellectual property surrounding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an important component of our business strategy.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for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Products</w:t>
      </w:r>
    </w:p>
    <w:p>
      <w:pPr>
        <w:spacing w:after="0" w:line="114" w:lineRule="exact"/>
        <w:rPr>
          <w:sz w:val="20"/>
          <w:szCs w:val="20"/>
          <w:color w:val="auto"/>
        </w:rPr>
      </w:pPr>
    </w:p>
    <w:p>
      <w:pPr>
        <w:ind w:right="80"/>
        <w:spacing w:after="0" w:line="212" w:lineRule="auto"/>
        <w:rPr>
          <w:sz w:val="20"/>
          <w:szCs w:val="20"/>
          <w:color w:val="auto"/>
        </w:rPr>
      </w:pPr>
      <w:r>
        <w:rPr>
          <w:rFonts w:ascii="Arial" w:cs="Arial" w:eastAsia="Arial" w:hAnsi="Arial"/>
          <w:sz w:val="18"/>
          <w:szCs w:val="18"/>
          <w:color w:val="auto"/>
        </w:rPr>
        <w:t>Our portfolio of patents and patent applications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generally relates to three aspects: CB-CAPs, red blood cell MTXPG exposure assessments, and anti-MCV antibodies. The patent families which we believe are important for the protection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summarized below in the section entitled “—License Agreements.” As of February 22, 2022, our portfolio primarily consisted of the following: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CB-CAPs</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We are the exclusive licensee of five patent families related to CB-CAPs technology from the University of Pittsburgh, or UPitt. We expect that these patent families (U.S. Patent Nos. 7,361,517; 7,390,631; 7,585,640; 7,588,905; 8,080,382; and 8,126,654) will expire in 2024 or 2025. A foreign patent corresponding to U.S. Patent No. 7,361,517 has issued in Europe (EP 1,756,571). Foreign patents corresponding to U.S. Patent No. 7,390,631 have issued in Japan (JP 4570872 and JP 4906898). Foreign patents corresponding to U.S. Patent No. 7,585,640 have issued in Australia (AU 2005242719) and Canada (CA 2,564,492). A foreign patent corresponding to U.S. Patent Nos. 7,588,905 and 8,126,654 has issued in Japan (JP 4550051). We also own one issued patent (US 10,132,813), three pending U.S. nonprovisional patent applications, three pending foreign applications and a pending PCT application that relate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products. Foreign patents corresponding to our issued U.S. patent and pending U.S. nonprovisional patent applications have issued in Europe (EP 2,673,644 and EP2972365), China (CN105229470), Japan (JP 5,990,542 and JP6453299) and Hong Kong (HK1192316). In order to manage our foreign filing costs and focus on the U.S. market, we made the decision to cease the prosecution and maintenance of several of our foreign patents and patent applications related to our CB-CAPs technology, including EP 1,432,731; EP 1,618,379; EP 1,635,692; EP 1,745,287; EP 2,214,014; EP 2,216,650, and certain of their corresponding family members</w:t>
      </w:r>
      <w:r>
        <w:rPr>
          <w:rFonts w:ascii="Arial" w:cs="Arial" w:eastAsia="Arial" w:hAnsi="Arial"/>
          <w:sz w:val="18"/>
          <w:szCs w:val="18"/>
          <w:b w:val="1"/>
          <w:bCs w:val="1"/>
          <w:i w:val="1"/>
          <w:iCs w:val="1"/>
          <w:color w:val="auto"/>
        </w:rPr>
        <w: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MTX Exposure Assessment Products and Services</w:t>
      </w:r>
    </w:p>
    <w:p>
      <w:pPr>
        <w:spacing w:after="0" w:line="165" w:lineRule="exact"/>
        <w:rPr>
          <w:sz w:val="20"/>
          <w:szCs w:val="20"/>
          <w:color w:val="auto"/>
        </w:rPr>
      </w:pPr>
    </w:p>
    <w:p>
      <w:pPr>
        <w:ind w:right="220"/>
        <w:spacing w:after="0" w:line="223" w:lineRule="auto"/>
        <w:rPr>
          <w:sz w:val="20"/>
          <w:szCs w:val="20"/>
          <w:color w:val="auto"/>
        </w:rPr>
      </w:pPr>
      <w:r>
        <w:rPr>
          <w:rFonts w:ascii="Arial" w:cs="Arial" w:eastAsia="Arial" w:hAnsi="Arial"/>
          <w:sz w:val="18"/>
          <w:szCs w:val="18"/>
          <w:color w:val="auto"/>
        </w:rPr>
        <w:t>We own four patents that relate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product and methods for monitoring methotrexate therapy using red blood cell MTXPG exposure assessments. These patents include U.S. Patent Nos. 6,921,667; 7,563,590; 7,582,282 and 7,695,908, which are expected to expire between 2023 and 2027.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Rights and Processes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may rely, in some circumstances, on proprietary technology and processes (including trade secrets) to protect our technology. However, these can be difficult to protect. We seek to protect our 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 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Exclusive License Agreement with the University of Pittsburgh</w:t>
      </w:r>
    </w:p>
    <w:p>
      <w:pPr>
        <w:spacing w:after="0" w:line="17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August 2011, we entered into an amended and restated exclusive license agreement with UPitt, to amend and restate the exclusive license agreement we obtained by our purchase of the medical diagnostics division of Cypress Bioscience, Inc., or Cypress, in 2010, or the Cypress Purchase, and to obtain an exclusive license to UPitt’s patent rights in certain inventions, or the UPitt Patent Rights, related to the use of CB-CAPs technology in the diagnosis, prognosis and monitoring of diseases, including certain patents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 agreement was amended three times, once in May 2012 to, among other things, limit the territory of the license to the United States and exclude certain foreign patents and applications from the agreement, once in September 2013 to add (1) an additional U.S. patent to the UPitt Patent Rights licensed under the agreement and (2) the field of monitoring of organ transplantation and organ rejection to the scope of the license, and once in June 2016 to, among other things, clarify the definition of combination products for determining royalties due under the license.</w:t>
      </w:r>
    </w:p>
    <w:p>
      <w:pPr>
        <w:spacing w:after="0" w:line="15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agreement, we are permitted to make, use and sell products and services utilizing the UPitt Patent Rights in the field of SLE and the field of monitoring of organ transplantation and organ rejection, and to sublicense such rights. UPitt retained the right to practice under the UPitt Patent Rights and to use such rights for non-commercial education and research purposes. In addition, this agreement is subject to the rights of the United States government, if any, as set forth in 35 U.S.C. §200, et seq. Pursuant to this law, the U.S. government may have acquired a nonexclusive, nontransferable, paid up license to practice or have practiced for or on behalf of the U.S. government the inventions described in the UPitt Patent Rights throughout the world.</w:t>
      </w:r>
    </w:p>
    <w:p>
      <w:pPr>
        <w:spacing w:after="0" w:line="15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consideration for the rights granted to us under the agreement, we made certain upfront payments to UPitt on the first and second anniversaries of the agreement that increased on the third and subsequent anniversaries of the agreement until the first sale of products or services utilizing the UPitt Patent Rights. We are required to pay UPitt a low single-digit royalty on net sales of products or services utilizing the UPitt Patent Rights sold by us or our affiliates, subject to minimum annual royalty payments and other adjustment in certain circumstances. We also made a $0.2 million milestone payment to UPitt with the achievement of certain levels of net sales which we met in 2014. Our royalty obligations continue for each licensed product or service on a country-by-country basis until the expiration of the last licensed patent covering the applicable licensed product or service in such country.</w:t>
      </w:r>
    </w:p>
    <w:p>
      <w:pPr>
        <w:spacing w:after="0" w:line="14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 the event we sublicense any of the UPitt Patent Rights, we are obligated to pay UPitt a low single-digit percentage sublicense royalty on net sales of products or services sold by our sublicensees that utilize the sublicensed UPitt Patent Rights and a low double-digit percentage of all non-royalty sublicensing income received by us.</w:t>
      </w:r>
    </w:p>
    <w:p>
      <w:pPr>
        <w:spacing w:after="0" w:line="149"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The agreement requires that we diligently develop and commercialize products that are covered by the UPitt Patent Rights, and we have agreed to meet certain development and commercial milestones. UPitt may terminate the agreement if we fail to meet such milestones. In addition, if we fail to meet a milestone relating to development of</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0" w:name="page21"/>
    <w:bookmarkEnd w:id="20"/>
    <w:p>
      <w:pPr>
        <w:ind w:right="420"/>
        <w:spacing w:after="0" w:line="246" w:lineRule="auto"/>
        <w:rPr>
          <w:sz w:val="20"/>
          <w:szCs w:val="20"/>
          <w:color w:val="auto"/>
        </w:rPr>
      </w:pPr>
      <w:r>
        <w:rPr>
          <w:rFonts w:ascii="Arial" w:cs="Arial" w:eastAsia="Arial" w:hAnsi="Arial"/>
          <w:sz w:val="18"/>
          <w:szCs w:val="18"/>
          <w:color w:val="auto"/>
        </w:rPr>
        <w:t>the UPitt Patent Rights in the monitoring of organ transplantation and organ rejection field, UPitt may remove that field from our licensed rights. We are currently in compliance with these milestone requirements.</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the University of Pittsburgh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made an economic decision to cease the maintenance and licensing of UPitt Patent Rights outside the United States, which led to such rights returning to UPitt. We subsequently made the determination to re-license these foreign patent rights from UPitt, but at the time of re-licensing these patent rights, a number of the foreign patent rights had permanently lapsed. Accordingly, in September 2013, we entered into an exclusive license agreement with UPitt to obtain an exclusive license to UPitt’s remaining ex-U.S. patent rights in certain inventions, or the ex-U.S. UPitt Patent Rights, related to the use of CB-CAPs technology in the diagnosis, prognosis and monitoring of diseases, including certain patents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7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the agreement, we are permitted to make, use and sell products and services utilizing the ex-U.S. UPitt Patent Rights in the field of SLE and the field of monitoring of organ transplantation and organ rejection outside of the United States, and to sublicense such rights. UPitt retained the right to practice under the ex-U.S. UPitt Patent Rights and to use such rights for non-commercial education and research purposes. In addition, this agreement is subject to the rights of the U.S. government, if any, as set forth in 35 U.S.C. §200, et seq.</w:t>
      </w:r>
    </w:p>
    <w:p>
      <w:pPr>
        <w:spacing w:after="0" w:line="15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UPitt. We are also required to pay UPitt a low single-digit royalty on net sales of products or services utilizing the ex-U.S. UPitt Patent Rights sold by us or our affiliates, subject to adjustment in certain circumstances. Our royalty obligations continue for each licensed product or service on a country-by-country basis until the expiration of the last licensed patent covering the applicable licensed product or service in such country.</w:t>
      </w:r>
    </w:p>
    <w:p>
      <w:pPr>
        <w:spacing w:after="0" w:line="151"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In the event we sublicense any of the ex-U.S. UPitt Patent Rights, we are obligated to pay UPitt a low single-digit percentage sublicense royalty on net sales of products or services sold by our sublicensees that utilize the sublicensed ex-U.S. UPitt Patent Rights and a low double-digit percentage of all non-royalty sublicensing income received by us.</w:t>
      </w:r>
    </w:p>
    <w:p>
      <w:pPr>
        <w:spacing w:after="0" w:line="149"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agreement requires that we diligently develop and commercialize products that are covered by the ex-U.S. UPitt Patent Rights, and we have agreed to meet certain commercial milestones. UPitt may terminate the agreement if we fail to meet such milestones. We are currently in compliance with these milestone requirements.</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 with Cypress (Royalty Pharma) and Proprius</w:t>
      </w:r>
    </w:p>
    <w:p>
      <w:pPr>
        <w:spacing w:after="0" w:line="176"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October 2010, we completed the Cypress Purchase pursuant to an asset purchase agreement with Cypress and its wholly-owned subsidiary, Proprius, under which we obtained certain assets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services. The agreement was amended six times, once in March 2011 to change certain obligations relating to certain accounts receivable we acquired from Cypress, once in August 2012 to convert a one-time payment obligation to a payment plan over four years with interest, once in February 2013 to convert a one-time contingent milestone payment obligation concerning a CB-CAPs monitoring assay to a payment plan over two years with interest, once in October 2013 to, among other things, provide consent for Exagen to use its IP as collateral on a financing round, once in January 2016 to restate an annual sales milestone, and once in February 2017 to restate specifics of the monitoring assay royalty.</w:t>
      </w:r>
    </w:p>
    <w:p>
      <w:pPr>
        <w:spacing w:after="0" w:line="14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2011, Royalty Pharma Collection Trust, or Royalty Pharma, acquired Cypress and became its successor-in-interest under the agreement. In consideration for the acquisition, we made certain initial cash payments to Cypress and we are currently making payments to Royalty Pharma, as a successor-in-interest to Cypress, pursuant to the August 2012 amendment, which payments are subject to acceleration in certain circumstances. Under our agreements with Royalty Pharma, we are required to pay Royalty Pharma a low double-digit royalty on the world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1" w:name="page22"/>
    <w:bookmarkEnd w:id="21"/>
    <w:p>
      <w:pPr>
        <w:spacing w:after="0" w:line="246" w:lineRule="auto"/>
        <w:rPr>
          <w:sz w:val="20"/>
          <w:szCs w:val="20"/>
          <w:color w:val="auto"/>
        </w:rPr>
      </w:pPr>
      <w:r>
        <w:rPr>
          <w:rFonts w:ascii="Arial" w:cs="Arial" w:eastAsia="Arial" w:hAnsi="Arial"/>
          <w:sz w:val="18"/>
          <w:szCs w:val="18"/>
          <w:color w:val="auto"/>
        </w:rPr>
        <w:t>wide net sales of CB-CAPs products and a low double-digit royalty on the net sales of certain new products in each case, for a period of eight years, which eight year period expired in January 2020.</w:t>
      </w:r>
    </w:p>
    <w:p>
      <w:pPr>
        <w:spacing w:after="0" w:line="14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we are required to make certain one-time contingent milestone payments for two third-party commercial programs, for the launch of a CB-CAPs monitoring assay, and for the achievement of an annual, worldwide net sales level for CB-CAPs products. Our agreement with Royalty Pharma requires that we use commercially reasonable efforts to cause each of the milestones to be achieved. In December 2015, we achieved the specified annual world-wide nets sales of CB-CAPs products which required us to make a $2.0 million milestone payment to Royalty Pharma. We paid the applicable $2.0 million milestone payment in 2016. In February 2017, we amended our agreements with Royalty Pharma relating to the launch of a monitoring product using CB-CAPs technology. As a result of this amendment, a prior obligation to make a one-time payment of $1.0 million upon the launch of a monitoring product incorporating CB-CAPs technology was replaced with an agreement to pay Royalty Pharma a one-time payment of $100,000 upon the launch of such a product, plus a 2.5% royalty based on future cash collections from sales of that product which incorporate the licensed technology. Future royalties under this arrangement are limited to the lesser of $1,200,000 (including the upfront payment of $100,000) or the total royalty earned through January 1, 2024.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Thierry Dervieux and De Novo Diagnostics, Inc.</w:t>
      </w:r>
    </w:p>
    <w:p>
      <w:pPr>
        <w:spacing w:after="0" w:line="176"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In September 2011, we entered into a license agreement with Dr. Thierry Dervieux, our former Chief Scientific Officer, and his company De Novo Diagnostics, Inc., under which we obtained an exclusive, worldwide (except for Australia and New Zealand) license to Dr. Dervieux’s patent rights and know-how in certain inventions, or the Dervieux Patent Rights, related to the diagnosis, prognosis and monitoring of diseases, including certain patents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services.</w:t>
      </w:r>
    </w:p>
    <w:p>
      <w:pPr>
        <w:spacing w:after="0" w:line="7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Under the agreement, we are permitted to develop, manufacture and commercialize products utilizing the Dervieux Patent Rights in the human healthcare market, and to sublicense such rights.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for the rights granted to us under the agreement, we are required to make milestone payments, up to an aggregate of</w:t>
      </w:r>
    </w:p>
    <w:p>
      <w:pPr>
        <w:ind w:right="140"/>
        <w:spacing w:after="0" w:line="237" w:lineRule="auto"/>
        <w:rPr>
          <w:sz w:val="20"/>
          <w:szCs w:val="20"/>
          <w:color w:val="auto"/>
        </w:rPr>
      </w:pPr>
      <w:r>
        <w:rPr>
          <w:rFonts w:ascii="Arial" w:cs="Arial" w:eastAsia="Arial" w:hAnsi="Arial"/>
          <w:sz w:val="18"/>
          <w:szCs w:val="18"/>
          <w:color w:val="auto"/>
        </w:rPr>
        <w:t>$600,000, upon achievement of certain sales milestones. In addition, we are required to pay Dr. Dervieux a mid-single-digit royalty on net sales by us or our affiliates of any products utilizing the Dervieux Patent Rights, subject to adjustment in certain circumstances. We are also obligated to pay Dr. Dervieux a percentage in the mid-twenties of sublicense fees and royalties received by us. To date, none of the circumstances under the agreement that would require us to make a payment to Dr. Dervieux or De Novo Diagnostics, Inc. have occurred and, accordingly, we have made no such payment. We have provided a termination notice to Dr. Dervieux and De Novo Diagnostics, Inc. in accordance with the agreement and intend to terminate the agreement on June 9,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and Master Research Collaboration Agreement with Allegheny Health Network Research Institute</w:t>
      </w:r>
    </w:p>
    <w:p>
      <w:pPr>
        <w:spacing w:after="0" w:line="176"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In May 2021, we entered into an exclusive license agreement with Allegheny Health Network Research Institute, or AHN, under which we obtained an exclusive, worldwide license to AHN's patent rights in certain inventions, or the AHN Patent Rights, related to diagnostics for autoimmune rheumatic diseases.</w:t>
      </w:r>
    </w:p>
    <w:p>
      <w:pPr>
        <w:spacing w:after="0" w:line="14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Under the agreement, we are permitted to make, use and sell products and services utilizing the AHN Patent Rights and to sublicense such rights; provided, however, that any such sublicenses may only be granted with AHN's consent. AHN retained the right to practice under the AHN Patent Rights and to use such rights for teaching, research, education, public service, clinical and other research-related purposes. In addition, the agreement is subject to the rights of the United States government with respect to the AHN Patent Rights, including under a funding agreement between AHN and the United States Government and under the Bayh-Dole Act (35 U.S.C. §200, et seq. Pursuant to the Bayh-Dole Act, the United States Government may acquire a nonexclusive, nontransferable, paid up license to practice or have practiced for or on behalf of the U.S. government the inventions described in the AHN Patent Rights throughout the world.</w:t>
      </w:r>
    </w:p>
    <w:p>
      <w:pPr>
        <w:spacing w:after="0" w:line="1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AHN to cover past patent expenses and agreed to pay future direct patent costs related to AHN Patent Rights. We are also required to pay AHN a low single-digit royalty on net sales of products utilizing the AHN Patent Rights through the first quarter of 2024 sold by us or our affiliates, subject to adjustment in certain circumstances. Beginning in the second quarter of 2024, we are required to pay AHN an increased low single-digit royalty or a flat annual minimum royalty amount, which royalty obligations continue for each licensed product on a country-by-country basis until the expiration of the last licensed patent covering the applicable licensed product in such country, pending approvals and commercialization, or the earlier termination of the agreement (excluding payment obligations accruing prior to such termination).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2" w:name="page23"/>
    <w:bookmarkEnd w:id="22"/>
    <w:p>
      <w:pPr>
        <w:ind w:right="440"/>
        <w:spacing w:after="0" w:line="246" w:lineRule="auto"/>
        <w:rPr>
          <w:sz w:val="20"/>
          <w:szCs w:val="20"/>
          <w:color w:val="auto"/>
        </w:rPr>
      </w:pPr>
      <w:r>
        <w:rPr>
          <w:rFonts w:ascii="Arial" w:cs="Arial" w:eastAsia="Arial" w:hAnsi="Arial"/>
          <w:sz w:val="18"/>
          <w:szCs w:val="18"/>
          <w:color w:val="auto"/>
        </w:rPr>
        <w:t>In the event we sublicense any of the AHN Patent Rights, we are obligated to pay AHN a mid double-digit percentage of any sublicense income, whether in the form of royalties or sub-license fees.</w:t>
      </w:r>
    </w:p>
    <w:p>
      <w:pPr>
        <w:spacing w:after="0" w:line="14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AHN Patent Rights. If, no earlier than May 2023, we elect not to pursue intellectual property rights or expand commercialization to certain territories within a commercially reasonable period, AHN may pursue other licenses and terminate our exclusive license with respect to such territories upon 30 days prior written notice.</w:t>
      </w:r>
    </w:p>
    <w:p>
      <w:pPr>
        <w:spacing w:after="0" w:line="15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may terminate the agreement upon 60 day written notice to AHN provided we pay a specified termination fee. AHN may terminate the agreement in the event of our nonperformance of any of our material obligations under the agreement if such nonperformance remains uncured for a certain period of time following our receipt of written notice of such nonperformance or in the event of insolvency. Absent early termination, the agreement will continue until expiration date of the longest-lived patent right included in the AHN Patent Rights.</w:t>
      </w:r>
    </w:p>
    <w:p>
      <w:pPr>
        <w:spacing w:after="0" w:line="15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we entered into a master research collaboration agreement with AHN, focused on the development of novel patented biomarkers for diagnosis, prognosis and monitoring of autoimmune diseases, including SLE. The agreement has a three-year initial term, expiring May 2024, with renewals thereafter for successive one-year terms upon mutual agreement with AHN. Each party may terminate the agreement upon 60 days' notice to the other party. We are required to pay AHN a collaboration fee of $ 0.4 million for each year of the agreement and AHN is required to make an in-kind contribution equivalent of $0.3 million for the initial term and each subsequent one-year term, if 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and Collaboration Agreement with Queen Mary University of London</w:t>
      </w:r>
    </w:p>
    <w:p>
      <w:pPr>
        <w:spacing w:after="0" w:line="17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November 2021, we entered into an exclusive license agreement with Queen Mary University of London, or QMUL, under which we obtained an exclusive license to QMUL's patent-pending inventions, or the QMUL Patent Rights, related to diagnosis and/or development of diagnostic or companion diagnostics for rheumatoid arthritis.</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agreement, we are permitted to make, use and sell products and services utilizing the QMUL Patent Rights and to sublicense such rights; provided, however, that any such sublicenses may only be granted with QMUL's consent. QMUL retained the right to practice under the QMUL Patent Rights and to use such rights for teaching, research, education, public service, clinical and other research-related purposes.</w:t>
      </w:r>
    </w:p>
    <w:p>
      <w:pPr>
        <w:spacing w:after="0" w:line="15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QMUL and payment of past patent expenses and ongoing patent expenses. We are required to make a $0.1 million milestone payment upon the first commercial sale of products utilizing the QMUL Patent Rights. In addition, after the first 18 months of commercial sales under the terms of the exclusive license agreement, we are required to pay royalties in the low to high single-digits on net sales of testing products using the assigned patents, pending approvals and commercialization.</w:t>
      </w:r>
    </w:p>
    <w:p>
      <w:pPr>
        <w:spacing w:after="0" w:line="14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the event we sublicense any of the QMUL Patent Rights, we are obligated to pay QMUL a double-digit percentage of sublicensing income, whether in the form of royalties or sub-license fees.</w:t>
      </w:r>
    </w:p>
    <w:p>
      <w:pPr>
        <w:spacing w:after="0" w:line="143"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agreement requires that we diligently develop and commercialize products that are covered by the QMUL Patent Rights. QMUL may terminate the agreement if we fail to develop the QMUL Patent Rights in the field of diagnosis and/or development of diagnostic or companion diagnostics for rheumatoid arthritis, QMUL may convert our license to non-exclusive.</w:t>
      </w:r>
    </w:p>
    <w:p>
      <w:pPr>
        <w:spacing w:after="0" w:line="14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may terminate the agreement upon 6 month written notice to QMUL. QMUL may terminate the agreement in the event of our nonperformance of any of our material obligations under the agreement if such nonperformance remains uncured for a certain period of time following our receipt of written notice of such nonperformance or in the event of insolvency. Absent early termination, the agreement will continue for a period of 20 years after the first commercial sale of any licensed product utilizing the QMUL Patent Rights.</w:t>
      </w:r>
    </w:p>
    <w:p>
      <w:pPr>
        <w:spacing w:after="0" w:line="15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we entered into a collaboration agreement with QMUL for a three-year term, expiring November 2024. The collaboration will focus on development and optimization of patent-pending precision medicine approaches, based on RNA expression signatures, to personalize therapeutic agent selection for RA patients. We or QMUL may terminate the master research collaboration agreement upon 30-day written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Laboratory Improvement Amendments of 1988</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3" w:name="page24"/>
    <w:bookmarkEnd w:id="23"/>
    <w:p>
      <w:pPr>
        <w:ind w:right="240"/>
        <w:spacing w:after="0" w:line="238" w:lineRule="auto"/>
        <w:rPr>
          <w:sz w:val="20"/>
          <w:szCs w:val="20"/>
          <w:color w:val="auto"/>
        </w:rPr>
      </w:pPr>
      <w:r>
        <w:rPr>
          <w:rFonts w:ascii="Arial" w:cs="Arial" w:eastAsia="Arial" w:hAnsi="Arial"/>
          <w:sz w:val="18"/>
          <w:szCs w:val="18"/>
          <w:color w:val="auto"/>
        </w:rPr>
        <w:t>As a clinical laboratory, we are required to hold certain federal, state and local licenses, certifications and permits to conduct our business.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must maintain CLIA certification to be eligible to bill for diagnostic services provided to Medicare beneficiaries. Many commercial third-party payors also require CLIA certification as a condition of payment.</w:t>
      </w:r>
    </w:p>
    <w:p>
      <w:pPr>
        <w:spacing w:after="0" w:line="14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Vista facility holds a current CLIA certificate. To renew our CLIA certificate, we are subject to survey and inspection every two years to assess compliance with program standards. We elect to participate in the accreditation program of CAP.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The regulatory and compliance standards applicable to the testing we perform may change over time, and any such changes could have a material effect on our business.</w:t>
      </w:r>
    </w:p>
    <w:p>
      <w:pPr>
        <w:spacing w:after="0" w:line="15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Penalties for non-compliance with CLIA or CAP requirements include suspension, limitation or revocation of the laboratory’s CLIA or CAP certificate, as well as a directed plan of correction, state on-site monitoring, civil money penalties, civil injunctive suit or criminal penalties, as applicable.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Laboratory Licensing</w:t>
      </w:r>
    </w:p>
    <w:p>
      <w:pPr>
        <w:spacing w:after="0" w:line="17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Vista facility also holds a state license issued by the California Department of Public Health, or DPH. California law and regulations establish standards for the day-to-day operation of a clinical laboratory, including the training and skills required of laboratory personnel and quality control. In addition, California laws and regulations also mandate proficiency testing, which involves testing of specimens that have been specifically prepared for the laboratory for quality control purposes.</w:t>
      </w:r>
    </w:p>
    <w:p>
      <w:pPr>
        <w:spacing w:after="0" w:line="15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Because we receive specimens from New York, our Vista facility also is required to be licensed by the New York State Department of Health, or NYDOH, New York laws and regulations establish standards in a variety of operational areas, including:</w:t>
      </w:r>
    </w:p>
    <w:p>
      <w:pPr>
        <w:spacing w:after="0" w:line="3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day-to-day operation of the laboratory, including training and skill levels required of laboratory personnel;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physical requirements of a facility;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equipment;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validation and quality control.</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New York law also mandates proficiency testing for laboratories licensed under New York state law, regardless of whether such laboratories are located in or outside of New York. If a laboratory is out of compliance with New York's statutory or regulatory standards, the NYDOH, may suspend, limit, revoke or annul the laboratory’s New York license, censure the holder of the license or assess civil money penalties. Statutory or regulatory noncompliance may result in a laboratory’s operator being found guilty of a misdemeanor under New York law. New York's law and regulations are more stringent than CLIA in certain respects. For example, NYDOH must approve an LDT before it is offered in New York. We have received written approval from NYDOH to offer our products in New York.</w:t>
      </w:r>
    </w:p>
    <w:p>
      <w:pPr>
        <w:spacing w:after="0" w:line="15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In addition to New York and California, other states, including Maryland, Pennsylvania and Rhode Island, require licensing of out-of-state laboratories under certain circumstances.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Oversight of Laboratory Developed Tests and Certain Devices</w:t>
      </w:r>
    </w:p>
    <w:p>
      <w:pPr>
        <w:spacing w:after="0" w:line="176"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We perform our tests like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assays in our Vista, California clinical laboratory, and they are primarily regulated under CLIA, as administered by CMS, as well as by applicable state laws, as described above. The FDA regulates diagnostic tests that meet the definition of a medical device, except under specific, narrow circumstances. The Federal Food, Drug and Cosmetic Act, or FDCA, defines a medical device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in vitro diagnostic test, or IVD, as "reagents, instruments, and systems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4" w:name="page25"/>
    <w:bookmarkEnd w:id="24"/>
    <w:p>
      <w:pPr>
        <w:ind w:right="180"/>
        <w:spacing w:after="0" w:line="237" w:lineRule="auto"/>
        <w:rPr>
          <w:sz w:val="20"/>
          <w:szCs w:val="20"/>
          <w:color w:val="auto"/>
        </w:rPr>
      </w:pPr>
      <w:r>
        <w:rPr>
          <w:rFonts w:ascii="Arial" w:cs="Arial" w:eastAsia="Arial" w:hAnsi="Arial"/>
          <w:sz w:val="18"/>
          <w:szCs w:val="18"/>
          <w:color w:val="auto"/>
        </w:rPr>
        <w:t>intended for use in the diagnosis of disease or other conditions, including a determination of the state of health, in order to cure, mitigate, treat, or prevent disease or its sequelae." Therefore, the FDA generally considers our testing products to be IVDs subject to the agency's regulatory requirements. Among other things, pursuant to the FDCA and its implementing regulations, the FDA regulates the research, testing, manufacturing, safety, labeling, storage, recordkeeping, pre-market clearance or approval, marketing and promotion, and sales and distribution of medical devices, including IVDs, in the United States to ensure that medical products distributed domestically are safe and effective for their intended uses. In addition, the FDA regulates the export of medical devices manufactured in the United States to international markets.</w:t>
      </w:r>
    </w:p>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FDCA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or PMA. Devices deemed to pose lower risk are categorized as either Class I or II, which requires the manufacturer to submit to the FDA a 510(k) premarket notification submission requesting clearance of the device for commercial distribution in the United States. Some low-risk devices are exempted from this requirement. When a 510(k) premarket notification submission is required, the manufacturer must submit to the FDA a premarket notification submission demonstrating that the device is "substantially equivalent" to: (i) a device that was legally marketed prior to May 28, 1976, for which PMA approval is not required, (ii) a legally marketed device that has been reclassified from Class III to Class II or Class I, or (iii) another legally marketed, similar device that has been cleared through the 510(k) clearance process.</w:t>
      </w:r>
    </w:p>
    <w:p>
      <w:pPr>
        <w:spacing w:after="0" w:line="15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After the FDA permits a device to enter commercial distribution, numerous regulatory requirements apply. These include: the Quality System Regulation, which requires manufacturers to follow elaborate design, testing, control, documentation and other quality assurance procedures during the manufacturing process; labeling regulations; the FDA’s general prohibition against promoting products for unapproved or "off-label" uses; and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The FDA has broad post-market and regulatory and enforcement powers. Failure to comply with the applicable U.S. medical device regulatory requirements could result in, among other things, warning letters, fines, injunctions, consent decrees, civil penalties, repairs, replacements, refunds, recalls or seizures of products, total or partial suspension of production, the FDA’s refusal to grant future premarket clearances or approvals, withdrawals or suspensions of current product applications, and criminal prosecution.</w:t>
      </w:r>
    </w:p>
    <w:p>
      <w:pPr>
        <w:spacing w:after="0" w:line="153"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Although the FDA has statutory authority to assure that medical devices, including IVDs, are safe and effective for their intended uses, the FDA has generally exercised its enforcement discretion and not enforced applicable regulations with respect to IVDs that are designed, manufactured, and used within a single high-complexity CLIA-certified laboratory for use only in that laboratory. Such tests are referred to as laboratory developed tests, or LDTs. We believe that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are LDTs, as are our near-term pipeline candidate tests. As a result, we believe our diagnostic services are currently subject to the FDA’s enforcement discretion and are not subject to the FDA’s oversight. However, reagents, instruments, software or components provided by third parties and used to perform LDTs may be subject to regulation.</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Even though we commercialize our tests as LDTs, our tests may in the future become subject to more onerous regulation by the FDA. For example, in 2017, the FDA published a Discussion Paper on Laboratory Developed Tests to further public discussion about an appropriate LDT oversight approach and to give congressional committees the opportunity to develop a legislative solution to the competing interests of ensuring the public health and promoting innovation in the clinical testing industry. However, in August 2020, the United States Department of Health and Human Services, or HHS, published a policy announcement that FDA must go through the formal notice-and-comment rulemaking process before requiring premarket review of LDTs rather than making such changes through guidance documents, compliance manuals, or other informal policy statements. HHS’s policy statement did not affect proposed legislation for the regulation of LDTs, which is discussed below. In November 2021, the Biden Administration withdrew that HHS policy announcement and ostensibly restored FDA’s regulatory oversight of LDTs.</w:t>
      </w:r>
    </w:p>
    <w:p>
      <w:pPr>
        <w:spacing w:after="0" w:line="15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 December 2018, members of Congress released a discussion draft of a possible bill to regulate in vitro clinical tests including LDTs, and provided opportunities for additional stakeholders to also provide input on the proposed reform legislation. On March 5, 2020, U.S. Representatives Diana DeGette (D-CO) and Dr. Larry Bucshon (R-IN) formally introduced the long-awaited legislation, called the Verifying Accurate, Leading-edge IVCT Development, or VALID Act. An identical version of the bill was introduced concurrently in the Senate, demonstrating both bicameral and bipartisan support for the effort to overhaul how the FDA reviews and approves diagnostic tests going forward. The VALID Act would codify into law the term "in vitro clinical test", or IVCT, to create a new medical product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5" w:name="page26"/>
    <w:bookmarkEnd w:id="25"/>
    <w:p>
      <w:pPr>
        <w:spacing w:after="0" w:line="238" w:lineRule="auto"/>
        <w:rPr>
          <w:sz w:val="20"/>
          <w:szCs w:val="20"/>
          <w:color w:val="auto"/>
        </w:rPr>
      </w:pPr>
      <w:r>
        <w:rPr>
          <w:rFonts w:ascii="Arial" w:cs="Arial" w:eastAsia="Arial" w:hAnsi="Arial"/>
          <w:sz w:val="18"/>
          <w:szCs w:val="18"/>
          <w:color w:val="auto"/>
        </w:rPr>
        <w:t>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 A substantively unchanged version of the VALID Act was re-introduced in both houses of Congress on June 24, 2021.</w:t>
      </w:r>
    </w:p>
    <w:p>
      <w:pPr>
        <w:spacing w:after="0" w:line="148"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It is unclear whether the VALID Act would be passed by Congress in its current form or signed into law by the President. Until the FDA finalizes its position on regulation of LDTs through formal notice-and-comment rulemaking, or the VALID Act or other federal legislation is passed reforming the government’s regulation of LDTs, or alternatively, if the FDA disagrees with our assessment that our tests fall within the definition of an LDT, we could be subject to enforcement of regulatory requirements such as registration and listing requirements, medical device reporting requirements and quality control requirements. Any new legislation or formal FDA regulations affecting LDTs may result in increased regulatory burdens on our ability to continue marketing our tests and to develop and introduce new tests in the future. Additionally, if and when the FDA begins to actively enforce its premarket submission regulations with respect to LDTs generally or our tests in particular, whether as a result of new legislative authority or following formal notice-and-comment rulemaking, we may be required to obtain premarket clearance for our tests under Section 510(k) of the FDCA or approval of a PMA. The process for submitting a 510(k) premarket notification and receiving FDA clearance usually takes from three to 12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the FDA could require that we stop selling our products pending clearance or approval and conduct clinical testing prior to making submissions to FDA to obtain premarket clearance or approval. The FDA could also require that we label our tests as investigational or limit the labeling claims we are permitted to make.</w:t>
      </w:r>
    </w:p>
    <w:p>
      <w:pPr>
        <w:spacing w:after="0" w:line="135"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We also distribute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 blood specimen collection kit for collection and transport of blood samples from a healthcare provider to our laboratory. The kit includes a blood specimen collection device that was designed and is manufactured for us by a third-party manufacturer, as well as a biohazard bag and a prepaid envelope for shipping the sample and instructions for use. The FDA regulates a kit that contain multiple copackaged but independent medical devices as a "convenience kit," which is considered a separate medical device from the individual kit components. Many types of convenience kits do not require marketing authorization because the FDA exercises enforcement discretion for such requirements, but they must meet FDA’s general controls for medical devices, including that they be manufactured in compliance with applicable quality system regulations for medical devices and adhere to device labeling requirements, among other regulatory controls.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165" w:lineRule="exact"/>
        <w:rPr>
          <w:sz w:val="20"/>
          <w:szCs w:val="20"/>
          <w:color w:val="auto"/>
        </w:rPr>
      </w:pPr>
    </w:p>
    <w:p>
      <w:pPr>
        <w:ind w:right="200"/>
        <w:spacing w:after="0" w:line="216" w:lineRule="auto"/>
        <w:rPr>
          <w:sz w:val="20"/>
          <w:szCs w:val="20"/>
          <w:color w:val="auto"/>
        </w:rPr>
      </w:pPr>
      <w:r>
        <w:rPr>
          <w:rFonts w:ascii="Arial" w:cs="Arial" w:eastAsia="Arial" w:hAnsi="Arial"/>
          <w:sz w:val="18"/>
          <w:szCs w:val="18"/>
          <w:color w:val="auto"/>
        </w:rPr>
        <w:t>We have also conducted and may in the future conduct studies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and our other tests in development that involve clinical investigators at sites in the U.S. We may need to conduct additional studies for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as well as other tests we may offer in the future, to drive test adoption in the marketplace and reimbursement. Should we not be able to perform these studies, or should their results not provide clinically meaningful data and value for clinicians, adoption of our tests could be impaired and we may not be able to obtain reimbursement for them.</w:t>
      </w:r>
    </w:p>
    <w:p>
      <w:pPr>
        <w:spacing w:after="0" w:line="15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conduct of clinical trials is also subject to extensive federal and institutional regulations intended to assure that the data and reported results are credible and accurate and that the rights, safety, and welfare of study participants are protected. Most studies involving human participants must be reviewed and approved by, and conducted under the auspices of, a duly-constituted institutional review board, or IRB, which is a multi-disciplinary committee responsible for reviewing and evaluating the risks and benefits of a clinical trial for participating subjects and monitoring the trial on an ongoing basis. Companies sponsoring the clinical trials and investigators also must comply with, as applicable, regulations, guidelines and IRB requirements for obtaining informed consent from the study subjects, following the protocol and investigational plan, adequately monitoring the clinical trial, and timely reporting of adverse events. The sponsoring company or the IRB may suspend or terminate a clinical trial at any time on various grounds, including a finding that the subjects are being exposed to an unacceptable health risk. In addition, studies involving human participants often require significant time and cash resources to complete and are subject to a high degree of risk, including risks of experiencing delays, failing to complete the trial or obtaining unexpected or negative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Physician Self-Referral Prohibitions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6" w:name="page27"/>
    <w:bookmarkEnd w:id="26"/>
    <w:p>
      <w:pPr>
        <w:spacing w:after="0" w:line="238"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state law restrictions, such as California’s Physician Ownership and Referral Act of 1933, or PORA, and other comparable state laws. The Stark Law generally prohibits us from billing a patient or any governmental or private payor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Sanctions for a Stark Law violation include the following:</w:t>
      </w:r>
    </w:p>
    <w:p>
      <w:pPr>
        <w:spacing w:after="0" w:line="5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refunds of amounts collected in violation of the Stark Law;</w:t>
      </w:r>
    </w:p>
    <w:p>
      <w:pPr>
        <w:spacing w:after="0" w:line="49" w:lineRule="exact"/>
        <w:rPr>
          <w:rFonts w:ascii="Arial" w:cs="Arial" w:eastAsia="Arial" w:hAnsi="Arial"/>
          <w:sz w:val="18"/>
          <w:szCs w:val="18"/>
          <w:color w:val="auto"/>
        </w:rPr>
      </w:pPr>
    </w:p>
    <w:p>
      <w:pPr>
        <w:ind w:left="660" w:right="460" w:hanging="328"/>
        <w:spacing w:after="0"/>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civil penalties for each bill or claim for a service arising out of the prohibited referral, and additional penalties for each arrangement or scheme that the parties know (or should know) has the principal purpose of circumventing the Stark Law's prohibition;</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penalties of up to three times the amounts assessed for each item or service wrongfully claimed;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w:t>
      </w:r>
    </w:p>
    <w:p>
      <w:pPr>
        <w:spacing w:after="0" w:line="15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Stark Law applies regardless of any intent by the parties to induce or reward referrals or the reasons for the financial relationship and the referral. In addition, violations of the Stark Law may also serve as the basis for liability under the Federal False Claims Act, which can result in additional civil penalties.</w:t>
      </w:r>
    </w:p>
    <w:p>
      <w:pPr>
        <w:spacing w:after="0" w:line="14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Similarly, PORA makes it unlawful for a physician or certain other healing arts licensees to refer a person for certain healthcare services, including clinical laboratory services, if the licensee has a financial interest with the person or entity that receives the referral, unless an exemption is met. Unlike the Stark Law, PORA applies regardless of the source of payment. PORA also prohibits the submission of claims for services provided pursuant to a prohibited referral, and violation of this prohibition constitutes a public offense and is punishable upon conviction by a fine not exceeding fifteen thousand dollars ($15,000) for each violation and appropriate disciplinary action. Other states also have self-referral restrictions with which we have to comply, some of which differ from those imposed by the Stark Law or PORA.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Anti-Kickback Laws</w:t>
      </w:r>
    </w:p>
    <w:p>
      <w:pPr>
        <w:spacing w:after="0" w:line="17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item or service that is reimbursable in whole or in part, under any federal healthcare program. A person or entity does not need to have actual knowledge of the statute or specific intent to violate it in order to have committed a violation. Courts have broadly interpreted of the scope of the Anti-kickback Statute and generally have held that the statute may be violated if merely one purpose of a payment arrangement is to induce referrals.</w:t>
      </w:r>
    </w:p>
    <w:p>
      <w:pPr>
        <w:spacing w:after="0" w:line="14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to statutory exceptions to the Anti-kickback Statute, regulations provide for a number of safe harbors. If an arrangement meets the provisions of a safe harbor or exception, it is deemed not to violate the Anti-Kickback Statute, and the parties are immune from prosecution. An arrangement must fully comply with each element of an applicable safe harbor in order to qualify for protection.</w:t>
      </w:r>
    </w:p>
    <w:p>
      <w:pPr>
        <w:spacing w:after="0" w:line="14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Failure to meet the requirements of an exception or the safe harbor does not render an arrangement illegal. Rather, the government may evaluate such arrangements on a case-by-case basis, taking into account all facts and circumstances.</w:t>
      </w:r>
    </w:p>
    <w:p>
      <w:pPr>
        <w:spacing w:after="0" w:line="14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violation of the Anti-Kickback Statute may result in imprisonment for up to ten years and significant fines for each violation and additional administrative civil money penalties, plus up to three times the amount of the remuneration paid. Convictions under the Anti-Kickback Statute result in mandatory exclusion from federal healthcare programs for a minimum of five years. In addition, a violation of the Anti-kickback Statute can serve as the basis of liability under the federal False Claims Act, which is discussed in greater detail below.</w:t>
      </w:r>
    </w:p>
    <w:p>
      <w:pPr>
        <w:spacing w:after="0" w:line="151"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Although the Anti-kickback Statute applies only to items and services reimbursable under any federal healthcare program, a number of states, including California, have passed statutes substantially similar to the Anti-Kickback Statute that apply to all third-party payors, including commercial insurers, and, in some states, to patients without insurance. The California Attorney General and courts have interpreted the California anti-kickback and fee-splitting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7" w:name="page28"/>
    <w:bookmarkEnd w:id="27"/>
    <w:p>
      <w:pPr>
        <w:ind w:right="580"/>
        <w:spacing w:after="0" w:line="246" w:lineRule="auto"/>
        <w:rPr>
          <w:sz w:val="20"/>
          <w:szCs w:val="20"/>
          <w:color w:val="auto"/>
        </w:rPr>
      </w:pPr>
      <w:r>
        <w:rPr>
          <w:rFonts w:ascii="Arial" w:cs="Arial" w:eastAsia="Arial" w:hAnsi="Arial"/>
          <w:sz w:val="18"/>
          <w:szCs w:val="18"/>
          <w:color w:val="auto"/>
        </w:rPr>
        <w:t>laws in substantially the same way as HHS and the courts have interpreted the Anti-Kickback Statute. Penalties under such state laws include imprisonment and significant monetary fines.</w:t>
      </w:r>
    </w:p>
    <w:p>
      <w:pPr>
        <w:spacing w:after="0" w:line="143"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addition, in October 2018, the Eliminating Kickbacks in Recovery Act of 2018, or EKRA, was enacted as part of the Substance Use-Disorder Prevention that Promotes Opioid Recovery and Treatment for Patients and Communities Act. EKRA is an all-payor anti-kickback law that makes it a criminal offense to pay any remuneration to induce referrals to, or in exchange for, patients using the services of a recovery home, a substance use clinical treatment facility, or laboratory. However, unlike the Anti-Kickback Statute, EKRA is not limited to services covered by federal or state healthcare programs but applies more broadly to services covered by “healthcare benefit programs,” including private third-party payors. Although EKRA apparently was intended to reach patient brokering and similar arrangements to induce patronage of substance use recovery and treatment, the language in EKRA is broadly written. Further, certain of EKRA’s exceptions are inconsistent with the Anti-Kickback Statute and regulations. EKRA permits the U.S. Department of Justice to issue regulations clarifying EKRA’s exceptions or adding additional exceptions, but such regulations have not yet been issued.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Federal and State Health Care Laws</w:t>
      </w:r>
    </w:p>
    <w:p>
      <w:pPr>
        <w:spacing w:after="0" w:line="17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to the requirements discussed above, several other healthcare fraud and abuse laws could have an effect on our business. For example, federal law permits the Office of Inspector General for the Department of Health and Human Services to exclude an individual or entity from Medicare or Medicaid for charging Medicare or state healthcare programs, such as Medicaid, substantially in excess of its usual charges for its items or services absent a finding of good cause. The terms “usual charge” and “substantially in excess” are subject to varying interpretations.</w:t>
      </w:r>
    </w:p>
    <w:p>
      <w:pPr>
        <w:spacing w:after="0" w:line="1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federal False Claims Act prohibits, among other things, a person from knowingly presenting, or causing to be presented, a false or fraudulent claim for payment to the federal government. In addition to actions initiated by the government itself, the statute authorizes actions to be brought on behalf of the federal government by a private party having knowledge of the alleged fraud pursuant to its qui tam provisions. Because the complaint in a qui tam action is initially filed under seal, the action may be pending for some time before the defendant is even aware of the action. If the government intervenes and is ultimately successful in obtaining redress in the matter or if the relator succeeds in obtaining redress without the government’s involvement, then the relator will receive a percentage of the recovery. In addition, providers and suppliers must report and return any overpayments received from the Medicare and Medicaid programs within 60 days of identification, and failure to identify and return such overpayments exposes the provider or supplier to False Claims Act liability. Violation of the False Claims Act may result payment of up to three times the actual damages sustained by the government, plus significant per-claim civil penalties. Several states, including California, have enacted comparable false claims laws that may be broader in scope and may apply regardless of payor.</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federal civil monetary penalties law, or the CMP Law, prohibits, among other things, (1) the offering or transfer of remuneration (including a waiver of copayments and deductible amounts)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(2) employing or contracting with an individual or entity that the provider knows or should know is excluded from participation in a federal healthcare program; (3) billing for services requested by an unlicensed physician or an excluded provider; (4) billing for medically unnecessary services; and (5) presenting or causing to be presented a claim to a federal health program that the person knows or should know is for an item or service that was not provided as claimed or is false or fraudulent. The penalties for violating the CMP Law include exclusion, substantial fines, and payment of up to three times the amount billed, depending on the nature of the offense.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significant civil monetary penalties for each wrongful act and up to three times the amount improperly claimed. Moreover, in certain cases, providers who routinely waive copayments, or coinsurance for Medicare, and deductibles for Medicare and Medicaid beneficiaries can also be held liable under the Anti-Kickback Statute and False Claims Act. One of the statutory exceptions to the prohibition is non-routine, unadvertised waivers of copayments or deductible amounts based on individualized determinations of financial need or exhaustion of reasonable collection efforts. The Office of Inspector General of HHS, or OIG, emphasizes, however, that this exception should only be used occasionally to address special financial needs of a particular patient. Although this prohibition applies only to federal healthcare program beneficiaries, applicable state laws related to, among other things, unlawful schemes to defraud, excessive fees for services, tortious interference with patient contracts and statutory or common law fraud, may also be implicated for similar practices offered to patients covered by commercial payors.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8" w:name="page29"/>
    <w:bookmarkEnd w:id="28"/>
    <w:p>
      <w:pPr>
        <w:ind w:right="80"/>
        <w:spacing w:after="0" w:line="238" w:lineRule="auto"/>
        <w:rPr>
          <w:sz w:val="20"/>
          <w:szCs w:val="20"/>
          <w:color w:val="auto"/>
        </w:rPr>
      </w:pPr>
      <w:r>
        <w:rPr>
          <w:rFonts w:ascii="Arial" w:cs="Arial" w:eastAsia="Arial" w:hAnsi="Arial"/>
          <w:sz w:val="18"/>
          <w:szCs w:val="18"/>
          <w:color w:val="auto"/>
        </w:rPr>
        <w:t>Federal criminal statutes prohibit, among other actions, knowingly and willfully executing, or attempting to execute, a scheme to defraud any healthcare benefit program, including those administered by private third-party payors, and knowingly and willfully falsifying, concealing or covering up a material fact or making any materially false, fictitious or fraudulent statement in connection with the delivery of or payment for healthcare benefits, items or services. Like the Anti-Kickback Statute, this federal criminal statute requires a showing of intent, but a person or entity does not need to have actual knowledge of the statute or specific intent to violate it in order to have committed a violation.</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Physician Payments Sunshine Act imposes annual reporting requirements on manufacturers of certain devices, drugs and biologics for certain payments and transfers of value by them and in some cases their distributors to physicians (defined to include doctors, dentists, optometrists, podiatrists and chiropractors), certain other healthcare providers (such as nurse practitioners), and teaching hospitals, as well as ownership and investment interests held by physicians (as defined under the statute) and their immediate family members. Any failure to comply with these reporting requirements could result in significant fines and penalties. Because we manufacture our own LDTs solely for use by or within our own laboratory, we believe that we are exempt from these reporting requirements. We cannot assure you, however, that the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5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are also subject to applicable state restrictions on laboratory billing. These laws vary from state to state but generally are intended to prevent a provider who ordered but did not perform the service from billing for that service at a markup. For example, California has an anti-markup statute with which we must comply, which prohibits a provider from charging for any laboratory test that it did not perform unless the provider (a) notifies the patient, client or customer of the name, address, and charges of the laboratory performing the test, and (b) charges no more than what the provider was charged by the clinical laboratory that performed the test except for any other service actually rendered to the patient by the provider (for example, specimen collection, processing and handling). This provision applies, with certain limited exceptions, to licensed persons such as physicians and clinical laboratories regulated under California’s Business and Professions Code. A violation of this provision can lead to imprisonment and/or a fine of up to $10,000. Other states have similar anti-markup and other client billing restrictions with which we must comply. Many states also have "direct-bill" laws, which require the party that performed the service to bill for the service, with certain exceptions.</w:t>
      </w:r>
    </w:p>
    <w:p>
      <w:pPr>
        <w:spacing w:after="0" w:line="15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our operations are found to be in violation of any of the fraud and abuse laws described above or any other healthcare regulatory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Regulations</w:t>
      </w:r>
    </w:p>
    <w:p>
      <w:pPr>
        <w:spacing w:after="0" w:line="17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healthcare program. In situations involving physicians employed by state-funded institutions or national healthcare agencies, violation of the local anti-kickback law may also constitute a violation of the U.S. Foreign Corrupt Practices Act, or FCPA, and/or other applicable anti-corruption laws.</w:t>
      </w:r>
    </w:p>
    <w:p>
      <w:pPr>
        <w:spacing w:after="0" w:line="14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UK Bribery Act.</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29" w:name="page30"/>
    <w:bookmarkEnd w:id="29"/>
    <w:p>
      <w:pPr>
        <w:ind w:right="40"/>
        <w:spacing w:after="0" w:line="238" w:lineRule="auto"/>
        <w:rPr>
          <w:sz w:val="20"/>
          <w:szCs w:val="20"/>
          <w:color w:val="auto"/>
        </w:rPr>
      </w:pPr>
      <w:r>
        <w:rPr>
          <w:rFonts w:ascii="Arial" w:cs="Arial" w:eastAsia="Arial" w:hAnsi="Arial"/>
          <w:sz w:val="18"/>
          <w:szCs w:val="18"/>
          <w:color w:val="auto"/>
        </w:rPr>
        <w:t>When marketing our testing products outside of the U.S., we may be subject to foreign regulatory requirements governing human clinical testing, prohibitions on the import of tissue necessary for us to perform our testing products or restrictions on the export of tissue imposed by countries outside of the U.S. or the import of tissue into the U.S., and marketing approval. These requirements vary by jurisdiction, differ from those in the U.S. and may in some cases require us to perform additional pre-clinical or clinical testing. In many countries outside of the U.S., coverage, pricing and reimbursement approvals are also required.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Data Privacy and Security Laws</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Health Insurance Portability and Accountability Act of 1996, or HIPAA, established comprehensive federal standards for the privacy and security of health information. In 2009, Congress enacted Subtitle D of the Health Information Technology for Economic and Clinical Health Act. or HITECH provisions of the American Recovery and Reinvestment Act of 2009. HITECH amended HIPAA and, among other things, expanded and strengthened HIPAA, created new targets for enforcement, imposed new penalties for noncompliance and established new breach notification requirements. HIPAA applies to health plans, healthcare clearing houses, and healthcare providers that conduct certain healthcare transactions electronically, which we refer to collectively as Covered Entities, as well as individuals or entities that perform services for them involving the use, or disclosure of, individually identifiable health information or "protected health information" under HIPAA. Such service providers are called "Business Associates." Under HIPAA, as amended by the HITECH Act, HHS has issued regulations to protect the privacy and security of protected health information, or PHI, used or disclosed by Covered Entities and Business Associates. HIPAA also regulates and standardizes the codes, formats and identifiers used in certain healthcare transactions and standardization of identifiers for health plans and providers, for example insurance billing. Any non-compliance with HIPAA and HITECH and related penalties, could adversely impact our business.</w:t>
      </w:r>
    </w:p>
    <w:p>
      <w:pPr>
        <w:spacing w:after="0" w:line="15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HIPAA security standards require the adoption of administrative, physical, and technical safeguards and the adoption of written security policies and procedures to maintain the security of protected health information.</w:t>
      </w:r>
    </w:p>
    <w:p>
      <w:pPr>
        <w:spacing w:after="0" w:line="143" w:lineRule="exact"/>
        <w:rPr>
          <w:sz w:val="20"/>
          <w:szCs w:val="20"/>
          <w:color w:val="auto"/>
        </w:rPr>
      </w:pPr>
    </w:p>
    <w:p>
      <w:pPr>
        <w:jc w:val="both"/>
        <w:ind w:right="380"/>
        <w:spacing w:after="0" w:line="237" w:lineRule="auto"/>
        <w:rPr>
          <w:sz w:val="20"/>
          <w:szCs w:val="20"/>
          <w:color w:val="auto"/>
        </w:rPr>
      </w:pPr>
      <w:r>
        <w:rPr>
          <w:rFonts w:ascii="Arial" w:cs="Arial" w:eastAsia="Arial" w:hAnsi="Arial"/>
          <w:sz w:val="18"/>
          <w:szCs w:val="18"/>
          <w:color w:val="auto"/>
        </w:rPr>
        <w:t>The HIPAA privacy regulations address the privacy of PHI by limiting the use and release of such information. They also set forth certain rights that an individual has with respect to his or her PHI maintained by a covered entity, including the right to access or amend certain records containing PHI, request an accounting of disclosures of PHI or to request restrictions on the use or disclosure of PHI. Proposed modifications to the privacy regulations were published in January of 2021 with a public comment period that ended in May of 2021. The content of any final rules and their potential impact on us is unknown. The HIPAA breach notification regulations impose certain reporting requirements on covered entities and their business associates in the event of a breach of PHI.</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Covered entities must report breaches of PHI that has not been encrypted or otherwise secured in accordance with guidance from the Secretary of HHS, or the Secretary. Breaches must be reported as soon as reasonably practicable, but no later than sixty days following discovery of the breach. Reports must be made to affected individuals, the HHS Secretary, and depending on the size of the breach, the local and national media. Covered Entities like us are also subject the HHS HIPAA audit program and may be investigated in connection with a privacy or data security complaint.</w:t>
      </w:r>
    </w:p>
    <w:p>
      <w:pPr>
        <w:spacing w:after="0" w:line="14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Significant civil and criminal fines and other penalties may be imposed for violating HIPAA directly, and in connection with acts or omissions of any agents, including a downstream business associates, as determined according to the federal common law of agency. Civil penalties are adjusted for inflation on an annual basis and can exceed one million dollars per year for failure to comply with a HIPAA requirement. A single breach incident can violate multiple requirements. Additionally, a person who knowingly obtains or discloses PHI in violation of HIPAA may face a criminal penalties (including fines and imprisonment), which increase if the wrongful conduct involves false pretenses or the intent to sell, transfer or use PHI for commercial advantage, personal gain or malicious harm. Covered entities are also subject to enforcement by state attorneys general who were given authority to enforce HIPAA.</w:t>
      </w:r>
    </w:p>
    <w:p>
      <w:pPr>
        <w:spacing w:after="0" w:line="149"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Additionally,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spacing w:after="0" w:line="14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Further, to the extent that we submit electronic healthcare claims and payment transactions that do not comply with the transaction standards established under HIPAA and HITECH, payments to us may be delayed or denied.</w:t>
      </w:r>
    </w:p>
    <w:p>
      <w:pPr>
        <w:spacing w:after="0" w:line="14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Even when HIPAA does not apply, according to the FTC, failing to take appropriate steps to keep consumers’ personal information secure constitutes unfair acts or practices in or affecting commerce in violation of Section 5(a)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0" w:name="page31"/>
    <w:bookmarkEnd w:id="30"/>
    <w:p>
      <w:pPr>
        <w:ind w:right="20"/>
        <w:spacing w:after="0" w:line="238" w:lineRule="auto"/>
        <w:rPr>
          <w:sz w:val="20"/>
          <w:szCs w:val="20"/>
          <w:color w:val="auto"/>
        </w:rPr>
      </w:pPr>
      <w:r>
        <w:rPr>
          <w:rFonts w:ascii="Arial" w:cs="Arial" w:eastAsia="Arial" w:hAnsi="Arial"/>
          <w:sz w:val="18"/>
          <w:szCs w:val="18"/>
          <w:color w:val="auto"/>
        </w:rPr>
        <w:t>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and states' Attorneys General have also brought enforcement actions and prosecuted some data breach cases as unfair and/or deceptive acts or practices under the FTC Act and comparable state laws.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HIPAA privacy and security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Certain state laws govern the privacy and security of health-related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The State of California, for example, has implemented comprehensive laws and regulations. The California Confidentiality of Medical Information Act, or CMIA, imposes restrictive requirements regulating the use and disclosure of health information and other personally identifiable information. California has also recently adopted the California Consumer Privacy Act of 2018, or the CCPA, which went into effect January 1, 2020. The CCPA, among other things, creates new data privacy obligations for covered companies and provides new privacy rights to California residents, including the right to opt out of certain disclosures of their information. It also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under HIPAA and medical information maintained by healthcare providers under the CMIA, it may regulate or impact our processing of personal information depending on the context. Further, the California Privacy Rights Act, or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15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Numerous other federal and state laws, including consumer protection laws and regulations, govern the collection, dissemination, use, access to, confidentiality and security of patient health information. In addition, Congress and some states are considering new laws and regulations that further protect the privacy and security of medical records or medical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 of time to affected individuals.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Congress has also been considering similar federal legislation relating to data privacy and data protection.</w:t>
      </w:r>
    </w:p>
    <w:p>
      <w:pPr>
        <w:spacing w:after="0" w:line="15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Many states, such as Massachusetts, have also implemented genetic testing and privacy laws imposing specific patient consent requirements and requirements for protecting test results. The interplay of federal and state laws regulating genetic information may be subject to varying interpretations by courts and government agencies, creating complex compliance issues for us and potentially exposing us to additional expense, adverse publicity, and liability. Further, as regulatory focus on genetic privacy issues continues to increase and laws and regulations concerning the protection of personal information expand and become more complex, these potential risks to our business could intensify.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Blocking Rules</w:t>
      </w:r>
    </w:p>
    <w:p>
      <w:pPr>
        <w:spacing w:after="0" w:line="176"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National Coordinator for Health Information Technology, or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We will need to continually review our practices for conduct that could be considered as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as a laboratory under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1" w:name="page32"/>
    <w:bookmarkEnd w:id="31"/>
    <w:p>
      <w:pPr>
        <w:ind w:right="260"/>
        <w:spacing w:after="0"/>
        <w:rPr>
          <w:sz w:val="20"/>
          <w:szCs w:val="20"/>
          <w:color w:val="auto"/>
        </w:rPr>
      </w:pPr>
      <w:r>
        <w:rPr>
          <w:rFonts w:ascii="Arial" w:cs="Arial" w:eastAsia="Arial" w:hAnsi="Arial"/>
          <w:sz w:val="18"/>
          <w:szCs w:val="18"/>
          <w:color w:val="auto"/>
        </w:rPr>
        <w:t>state law and/or medical or ethical standards. It is currently unclear how the ONC will approach delays in providing patient access in these situations. Health care providers including laboratories will be subject to civil monetary penalties for violations of the Information Blocking Rule once the penalty regulations are finalized; the proposed rule allows for up to $1 million in penalties per violation.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GDPR and Foreign Laws</w:t>
      </w:r>
    </w:p>
    <w:p>
      <w:pPr>
        <w:spacing w:after="0" w:line="17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also subject to foreign privacy laws in the foreign jurisdictions in which we sell our testing products. The interpretation, application and interplay of consumer and health-related data protection laws in the U.S., Europe and elsewhere are often uncertain, contradictory and in flux. In Europe, the General Data Protection Regulation, or GDPR, went into full effect in May 2018. The GDPR implements stringent operational requirements for processors and controllers of personal data, including, for example, expanded disclosures about how personal information is collected and used, limitations on retention of information, increased requirements pertaining to health data and pseudonymised (i.e., key-coded) data, mandatory data breach notification requirements, more robust rights for individuals in regard to their personal data and higher standards for controllers to demonstrate that they have obtained valid consent for certain data processing activities. It provides that European Union, or EU, and European Economic Area, or EEA, member states may make their own further laws and regulations, which may impose further limitations, including in relation to the processing of biometric or health data, which may result in differences between member state laws, limit our ability to use and share personal data, cause our costs to increase, and/or harm our business and/or financial condition. Among other requirements, the GDPR also regulates transfers of personal data subject to the GDPR to third countries that have not been found to provide adequate protection to such personal data, including the United States, and the efficacy and longevity of current transfer mechanisms between the European Union, or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Further, from January 1, 2021, companies have to comply with the GDPR and also the United Kingdom GDPR, or UK GDPR, which, together with the amended UK Data Protection Act 2018, retains the GDPR in UK national law. The UK GDPR mirrors the fines under the GDPR, e.g.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may lead to additional costs and increase our overall risk exposure.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Billing and Government Reimbursement for Clinical Laboratory Services</w:t>
      </w:r>
    </w:p>
    <w:p>
      <w:pPr>
        <w:spacing w:after="0" w:line="180"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Medicare coverage is limited to items and services that are within the scope of a Medicare benefit category that are reasonable and necessary for the diagnosis or treatment of an illness or injury. With respect to Medicare coverage, Palmetto GBA, the Medicare Administrative Contractor, or MAC, responsible for administering Medicare’s molecular diagnostic services program, or MolDX Program, issued a local coverage determination, or LCD, that provides coverage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 The MAC responsible for administering Medicare claims submitted by our laboratory, Noridian Healthcare Solutions, has adopted Palmetto’s positive coverage policy, along with a related local coverage article that identifies a unique billing identifier for this test.</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Under Medicare, payment for our laboratory tests are generally made under the Clinical Laboratory Fee Schedule, or CLFS, with payment amounts assigned to specific procedure billing codes. In April 2014, Congress passed the Protecting Access to Medicare Act, or PAMA, which substantially changed the way in which Medicare sets the payment amounts for clinical laboratory services. Under PAMA, laboratories that receive the majority of their Medicare revenue from payments made under the CLFS or the Physician Fee Schedule are required to report to CMS, beginning in 2017 and every three years thereafter (or annually for "advanced diagnostic laboratory tests"), private payor payment rates and volumes for their tests. Laboratories that fail to report the required payment information may be subject to substantial civil monetary penalties. As required under PAMA, CMS uses the rates and volumes reported by laboratories to develop Medicare payment rates for laboratory tests equal to the volume-weighted median of the private payor payment rates for the tests.</w:t>
      </w:r>
    </w:p>
    <w:p>
      <w:pPr>
        <w:spacing w:after="0" w:line="15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June 23, 2016, CMS published the final rule implementing the reporting and rate-setting requirements under PAMA. For tests furnished on or after January 1, 2018, Medicare payments for clinical diagnostic laboratory tests are based upon these reported private payor rates. For clinical diagnostic laboratory tests, or CDLTs, that are assigned a new or substantially revised CPT code, CMS will set the initial payment rates using the gap-fill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2" w:name="page33"/>
    <w:bookmarkEnd w:id="32"/>
    <w:p>
      <w:pPr>
        <w:spacing w:after="0" w:line="224" w:lineRule="auto"/>
        <w:rPr>
          <w:sz w:val="20"/>
          <w:szCs w:val="20"/>
          <w:color w:val="auto"/>
        </w:rPr>
      </w:pPr>
      <w:r>
        <w:rPr>
          <w:rFonts w:ascii="Arial" w:cs="Arial" w:eastAsia="Arial" w:hAnsi="Arial"/>
          <w:sz w:val="18"/>
          <w:szCs w:val="18"/>
          <w:color w:val="auto"/>
        </w:rPr>
        <w:t>methodology, as under prior law. Initial payment rates for new advanced diagnostic laboratory tests, or ADLTs, will be based on the actual list charge. Any reductions to payment rates resulting from the new methodology are limited to up to 10% per test per year in each of the years 2018 through 2020 and up to 15% per test per year in each of the years 2021 through 2023. PAMA did not impact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2021 compared to levels experienced in 2020. Additionally, PAMA and changes to the Physician Fee Schedule will not have a significant impact to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2022 compared to levels experienced in 2021. The Coronavirus Aid, Relief, and Economic Security Act, or the CARES Act, signed into law on March 27, 2020 provides clinical laboratories a one-year reprieve from reporting requirements under the Protecting Access to Medicare Act, as well as a one-year delay of rate cuts scheduled to take place next year. Reporting was not required between January 1, 2020 to December 31, 2022. Instead, it is required between January 1, 2023 and March 31, 2023. Additionally, the next round of rate cuts was delayed until 2022 to 2023, with tests receiving cuts of up to 15% a year from 2023 through 2025.</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December 20, 2019, the Further Consolidated Appropriations Act, which included the Laboratory Access for Beneficiaries Act, or LAB Act, took effect. The LAB Act delayed by one year the reporting of payment data under PAMA for CDLTs that are not ADLTs until the first quarter of 2021. The Coronavirus Aid, Relief, and Economic Security Act, or the CARES Act, which was signed into law on March 27, 2020, delayed the reporting period by an additional year, until the first quarter of 2022. Then, on December 10, 2021, Congress passed the Protecting Medicare and American Farmers from Sequester Cuts Act, which included a provision that further delayed the next PAMA reporting period for CDLTs that are not ADLTs to January 1, 2023 through March 31, 2023. New CLFS rates for CDLTs will be established based on that data beginning in 2024, subject to phase-in limits. As a result, Medicare payment rates determined by data reported in 2017 will continue through December 31, 2023. In addition, under PAMA, as amended, the payment reduction cap will be 15% per test per year in each of the years 2023 through 2025.</w:t>
      </w:r>
    </w:p>
    <w:p>
      <w:pPr>
        <w:spacing w:after="0" w:line="153"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PAMA also authorized the adoption of new, temporary billing codes and unique test identifiers for FDA-cleared or approved tests, as well as ADLTs. The AMA’s CPT Editorial Panel has approved a proposal to create a new section of billing codes to facilitate implementation of this section of PAMA. These proprietary laboratory analyses codes, or PLA codes, may be requested by a clinical laboratory or manufacturer to specifically identify a particular test. The AMA publishes approved codes on a quarterly basis. While our testing products are not presently identified by any PLA codes, we may seek a specific PLA code or codes to describe some of our testing products in the future.</w:t>
      </w:r>
    </w:p>
    <w:p>
      <w:pPr>
        <w:spacing w:after="0" w:line="13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Billing for diagnostic testing can be complicated. Depending on the billing arrangement and applicable law, we must bill various payors, such as insurance companies, Medicare, Medicaid, physicians, hospitals, employer groups and patients, all of which have different billing requirements. Additionally, compliance with applicable laws and regulations as well as internal compliance policies and procedures adds further complexity to the billing process. Changes in laws and regulations could negatively impact our ability to bill our clients or increase our costs. CMS also establishes new procedures and continuously evaluates and implements changes to the reimbursement process for billing government healthcare programs. Missing or incorrect information on test requisitions adds complexity to and slows the billing process, creates backlogs of unbilled tests, and generally increases the aging of accounts receivable and bad debt expense. Failure to timely or correctly bill may lead to our not being reimbursed for our services or an increase in the aging of our accounts receivable, which could adversely affect our results of operations and cash flows. Failure to comply with applicable laws relating to billing federal healthcare programs could also lead to various penalties, including:</w:t>
      </w:r>
    </w:p>
    <w:p>
      <w:pPr>
        <w:spacing w:after="0" w:line="4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overpayments and recoupments of reimbursement received;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exclusion from participation in Medicare/Medicaid programs;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forfeitures;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civil and criminal fines and penalties;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various licenses, certificates and authorizations necessary to operate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of these penalties or sanctions could have a material adverse effect on our results of operations or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8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March 2010, the ACA was enacted in the United States. The ACA made a number of substantial changes to the way healthcare is financed both by governmental and private payors. Although the ACA included a medical device tax, the tax never went into effect and was fully repealed by Congress with enactment of the 2019 federal spending package signed into law by President Trump on December 20, 2019.</w:t>
      </w:r>
    </w:p>
    <w:p>
      <w:pPr>
        <w:spacing w:after="0" w:line="15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Since the ACA’s enactment, there have been judicial and Congressional challenges to certain aspects of the ACA, and as a result, certain sections of the ACA have not been fully implemented or were effectively repealed. However,</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3" w:name="page34"/>
    <w:bookmarkEnd w:id="33"/>
    <w:p>
      <w:pPr>
        <w:ind w:right="60"/>
        <w:spacing w:after="0" w:line="236" w:lineRule="auto"/>
        <w:rPr>
          <w:sz w:val="20"/>
          <w:szCs w:val="20"/>
          <w:color w:val="auto"/>
        </w:rPr>
      </w:pPr>
      <w:r>
        <w:rPr>
          <w:rFonts w:ascii="Arial" w:cs="Arial" w:eastAsia="Arial" w:hAnsi="Arial"/>
          <w:sz w:val="18"/>
          <w:szCs w:val="18"/>
          <w:color w:val="auto"/>
        </w:rPr>
        <w:t>following several years of litigation in the federal courts, in June 2021, the United States Supreme Court, or the Supreme Court, upheld the ACA when it dismissed a legal challenge to the Act’s constitutionality. Further legislative and regulatory changes under the ACA remain possible, although the new Democrat-led presidential administration has been taking steps to strengthen the ACA and the 117th Congress is not expected to have the same interest in repealing the law, in part due to the healthcare economic impacts of the ongoing COVID-19 pandemic on many subsets of the U.S. population. Future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 in the U.S. The uncertainty around the future of the ACA, and in particular the impact to reimbursement levels and the number of insured individuals, may lead to delay in the purchasing decisions of our customers.</w:t>
      </w:r>
    </w:p>
    <w:p>
      <w:pPr>
        <w:spacing w:after="0" w:line="15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2% per fiscal year pursuant to the Budget Control Act of 2011, which went into effect on April 1, 2013, and due to subsequent legislative amendments to the statute, will remain in effect through 2030, unless additional Congressional action is taken. The Coronavirus Aid, Relief, and Economic Security Act (the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Congress subsequently extended the sequester suspension period to June 30, 2022, with a 1% sequester in effect from April 1, 2022 to June 30, 2022. In addition, the American Taxpayer Relief Act of 2012, among other things, further reduced Medicare payments to certain providers and increased the statute of limitations period for the government to recover overpayments to providers from three to five years. Additional state and federal healthcare reform measures may also be adopted in the future, any of which could have a material adverse effect on the clinical laboratory industry.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Regulatory Requirements</w:t>
      </w:r>
    </w:p>
    <w:p>
      <w:pPr>
        <w:spacing w:after="0" w:line="18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laboratory is subject on an ongoing basis to federal, state and local laws and regulations governing the use, storage, handling and disposal of regulated medical waste, hazardous waste and biohazardous waste, including chemicals, biological agents and compounds and blood and other tissue specimens. Typically, we use licensed or otherwise qualified outside vendors to dispose of this waste. However, many of these laws and regulations provide 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and depends on a number of factors, including the amount and nature of waste we produce (which depends in part on the number of tests we perform) and the terms we negotiate with our waste disposal vendors. In 2021, we disposed of all hazardous and/or medical waste that we produced across our entire business through environmentally sound methods.</w:t>
      </w:r>
    </w:p>
    <w:p>
      <w:pPr>
        <w:spacing w:after="0" w:line="153"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Our operations are also subject to extensive requirements established by the U.S. Occupational Safety and Health Administration relating to workplace safety for healthcare employees, including requirements to develop and implement programs to protect workers from exposure to blood-borne pathogens by preventing or minimizing any exposure through needle stick or similar penetrating injuries.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of December 31, 2021, we had 219 full-time employees, and 3 part-time employees in the United States. These included 47 in laboratory operations, 20 in research and development, 83 in sales and marketing and 69 in general and administrative functions. None of our employees is represented by a labor union or covered by a collective bargaining agreement. We consider our relationship with our employees to be good.</w:t>
      </w:r>
    </w:p>
    <w:p>
      <w:pPr>
        <w:spacing w:after="0" w:line="15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recognize that attracting, motivating and retaining talent at all levels is vital to our continued success. Our employees are a significant asset and we aim to create an equitable, inclusive and empowering environment in which our employees can grow and advance their careers, with the overall goal of developing, expanding and retaining our workforce to support our current pipeline and future business goals. By focusing on employee retention and engagement, we also improve our ability to support our business and operations, our pipeline, and also protect the long-term interests of our securityholders. Our success also depends on our ability to attract, engage and retain a diverse group of employees. Our efforts to recruit and retain a diverse and passionate workforce include providing competitive compensation and benefits packages and ensuring we listen to our employees.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4" w:name="page35"/>
    <w:bookmarkEnd w:id="34"/>
    <w:p>
      <w:pPr>
        <w:ind w:right="380"/>
        <w:spacing w:after="0" w:line="246" w:lineRule="auto"/>
        <w:rPr>
          <w:sz w:val="20"/>
          <w:szCs w:val="20"/>
          <w:color w:val="auto"/>
        </w:rPr>
      </w:pPr>
      <w:r>
        <w:rPr>
          <w:rFonts w:ascii="Arial" w:cs="Arial" w:eastAsia="Arial" w:hAnsi="Arial"/>
          <w:sz w:val="18"/>
          <w:szCs w:val="18"/>
          <w:color w:val="auto"/>
        </w:rPr>
        <w:t>We value innovation, passion, data-driven decision making, persistence and honesty, and are building a diverse environment where our employees can thrive and be inspired to make exceptional contributions to bring novel testing products to patients.</w:t>
      </w:r>
    </w:p>
    <w:p>
      <w:pPr>
        <w:spacing w:after="0" w:line="14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human capital resources objectives include, as applicable, identifying, recruiting, retaining, motivating and integrating our existing and future employees. The principal purposes of our equity incentive plans are to attract, retain and motivate selected employees and directors through grants of stock-based compensation awards and payments of cash-based performance bonus awards, in order to increase stockholder value and the success of our company by motivating our employees to perform to the best of their abilities and achieve our objectives. We are committed to providing a competitive and comprehensive benefits package to our employees. Our benefits package provides a balance of protection along with the flexibility to meet the individual health and wellness needs of our employees. We plan to continue to refine our efforts related to optimizing our use of human capital as we grow, including improvements in the way we hire, develop, motivate and retain employees.</w:t>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To address the safety and health of our workforce due to the COVID-19 pandemic, we created a committee consisting of six members of our management team and implemented the following, among other steps:</w:t>
      </w:r>
    </w:p>
    <w:p>
      <w:pPr>
        <w:spacing w:after="0" w:line="14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Established new safety protocols and procedures;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Maintained regular communication regarding the impacts of the pandemic on our employees and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Developed and distributed a playbook to guide the safe return to offices, communities, and work sites;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Provided paid time-off for those directly impacted by COVID-19, and instructed those who were infected to stay home;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sanitation protocols across the entire campus;</w:t>
      </w:r>
    </w:p>
    <w:p>
      <w:pPr>
        <w:spacing w:after="0" w:line="157" w:lineRule="exact"/>
        <w:rPr>
          <w:rFonts w:ascii="Arial" w:cs="Arial" w:eastAsia="Arial" w:hAnsi="Arial"/>
          <w:sz w:val="18"/>
          <w:szCs w:val="18"/>
          <w:color w:val="auto"/>
        </w:rPr>
      </w:pPr>
    </w:p>
    <w:p>
      <w:pPr>
        <w:ind w:left="660" w:right="620" w:hanging="328"/>
        <w:spacing w:after="0" w:line="24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Established physical distancing procedures, modified workspaces; and provided personal protective equipment and cleaning supplies for employees who needed to be onsite; and</w:t>
      </w:r>
    </w:p>
    <w:p>
      <w:pPr>
        <w:spacing w:after="0" w:line="142" w:lineRule="exact"/>
        <w:rPr>
          <w:rFonts w:ascii="Arial" w:cs="Arial" w:eastAsia="Arial" w:hAnsi="Arial"/>
          <w:sz w:val="18"/>
          <w:szCs w:val="18"/>
          <w:color w:val="auto"/>
        </w:rPr>
      </w:pPr>
    </w:p>
    <w:p>
      <w:pPr>
        <w:ind w:left="660" w:right="660" w:hanging="328"/>
        <w:spacing w:after="0" w:line="24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Created and refined protocols to address actual and suspected COVID-19 cases and potential exposures of our employees, customers, and trade partners.</w:t>
      </w:r>
    </w:p>
    <w:p>
      <w:pPr>
        <w:spacing w:after="0" w:line="14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conduct periodic anonymous employee surveys aimed at measuring the overall satisfaction of our team and address issues brought to our attention, such as adherence to social distancing standards and vaccination acceptance. The results consistently show that our employees believe in our mandate and consider their work valuable and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organization recognizes the importance of diversity and inclusion in recruiting, developing and retaining the best available talent. We are committed to further understand and build upon our diversity and inclusion strengths and are in the process of identifying opportunities and developing initiatives.</w:t>
      </w:r>
    </w:p>
    <w:p>
      <w:pPr>
        <w:spacing w:after="0" w:line="20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of December 31, 2021, our employees were 59.5% female and 40.5% male. Our overall employee population as of December 31, 2021 was 57.6% White, 20.7% Hispanic or Latino, 13.2% Asian, 3.5% Native Hawaiian or other Pacific Islander, 3.0% Black or African -American and 2.0% two or more races (not Hispanic or Latino) and other. In executive positions, which we define as Senior Vice President and above, our employee population as of December 31, 2021 was 85.7% White and 14.3% Asian. Females represented 28.5% of employees in executive positions. In addition, three of our nine Board of Directors are female and two directors are Hispanic or Latino as of December 31, 2021. We are continuing to further assess and understand additional measures of diversity.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Matters</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2020, we undertook a review of our environmental, social and governance, or ESG, matters. In 2021, we released our initial Sustainability Report. In 2022, we created an Environmental, Social and Governance Committee, or the ESG Committee, with the purpose, duties and responsibility to reviewing and recommending our ESG programs, policies and practices relating to ESG issues. The ESG Committee meets formally at least quarterly and plans to make recommendations to our President and Chief Executive Officer to be presented to the Audit Committee of our Board of Directors. For more information regarding our ESG initiatives, please refer to www.exagen.com/investors.</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70" w:right="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Suppliers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rely on sole suppliers for the critical supply of reagents, equipment and other materials that we use to perform the tests that comprise our</w:t>
      </w:r>
    </w:p>
    <w:p>
      <w:pPr>
        <w:spacing w:after="0" w:line="183"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purchase components used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transportation kits from sole-source suppliers.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Some of these items are unique to these suppliers and vendors.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manage our operations and allocate resources as a single reporting segment. Financial information regarding our operations, assets and liabilities, including our net loss for the years ended December 31, 2021 and 2020 and our total assets as of December 31, 2021 and 2020, is included in our Financial Statements in Item 8 of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 our name to Exagen Diagnostics, Inc. In January 2019, we changed our name to Exagen Inc. Our principal executive offices are located at 1261 Liberty Way, Vista, California 92081. Our telephone number is (760) 560-1501. Our website address is www.exagen.com. The information contained in, or accessible through, our website is not part of, and is not incorporated by reference into, this Annual Report. Investors should not rely on any such information in deciding whether to purchase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file Annual Reports on Form 10-K, Quarterly Reports on Form 10-Q, Current Reports on Form 8-K and other information with the Securities and Exchange Commission, or SEC. Our filings with the SEC are available free of charge on the SEC’s website at www.sec.gov and on the "Investors" section of our website as soon as reasonably practicable after we electronically file such material with, or furnish it to, the SEC.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included in this Annual Report on Form 10-K, including our financial statements and related notes and "Management’s Discussion and Analysis of Financial Condition and Results of Operations," before making an investment decision to purchase or sell shares of our common stock. If any of the following risks are realized, our business, financial condition, results of operations and prospects could be materially and adversely affected. In that event, the trading price of our common stock could decline, and you could lose part or all of your investment. The risks described below are not the only ones that we may face, and additional risks or uncertainties not known to us or that we currently deem immaterial may also impair our business and future prospects.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8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risk factors described below are a summary of the principal risk factors associated with an investment in us. These are not the only risks we face. You should carefully consider these risk factors, together with the risk factors set forth in this Item 1A:</w:t>
      </w:r>
    </w:p>
    <w:p>
      <w:pPr>
        <w:spacing w:after="0" w:line="48" w:lineRule="exact"/>
        <w:rPr>
          <w:sz w:val="20"/>
          <w:szCs w:val="20"/>
          <w:color w:val="auto"/>
        </w:rPr>
      </w:pPr>
    </w:p>
    <w:p>
      <w:pPr>
        <w:ind w:left="660" w:right="960" w:hanging="328"/>
        <w:spacing w:after="0" w:line="24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subject to risks arising from epidemic diseases, such as the continuing global pandemic of the COVID-19 coronavirus;</w:t>
      </w:r>
    </w:p>
    <w:p>
      <w:pPr>
        <w:spacing w:after="0" w:line="61" w:lineRule="exact"/>
        <w:rPr>
          <w:rFonts w:ascii="Arial" w:cs="Arial" w:eastAsia="Arial" w:hAnsi="Arial"/>
          <w:sz w:val="18"/>
          <w:szCs w:val="18"/>
          <w:color w:val="auto"/>
        </w:rPr>
      </w:pPr>
    </w:p>
    <w:p>
      <w:pPr>
        <w:ind w:left="660" w:right="400" w:hanging="328"/>
        <w:spacing w:after="0" w:line="24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losses, we expect to incur net losses in the future and we may not be able to generate sufficient revenue to achieve and maintain profitability;</w:t>
      </w:r>
    </w:p>
    <w:p>
      <w:pPr>
        <w:spacing w:after="0" w:line="48" w:lineRule="exact"/>
        <w:rPr>
          <w:rFonts w:ascii="Arial" w:cs="Arial" w:eastAsia="Arial" w:hAnsi="Arial"/>
          <w:sz w:val="18"/>
          <w:szCs w:val="18"/>
          <w:color w:val="auto"/>
        </w:rPr>
      </w:pPr>
    </w:p>
    <w:p>
      <w:pPr>
        <w:ind w:left="660" w:right="580" w:hanging="328"/>
        <w:spacing w:after="0" w:line="24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near-term, we expect that our financial results will depend primarily on sales of our testing products, and we will need to generate sufficient revenue from these testing products to grow our business;</w:t>
      </w:r>
    </w:p>
    <w:p>
      <w:pPr>
        <w:spacing w:after="0" w:line="48" w:lineRule="exact"/>
        <w:rPr>
          <w:rFonts w:ascii="Arial" w:cs="Arial" w:eastAsia="Arial" w:hAnsi="Arial"/>
          <w:sz w:val="18"/>
          <w:szCs w:val="18"/>
          <w:color w:val="auto"/>
        </w:rPr>
      </w:pPr>
    </w:p>
    <w:p>
      <w:pPr>
        <w:ind w:left="660" w:right="180" w:hanging="328"/>
        <w:spacing w:after="0" w:line="23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growth depends, in part, on our ability to execute on our strategy of integrating the promotion of our existing and future proprietary testing products with the promotion of therapeutics through third party collaborations and strategic partnerships, and we may be unsuccessful in our efforts to establish such relationships or our promotion efforts after any such relationships are established, which could adversely affect our ability to implement this strategy;</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6" w:name="page37"/>
    <w:bookmarkEnd w:id="36"/>
    <w:p>
      <w:pPr>
        <w:ind w:left="660" w:hanging="328"/>
        <w:spacing w:after="0"/>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secure and maintain partners for our integrated testing and therapeutics strategy, or if our future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manage our ongoing growth effectively, which could make it difficult to execute our business strategy;</w:t>
      </w:r>
    </w:p>
    <w:p>
      <w:pPr>
        <w:spacing w:after="0" w:line="63" w:lineRule="exact"/>
        <w:rPr>
          <w:rFonts w:ascii="Arial" w:cs="Arial" w:eastAsia="Arial" w:hAnsi="Arial"/>
          <w:sz w:val="18"/>
          <w:szCs w:val="18"/>
          <w:color w:val="auto"/>
        </w:rPr>
      </w:pPr>
    </w:p>
    <w:p>
      <w:pPr>
        <w:ind w:left="660" w:right="16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commercial success depends on attaining and maintaining significant market acceptance of our testing products and promoted therapeutics among rheumatologists, patients, third-party payors and others in the medical community;</w:t>
      </w:r>
    </w:p>
    <w:p>
      <w:pPr>
        <w:spacing w:after="0" w:line="48" w:lineRule="exact"/>
        <w:rPr>
          <w:rFonts w:ascii="Arial" w:cs="Arial" w:eastAsia="Arial" w:hAnsi="Arial"/>
          <w:sz w:val="18"/>
          <w:szCs w:val="18"/>
          <w:color w:val="auto"/>
        </w:rPr>
      </w:pPr>
    </w:p>
    <w:p>
      <w:pPr>
        <w:ind w:left="660" w:right="18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sole suppliers for some of the reagents, equipment and other materials used in our testing products, and we may not be able to fund replacements or transition to alternative suppliers;</w:t>
      </w:r>
    </w:p>
    <w:p>
      <w:pPr>
        <w:spacing w:after="0" w:line="61" w:lineRule="exact"/>
        <w:rPr>
          <w:rFonts w:ascii="Arial" w:cs="Arial" w:eastAsia="Arial" w:hAnsi="Arial"/>
          <w:sz w:val="18"/>
          <w:szCs w:val="18"/>
          <w:color w:val="auto"/>
        </w:rPr>
      </w:pPr>
    </w:p>
    <w:p>
      <w:pPr>
        <w:ind w:left="660" w:right="28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support demand for our current testing products or any of our future testing products or solutions, our business could suffer;</w:t>
      </w:r>
    </w:p>
    <w:p>
      <w:pPr>
        <w:spacing w:after="0" w:line="48" w:lineRule="exact"/>
        <w:rPr>
          <w:rFonts w:ascii="Arial" w:cs="Arial" w:eastAsia="Arial" w:hAnsi="Arial"/>
          <w:sz w:val="18"/>
          <w:szCs w:val="18"/>
          <w:color w:val="auto"/>
        </w:rPr>
      </w:pPr>
    </w:p>
    <w:p>
      <w:pPr>
        <w:ind w:left="660" w:right="40" w:hanging="328"/>
        <w:spacing w:after="0"/>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third-party payors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payor contracts, our commercial success could be compromised;</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compete successfully, we may be unable to increase or sustain our revenue or achieve profitability;</w:t>
      </w:r>
    </w:p>
    <w:p>
      <w:pPr>
        <w:spacing w:after="0" w:line="76" w:lineRule="exact"/>
        <w:rPr>
          <w:rFonts w:ascii="Arial" w:cs="Arial" w:eastAsia="Arial" w:hAnsi="Arial"/>
          <w:sz w:val="18"/>
          <w:szCs w:val="18"/>
          <w:color w:val="auto"/>
        </w:rPr>
      </w:pPr>
    </w:p>
    <w:p>
      <w:pPr>
        <w:ind w:left="660" w:right="42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new testing products involves a lengthy and complex process, and we may not be able to commercialize on a timely basis, or at all, other testing products we are developing;</w:t>
      </w:r>
    </w:p>
    <w:p>
      <w:pPr>
        <w:spacing w:after="0" w:line="48"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w:t>
      </w:r>
    </w:p>
    <w:p>
      <w:pPr>
        <w:spacing w:after="0" w:line="37" w:lineRule="exact"/>
        <w:rPr>
          <w:rFonts w:ascii="Arial" w:cs="Arial" w:eastAsia="Arial" w:hAnsi="Arial"/>
          <w:sz w:val="17"/>
          <w:szCs w:val="17"/>
          <w:color w:val="auto"/>
        </w:rPr>
      </w:pPr>
    </w:p>
    <w:p>
      <w:pPr>
        <w:jc w:val="both"/>
        <w:ind w:left="660" w:right="380" w:hanging="328"/>
        <w:spacing w:after="0"/>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maintain intellectual property protection our competitive position could be harmed; and</w:t>
      </w:r>
    </w:p>
    <w:p>
      <w:pPr>
        <w:spacing w:after="0" w:line="63" w:lineRule="exact"/>
        <w:rPr>
          <w:rFonts w:ascii="Arial" w:cs="Arial" w:eastAsia="Arial" w:hAnsi="Arial"/>
          <w:sz w:val="18"/>
          <w:szCs w:val="18"/>
          <w:color w:val="auto"/>
        </w:rPr>
      </w:pPr>
    </w:p>
    <w:p>
      <w:pPr>
        <w:ind w:left="660" w:right="240" w:hanging="328"/>
        <w:spacing w:after="0"/>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12"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b w:val="1"/>
          <w:bCs w:val="1"/>
          <w:i w:val="1"/>
          <w:iCs w:val="1"/>
          <w:color w:val="auto"/>
        </w:rPr>
        <w:t>Our business is subject to risks arising from epidemic diseases, such as the continuing global pandemic of the COVID-19 coronavirus.</w:t>
      </w:r>
    </w:p>
    <w:p>
      <w:pPr>
        <w:spacing w:after="0" w:line="12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have taken actions in an effort to slow the spread of COVID-19, including issuing varying forms of "stay-at-home" orders, restricting business functions outside of one's home, restricting gatherings, restricting travel, and mandating social distancing and face coverings. While many jurisdictions have fully reopened or have begun a phased re-opening, the potential to return to prior restrictions remains if there are future increases (or, in some jurisdictions, continued increases) in new cases of COVID-19 or any of its viral variants, including the Delta and Omicron variants. The duration of any restrictions may also vary depending on the ultimate success of ongoing vaccination efforts. Even in areas where "stay-at-home" restrictions, masking and social distancing measures have been lifted and the number of COVID-19 cases have declined, some jurisdictions may re-impose these measures as and if variant strains emerge or cases rise. Many individuals remain cautious about resuming activities such as preventative-care medical visits. A pandemic, including COVID-19 or other public health epidemic, poses the risk that we or our employees, contractors, suppliers, third-party shipping carriers, government and third-party payors and other members of our supply chain may be prevented from conducting business activities for an indefinite period of time, including due to spread of the disease within these groups or due to shutdowns that may be requested or mandated by governmental authorities. As a result of COVID-19 related limitations and reordering of priorities across the U.S. healthcare system, a reduction in patient flow occurred and our test volumes began to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7" w:name="page38"/>
    <w:bookmarkEnd w:id="37"/>
    <w:p>
      <w:pPr>
        <w:ind w:right="20"/>
        <w:spacing w:after="0" w:line="213" w:lineRule="auto"/>
        <w:rPr>
          <w:sz w:val="20"/>
          <w:szCs w:val="20"/>
          <w:color w:val="auto"/>
        </w:rPr>
      </w:pPr>
      <w:r>
        <w:rPr>
          <w:rFonts w:ascii="Arial" w:cs="Arial" w:eastAsia="Arial" w:hAnsi="Arial"/>
          <w:sz w:val="18"/>
          <w:szCs w:val="18"/>
          <w:color w:val="auto"/>
        </w:rPr>
        <w:t>decrease in the second half of March 2020 and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decrease of approximately 5% in the year ended December 31, 2020 as compared to 2019. In the fourth quarter of 2020, our volume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exceeded our pre-COVID-19 levels. For the three months ended December 31, 2021 as compared to the same period in 2020,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increase of approximately 19%. For the year ended December 31, 2021 as compared to the same period in 2020,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28%. However, the continued spread of COVID-19 and patient hesitancy in seeking preventative medical care, the extent of which are dependent on circumstances that are highly uncertain, may adversely affect testing volumes in future periods. Healthcare providers and patients have canceled or delayed scheduling, and for an extended period of time may continue to cancel or delay scheduling, standard wellness visits and other non-emergency appointments and procedures, contributing to a decline in orders of our testing products. Any economic downturn may also result in closures of the practices of our primary customers.</w:t>
      </w:r>
    </w:p>
    <w:p>
      <w:pPr>
        <w:spacing w:after="0" w:line="15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as our inability to achieve or re-negotiate volume-based discounts with our key suppliers and to absorb fixed laboratory expenses. For example, we have experienced delays in patient enrollment for ongoing and planned clinical studies involving our tests, which may delay or prevent launch of future test products. Our sales force has been, and for an extended period of time may continue to be, limited to their in-person interactions with healthcare providers, and therefore, also limited their ability to engage in various types of healthcare provider education activities. The portion of our workforce which has been working remotely in an effort to reduce the spread of COVID-19, may be infected from the virus or otherwise impaired. We have also experienced delays, beginning in the first quarter of 2021, in procurement of our testing supplies due in part to disruptions to the global supply chain resulting from the COVID-19 pandemic, which may continue into the future, and our partners, may also experience a disruption in their ability to readily obtain supply. We are facing and may continue to face increased competition for laboratory and scientific employees due to the increased demand in the industry for such personnel. We may inaccurately estimate the duration or severity of the COVID-19 pandemic, which could cause us to misalign our staffing, spending, activities and precautionary measures with market current or future market conditions.</w:t>
      </w:r>
    </w:p>
    <w:p>
      <w:pPr>
        <w:spacing w:after="0" w:line="15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laboratory operations, including laboratory employees and medical directors, may be subject to closure or shut down, either due to the spread of the disease within these individuals, or as part of a larger scale government recommendation or mandate. Disruption in our laboratory operations could have a material adverse effect on our business and could impede our ability to process tests in a timely manner, or at all.</w:t>
      </w:r>
    </w:p>
    <w:p>
      <w:pPr>
        <w:spacing w:after="0" w:line="15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occurrence of any of the foregoing events could have a material adverse effect on our business, financial condition and results of operations. The COVID-19 pandemic and mitigation measures have had and may continue to have an adverse impact on global economic conditions which could have an adverse effect on our business and financial condition, including impairing our ability to raise capital on a timely basis or at all. The extent to which the COVID-19 pandemic impacts our results will depend on future developments that are highly uncertain and cannot be predicted, including new information that may emerge concerning the severity of the virus and the actions to contain its impact. COVID-19 may also have the effect of heightening many of the other risks described in this section.</w:t>
      </w:r>
    </w:p>
    <w:p>
      <w:pPr>
        <w:spacing w:after="0" w:line="18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 have a history of losses, we expect to incur net losses in the future and we may not be able to generate sufficient revenue to achieve and maintain profitability.</w:t>
      </w:r>
    </w:p>
    <w:p>
      <w:pPr>
        <w:spacing w:after="0" w:line="122"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We have incurred net losses since our inception. For the years ended December 31, 2021 and 2020, we incurred net losses of $26.9 and $16.7 million, respectively, and we expect to incur additional losses in 2022 and in future years. As of December 31, 2021, we had an accumulated deficit of $208.1 million. Over the next several years, we expect to continue to devote substantially all of our resources to increase adoption of, and reimbursement for, our testing products, to develop future testing products and intend to continue to pursue our integrated testing and therapeutics strategy. We have experienced and may continue to experience decreases in test volumes due to the impact of the COVID-19 pandemic. We may not be able to generate sufficient revenue to achieve and maintain profitability. Our failure to achieve and maintain profitability in the future could cause the market price of our common stock to decline.</w:t>
      </w:r>
    </w:p>
    <w:p>
      <w:pPr>
        <w:spacing w:after="0" w:line="18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In the near-term, we expect that our financial results will depend primarily on sales of our testing products, and we will need to generate sufficient revenue from these testing products to grow our business.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0" w:right="359" w:bottom="1440" w:gutter="0" w:footer="0" w:header="0"/>
        </w:sectPr>
      </w:pPr>
    </w:p>
    <w:bookmarkStart w:id="38" w:name="page39"/>
    <w:bookmarkEnd w:id="38"/>
    <w:p>
      <w:pPr>
        <w:ind w:right="160"/>
        <w:spacing w:after="0" w:line="212" w:lineRule="auto"/>
        <w:rPr>
          <w:sz w:val="20"/>
          <w:szCs w:val="20"/>
          <w:color w:val="auto"/>
        </w:rPr>
      </w:pPr>
      <w:r>
        <w:rPr>
          <w:rFonts w:ascii="Arial" w:cs="Arial" w:eastAsia="Arial" w:hAnsi="Arial"/>
          <w:sz w:val="18"/>
          <w:szCs w:val="18"/>
          <w:color w:val="auto"/>
        </w:rPr>
        <w:t>A significant majority of our historical revenue has been derived from the sale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 which we commercially launched in 2012. In the near term, we expect to continue to derive a majority of our revenue from sales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We are in various stages of research and development with respect to other testing products that we may offer, but there can be no assurance that we will be able to commercialize these testing products.</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we may not be able to sustain this growth or maintain existing revenue levels. Further, we cannot ensure the continued availability of our testing products in commercial quantities at acceptable costs. If we are unable to increase sales of our testing products, expand reimbursement for our testing products, or successfully develop and commercialize additional testing products, our revenue and our ability to achieve and sustain profitability would be impaired, and the market price of our common stock could decline.</w:t>
      </w:r>
    </w:p>
    <w:p>
      <w:pPr>
        <w:spacing w:after="0" w:line="18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Our future growth depends, in part, on our ability to execute on our strategy of integrating the promotion of our existing and future proprietary testing products with the promotion of therapeutics through third party collaborations and strategic partnerships, and we may be unsuccessful in our efforts to establish such relationships or our promotion efforts after any such relationships are established, which could adversely affect our ability to implement this strategy.</w:t>
      </w:r>
    </w:p>
    <w:p>
      <w:pPr>
        <w:spacing w:after="0" w:line="14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intend to integrate our historical testing products business with the promotion of therapeutics in an integrated testing and therapeutics strategy. Our integrated testing and therapeutics strategy would leverage our sales and marketing efforts, targeting rheumatologists for the commercialization of our testing products in co-promotion with therapeutics. As a result, our future growth is dependent, in part, on the success of this strategy. The Janssen Agreement was terminated effective as of August 31, 2021. While we remain optimistic about the strategy of providing an integrated testing and therapeutics model, we may be unsuccessful in our efforts to establish relationships with collaborators in the future. Even if we successfully establish these relationships, our ability to effectively implement this strategy will depend on our or our collaborator's ability to create demand for the applicable therapeutic through our or our collaborator's commercial and sales activities. Moreover, we may encounter difficulties in maintaining an effective sales force in furtherance of these co-promotion efforts. We have a limited history partnering with pharmaceutical companies for the promotion of therapeutics. Consequently, any predictions made about our future success or viability with respect to our promotion activities may not be as accurate as they could be if we had a history of successfully co-promoting therapeutics.</w:t>
      </w:r>
    </w:p>
    <w:p>
      <w:pPr>
        <w:spacing w:after="0" w:line="15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If we fail to successfully establish and maintain relationships with these collaborators and strategic partners, our ability to implement our integrated testing and therapeutics strategy and generate sufficient revenue to grow and sustain our business, and our business, financial condition and results of operations, will be adversely affected.</w:t>
      </w:r>
    </w:p>
    <w:p>
      <w:pPr>
        <w:spacing w:after="0" w:line="181"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b w:val="1"/>
          <w:bCs w:val="1"/>
          <w:i w:val="1"/>
          <w:iCs w:val="1"/>
          <w:color w:val="auto"/>
        </w:rPr>
        <w:t>If we are unable to secure and maintain partners for our integrated testing and therapeutics strategy, or if our future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13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intend to opportunistically evaluate, and may continue to enter into, agreements with pharmaceutical companies to integrate the promotion of our testing products with their therapeutics. We have also entered into, and may continue to enter into, other agreements that leverage our testing products and/or data generated from such tests. For example, we provide GSK our test result data to provide market insights for their commercial organization.</w:t>
      </w:r>
    </w:p>
    <w:p>
      <w:pPr>
        <w:spacing w:after="0" w:line="151"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The amount and timing of resources applied by our potential future partners may be largely outside of our control. For example, we had limited control over, and relied on Janssen for, numerous activities that were critical to our ability to successfully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such as pricing decisions, manufacture and supply of SIMPONI</w:t>
      </w:r>
      <w:r>
        <w:rPr>
          <w:rFonts w:ascii="Arial" w:cs="Arial" w:eastAsia="Arial" w:hAnsi="Arial"/>
          <w:sz w:val="23"/>
          <w:szCs w:val="23"/>
          <w:color w:val="auto"/>
          <w:vertAlign w:val="superscript"/>
        </w:rPr>
        <w:t>®</w:t>
      </w:r>
      <w:r>
        <w:rPr>
          <w:rFonts w:ascii="Arial" w:cs="Arial" w:eastAsia="Arial" w:hAnsi="Arial"/>
          <w:sz w:val="18"/>
          <w:szCs w:val="18"/>
          <w:color w:val="auto"/>
        </w:rPr>
        <w:t>, reimbursement support, marketing materials, the prosecution and enforcement of patents and other intellectual property rights related to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public communications and presentations regarding SIMPONI</w:t>
      </w:r>
      <w:r>
        <w:rPr>
          <w:rFonts w:ascii="Arial" w:cs="Arial" w:eastAsia="Arial" w:hAnsi="Arial"/>
          <w:sz w:val="23"/>
          <w:szCs w:val="23"/>
          <w:color w:val="auto"/>
          <w:vertAlign w:val="superscript"/>
        </w:rPr>
        <w:t>®</w:t>
      </w:r>
      <w:r>
        <w:rPr>
          <w:rFonts w:ascii="Arial" w:cs="Arial" w:eastAsia="Arial" w:hAnsi="Arial"/>
          <w:sz w:val="18"/>
          <w:szCs w:val="18"/>
          <w:color w:val="auto"/>
        </w:rPr>
        <w:t>. We likewise had limited control of how our other partners use the information provided by our testing products. The Janssen Agreement was terminated effective as of August 31, 2021.</w:t>
      </w:r>
    </w:p>
    <w:p>
      <w:pPr>
        <w:spacing w:after="0" w:line="15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If any of our future partners breaches or terminates our agreements, or fails to conduct the activities contemplated by our agreements in a timely manner, our success promoting the applicable therapeutics, testing products or information provided thereby could be diminished or blocked completely. It is possible that our future partners will change their strategic focus, pursue alternative technologies or develop alternative products, either on their own or in collaboration with others. The effectiveness of our future partners, if any, in marketing the applicable therapeutics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0" w:right="379" w:bottom="1440" w:gutter="0" w:footer="0" w:header="0"/>
        </w:sectPr>
      </w:pPr>
    </w:p>
    <w:bookmarkStart w:id="39" w:name="page40"/>
    <w:bookmarkEnd w:id="39"/>
    <w:p>
      <w:pPr>
        <w:ind w:right="260"/>
        <w:spacing w:after="0"/>
        <w:rPr>
          <w:sz w:val="20"/>
          <w:szCs w:val="20"/>
          <w:color w:val="auto"/>
        </w:rPr>
      </w:pPr>
      <w:r>
        <w:rPr>
          <w:rFonts w:ascii="Arial" w:cs="Arial" w:eastAsia="Arial" w:hAnsi="Arial"/>
          <w:sz w:val="18"/>
          <w:szCs w:val="18"/>
          <w:color w:val="auto"/>
        </w:rPr>
        <w:t>will also affect our revenue and earnings. In addition, if our future partners encounter problems with our testing products or information provided by our testing products that they rely on as part of their efforts, our reputation and that of our testing products could be damaged, and it could impair our ability to enter into future agreements to promote therapeutics.</w:t>
      </w:r>
    </w:p>
    <w:p>
      <w:pPr>
        <w:spacing w:after="0" w:line="14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With respect to any of our partners with which we enter into co-promotion agreements, we rely on the partner to provide, on a timely basis, an adequate and reliable supply of the relevant therapeutic product. Any delay or interruption of supply or the partner's failure to comply with regulatory or other requirements could limit our or our partners' ability to make, or cause it to cease sales, of the therapeutic product. Any manufacturing defect or error discovered after the partner's therapeutic product has been produced and distributed could result in even more significant consequences, including costly recall procedures. In addition, the importation of pharmaceutical products into the United States is subject to regulation by the FDA, and the FDA can refuse to allow an imported product into the United States if it appears that the product fails to comply with applicable laws or regulations. Moreover, the partner or its respective third-party manufacturers and suppliers may experience difficulties related to their overall business and financial stability. To the extent the partner faces manufacturing difficulties or are unable to provide an adequate and reliable supply of the relevant therapeutic product on a timely basis, our reputation could be harmed and our business could have suffered.</w:t>
      </w:r>
    </w:p>
    <w:p>
      <w:pPr>
        <w:spacing w:after="0" w:line="15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do not have the capability and do not intend to discover or develop therapeutics on our own. Therefore, the success of our integrated testing and therapeutics strategy depends in part on our ability to acquire additional rights to promote therapeutics from new partners. Other companies, many of which have substantially greater financial, marketing and sales resources than we do, also compete with us for the acquisition of rights to therapeutics. In addition, depending on our agreements with our future partners, we may be prohibited from selling or promoting certain types of products that are used to treat the same indications that such partner's therapeutic is used to treat. We may not be able to successfully negotiate any additional agreements to promote therapeutics and, if established, these relationships may not be successful. For example, potential partners, particularly those that are actively marketing their own therapeutics, may be unwilling to license commercialization rights to us or otherwise enter into terms that allow us to meaningfully participate in sales growth for their products, which could limit the potential availability and value to us of additional agreements to promote therapeutics. The inability to enter into agreements for additional therapeutics could limit the overall growth of our business and adversely affect our business, financial condition and results of operations. Disputes could also arise between us and our existing or future partners, as to a variety of matters, including financial and intellectual property matters or other obligations under our agreements. These disputes would be both expensive and time-consuming and may result in delays in the success of therapeutics or could damage our relationship with a partner.</w:t>
      </w:r>
    </w:p>
    <w:p>
      <w:pPr>
        <w:spacing w:after="0" w:line="18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may be unable to manage our ongoing and future growth effectively, which could make it difficult to execute our business strategy.</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to the need to scale our testing capacity, our future growth plans will also impose significant added responsibilities on management, including the need to identify, recruit, train and integrate additional employees and the need to manage additional relationships with various partners, suppliers and other third parties. In particular, we have 61 representatives as of December 31, 2021 compared to 53 representatives as of December 31, 2020, and expect to continue to evaluate the reach and frequency with rheumatologists, including as we launch our pipeline products. In addition, rapid and significant growth may strain our administrative and operational infrastructure and require us to expand our financial, development, regulatory, manufacturing, marketing and sales capabilities or contract with third parties to provide these capabilities for us. Our ability to manage our business and growth, as well as function as a public company,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We may experience limits on our revenue if rheumatologists decide not to order our testing products or our promoted therapeutics or if we are otherwise unable to create or maintain demand for our testing products and promoted therapeutics.</w:t>
      </w:r>
    </w:p>
    <w:p>
      <w:pPr>
        <w:spacing w:after="0" w:line="12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we are unable to create or maintain demand for either our testing products or promoted therapeutics in sufficient volume, we may not generate sufficient revenue to become profitable. To generate increased demand, we will need to continue to educate rheumatologists about the benefits of our testing products through publications in peer-reviewed medical journals, presentations at medical conferences and other similar means. For example, in the fourth quarter of 2021, we were featured in eight scientific presentations at the 2021 American College of Rheumatology's (ACR) Virtual Annual Conference, ACR Convergence 2021. We will also need to generate demand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0" w:name="page41"/>
    <w:bookmarkEnd w:id="40"/>
    <w:p>
      <w:pPr>
        <w:spacing w:after="0" w:line="237" w:lineRule="auto"/>
        <w:rPr>
          <w:sz w:val="20"/>
          <w:szCs w:val="20"/>
          <w:color w:val="auto"/>
        </w:rPr>
      </w:pPr>
      <w:r>
        <w:rPr>
          <w:rFonts w:ascii="Arial" w:cs="Arial" w:eastAsia="Arial" w:hAnsi="Arial"/>
          <w:sz w:val="18"/>
          <w:szCs w:val="18"/>
          <w:color w:val="auto"/>
        </w:rPr>
        <w:t>for both our testing products and, to the extent we are successful in establishing partnerships granting us the necessary rights, promoted therapeutics, through one-on-one education by our sales force. We also plan to focus on educating patients about the benefits of these testing products and potentially therapeutics, which we believe will be necessary to generate further demand. In addition, our inability to obtain and maintain coverage and adequate reimbursement from third-party payors may limit adoption by rheumatologists, as well as third-party payors exerting pressure on rheumatologists and healthcare providers to order in-network testing products which could adversely affect our revenue.</w:t>
      </w:r>
    </w:p>
    <w:p>
      <w:pPr>
        <w:spacing w:after="0" w:line="151"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Rheumatologists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81"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Our commercial success depends upon attaining and maintaining significant market acceptance of our testing products and promoted therapeutics among rheumatologists, patients, third-party payors and others in the medical community.</w:t>
      </w:r>
    </w:p>
    <w:p>
      <w:pPr>
        <w:spacing w:after="0" w:line="12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Our success depends on our ability to continue to develop and market testing products and promote therapeutics that are recognized and accepted as safe, effective, reliable and cost effective, and any testing product or promoted therapeutic that we offer may not gain or maintain market acceptance among rheumatologists, third-party payors, patients and the medical community. Market acceptance of our testing products and, to the extent we are successful in establishing partnerships granting us the necessary rights, promoted therapeutics, depends on a number of factors, including:</w:t>
      </w:r>
    </w:p>
    <w:p>
      <w:pPr>
        <w:spacing w:after="0" w:line="4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perceived accuracy of our test results by rheumatologists and patients;</w:t>
      </w:r>
    </w:p>
    <w:p>
      <w:pPr>
        <w:spacing w:after="0" w:line="49" w:lineRule="exact"/>
        <w:rPr>
          <w:rFonts w:ascii="Arial" w:cs="Arial" w:eastAsia="Arial" w:hAnsi="Arial"/>
          <w:sz w:val="18"/>
          <w:szCs w:val="18"/>
          <w:color w:val="auto"/>
        </w:rPr>
      </w:pPr>
    </w:p>
    <w:p>
      <w:pPr>
        <w:ind w:left="660" w:right="1020" w:hanging="328"/>
        <w:spacing w:after="0" w:line="24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and perceived advantages of our testing products and promoted therapeutics over alternative products and therapeutics;</w:t>
      </w:r>
    </w:p>
    <w:p>
      <w:pPr>
        <w:spacing w:after="0" w:line="34" w:lineRule="exact"/>
        <w:rPr>
          <w:rFonts w:ascii="Arial" w:cs="Arial" w:eastAsia="Arial" w:hAnsi="Arial"/>
          <w:sz w:val="18"/>
          <w:szCs w:val="18"/>
          <w:color w:val="auto"/>
        </w:rPr>
      </w:pPr>
    </w:p>
    <w:p>
      <w:pPr>
        <w:ind w:left="660" w:right="120" w:hanging="328"/>
        <w:spacing w:after="0" w:line="24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demonstration in clinical studies of the performance and clinical validity of our testing products, the results of which studies may not replicate the positive results from earlier studies;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demonstration of clinical efficacy and safety of our promoted therapeutics compared to other more-established products;</w:t>
      </w:r>
    </w:p>
    <w:p>
      <w:pPr>
        <w:spacing w:after="0" w:line="49" w:lineRule="exact"/>
        <w:rPr>
          <w:rFonts w:ascii="Arial" w:cs="Arial" w:eastAsia="Arial" w:hAnsi="Arial"/>
          <w:sz w:val="18"/>
          <w:szCs w:val="18"/>
          <w:color w:val="auto"/>
        </w:rPr>
      </w:pPr>
    </w:p>
    <w:p>
      <w:pPr>
        <w:ind w:left="660" w:right="360" w:hanging="328"/>
        <w:spacing w:after="0" w:line="24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of new tests or therapeutics products that compete with our testing products or our promoted therapeutics or the introduction of generic versions of our promoted therapeutics;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product cost in relation to alternative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 from our promoted therapeutics;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rheumatologists to prescribe these therapies;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restrictions on the use of our promoted therapeutics, if approved, together with other medications;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publicity concerning our testing products and promoted therapeutics or competing products and treatments;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58"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In addition, if we or our future partners have to withdraw a product from the market, it could harm our business and could impact market acceptance of our other testing products or promoted therapeutics. Further,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consist of various biomarkers, any of which could independently encounter issues with manufacturing, supply or overall quality. If any of the biomarkers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were to encounter any issues, we may experience an impact in the overall success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as a whole, including a reduction in average selling price or overall revenue, until such time as it can be remedied. Moreover, if our testing products and promoted therapeutics do not achieve an adequate level of acceptance by rheumatologists, hospitals, third-party payors or patients, we may not generate sufficient revenue from that testing product or therapeutic and may not become or remain profitable. Our efforts to educate the medical community and third-party payors regarding the benefits of our testing products and promoted therapeutics may require significant resources and may never be successful.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sizes of the markets for our testing products have not been established with precision, and may be smaller than we estimate.</w:t>
      </w:r>
    </w:p>
    <w:p>
      <w:pPr>
        <w:spacing w:after="0" w:line="18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estimates of the annual total addressable markets for our current and potential future testing products are based on a number of internal and third-party estimates. These include, without limitation, the number of patients with autoimmune and autoimmune-related diseases and the assumed prices at which we can sell testing products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41" w:name="page42"/>
    <w:bookmarkEnd w:id="41"/>
    <w:p>
      <w:pPr>
        <w:ind w:right="60"/>
        <w:spacing w:after="0" w:line="237" w:lineRule="auto"/>
        <w:rPr>
          <w:sz w:val="20"/>
          <w:szCs w:val="20"/>
          <w:color w:val="auto"/>
        </w:rPr>
      </w:pPr>
      <w:r>
        <w:rPr>
          <w:rFonts w:ascii="Arial" w:cs="Arial" w:eastAsia="Arial" w:hAnsi="Arial"/>
          <w:sz w:val="18"/>
          <w:szCs w:val="18"/>
          <w:color w:val="auto"/>
        </w:rPr>
        <w:t>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and potential future testing products may prove to be incorrect. If the actual number of patients who would benefit from our testing products and promoted therapeutics, the price at which we and our partners can sell future testing products, or the annual total addressable market for our testing products is smaller than we have estimated, it may impair our sales growth and have an adverse impact on our business.</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testing product or promoted therapeutic and fail to capitalize on other testing products or promoted therapeutics that may be more profitable or for which there is a greater likelihood of success.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Because we have limited financial and managerial resources, we focus on specific testing products and may in the future focus on specific promoted therapeutics. As a result, we may forego or delay pursuit of opportunities with others that could have had greater 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or promoted therapeutic, we may forego other similar arrangements which would have been more advantageous for us to pursue.</w:t>
      </w:r>
    </w:p>
    <w:p>
      <w:pPr>
        <w:spacing w:after="0" w:line="18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w:t>
      </w: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3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market and sell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2" w:lineRule="exact"/>
        <w:rPr>
          <w:rFonts w:ascii="Arial" w:cs="Arial" w:eastAsia="Arial" w:hAnsi="Arial"/>
          <w:sz w:val="18"/>
          <w:szCs w:val="18"/>
          <w:color w:val="auto"/>
        </w:rPr>
      </w:pPr>
    </w:p>
    <w:p>
      <w:pPr>
        <w:ind w:left="660" w:right="380" w:hanging="328"/>
        <w:spacing w:after="0" w:line="24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our current testing and future testing products, if any, are eligible for coverage and reimbursement from third-party payors;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health crises such as the COVID-19 pandemic;</w:t>
      </w:r>
    </w:p>
    <w:p>
      <w:pPr>
        <w:spacing w:after="0" w:line="49" w:lineRule="exact"/>
        <w:rPr>
          <w:rFonts w:ascii="Arial" w:cs="Arial" w:eastAsia="Arial" w:hAnsi="Arial"/>
          <w:sz w:val="18"/>
          <w:szCs w:val="18"/>
          <w:color w:val="auto"/>
        </w:rPr>
      </w:pPr>
    </w:p>
    <w:p>
      <w:pPr>
        <w:jc w:val="both"/>
        <w:ind w:left="660" w:right="560" w:hanging="328"/>
        <w:spacing w:after="0"/>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our testing products, which may change from time to time, and our ability to successfully commercialize new testing products;</w:t>
      </w:r>
    </w:p>
    <w:p>
      <w:pPr>
        <w:spacing w:after="0" w:line="40" w:lineRule="exact"/>
        <w:rPr>
          <w:rFonts w:ascii="Arial" w:cs="Arial" w:eastAsia="Arial" w:hAnsi="Arial"/>
          <w:sz w:val="18"/>
          <w:szCs w:val="18"/>
          <w:color w:val="auto"/>
        </w:rPr>
      </w:pPr>
    </w:p>
    <w:p>
      <w:pPr>
        <w:ind w:left="660" w:right="60" w:hanging="328"/>
        <w:spacing w:after="0" w:line="24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testing products and technologies;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demand for our testing products and any therapeutics we may promote in the future, which may vary significantly;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receipt, timing and mix of revenue for our testing products and any therapeutics we may promote in the future;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49" w:lineRule="exact"/>
        <w:rPr>
          <w:rFonts w:ascii="Arial" w:cs="Arial" w:eastAsia="Arial" w:hAnsi="Arial"/>
          <w:sz w:val="18"/>
          <w:szCs w:val="18"/>
          <w:color w:val="auto"/>
        </w:rPr>
      </w:pPr>
    </w:p>
    <w:p>
      <w:pPr>
        <w:ind w:left="660" w:right="320" w:hanging="328"/>
        <w:spacing w:after="0" w:line="24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and extent to which payors make an overpayment determination and require us to return all or some portion of payments which we received in a prior period; and</w:t>
      </w:r>
    </w:p>
    <w:p>
      <w:pPr>
        <w:spacing w:after="0" w:line="34" w:lineRule="exact"/>
        <w:rPr>
          <w:rFonts w:ascii="Arial" w:cs="Arial" w:eastAsia="Arial" w:hAnsi="Arial"/>
          <w:sz w:val="18"/>
          <w:szCs w:val="18"/>
          <w:color w:val="auto"/>
        </w:rPr>
      </w:pPr>
    </w:p>
    <w:p>
      <w:pPr>
        <w:ind w:left="660" w:right="160" w:hanging="328"/>
        <w:spacing w:after="0" w:line="24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or failure of competing products, or any other change in the competitive landscape of our industry, including consolidation among our competitors or partners.</w:t>
      </w:r>
    </w:p>
    <w:p>
      <w:pPr>
        <w:spacing w:after="0" w:line="143"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could have a material adverse effect on our business, financial condition and results or operations.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2" w:name="page43"/>
    <w:bookmarkEnd w:id="42"/>
    <w:p>
      <w:pPr>
        <w:spacing w:after="0" w:line="271"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in our testing products, and we may not be able to find replacements or transition to alternative suppliers.</w:t>
      </w:r>
    </w:p>
    <w:p>
      <w:pPr>
        <w:spacing w:after="0" w:line="122"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testing products. We also purchase components used in our testing product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including as a result of the COVID-19 pandemic, if the materials do not meet our quality specifications, or if we cannot obtain acceptable substitute materials, an interruption in test processing could occur and, in certain circumstances, we may be required to amend or cancel test results we have issued. For example, in November 2019, we identified a potential quality issue with reagents for Anti-CarP, a biomarker that can be ordered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that was resolved in September 2020. However, if we are unable to remedy future potential quality issues with unique reagent suppliers, or otherwise find a supplier for future biomarkers with issues, we may experience difficulties obtaining market acceptance for our products. Moreover, any issues with quality may result in a change from time to time of the composition of our tests, including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which could impact the average selling price and revenues received from sales of such test.</w:t>
      </w:r>
    </w:p>
    <w:p>
      <w:pPr>
        <w:spacing w:after="0" w:line="8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83"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If we are unable to support demand for our current testing products or any of our future testing products or solutions, our business could suffer.</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 that appropriate personnel will be available. We will also need to purchase additional equipment, some of which can 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We are also currently collaborating with third parties in an effort to implement multiplex technology in our laboratory. We may experience difficulties securing a partner for this technology and integrating such technology into our existing laboratory operations, which could affect our ability to meet demand for our testing products. If we encounter difficulty meeting market demand or quality standards, our reputation could be harmed and our future prospects and our business could suffer.</w:t>
      </w:r>
    </w:p>
    <w:p>
      <w:pPr>
        <w:spacing w:after="0" w:line="19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If third-party payors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payor contracts, our commercial success could be compromised.</w:t>
      </w:r>
    </w:p>
    <w:p>
      <w:pPr>
        <w:spacing w:after="0" w:line="13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Successful commercialization of our testing products depends, in large part, on the availability of coverage and adequate reimbursement from third-party payors, including government payors, such as Medicare and Medicaid and private insurers. For the testing products that we develop and commercialize as well as the therapeutics we promote, each third-party payor decides whether to cover the product, the amount it will reimburse for a covered product and the specific conditions for reimbursement.</w:t>
      </w:r>
    </w:p>
    <w:p>
      <w:pPr>
        <w:spacing w:after="0" w:line="151"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Reimbursement by third-party payors may depend on a number of factors, including the payor’s determination that tests using our technologies 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3" w:name="page44"/>
    <w:bookmarkEnd w:id="43"/>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medically necessary;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demonstrated to lead to improved patient outcomes;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cost-saving or cost-effective;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supported by peer-reviewed medical journals;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in clinical guidelines.</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we are unable to provide third-party payors with sufficient evidence of the clinical utility and validity of our test, they may not provide coverage, or may provide limited coverage, which will adversely affect our revenue and our ability to succeed. In addition, clinicians may be less likely to order a test unless third-party payors pay a substantial portion of the test price. Therefore, coverage determinations and reimbursement levels and conditions are critical to commercial success, and if we are not able to secure positive coverage determinations and reimbursement levels, our business will be materially adversely affected. Moreover, the COVID-19 pandemic may cause a delay in coverage decisions from Medicare and third-party payors, and has delayed ongoing and planned clinical trials involving our testing products, the occurrence of which may have a material adverse effect on our business.</w:t>
      </w:r>
    </w:p>
    <w:p>
      <w:pPr>
        <w:spacing w:after="0" w:line="14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Third-party payors and other entities also conduct technology assessments of new medical tests and devices and provide and/or sell the results of their assessments to other parties. These assessments may be used by third-party payors and healthcare providers as grounds to deny coverage for or refuse to use a test or procedure. In addition, third-party payors, have increased their efforts to control the cost, utilization and delivery of healthcare services. These measures have resulted in reduced payment rates and decreased utilization for the diagnostics industry.</w:t>
      </w:r>
    </w:p>
    <w:p>
      <w:pPr>
        <w:spacing w:after="0" w:line="148"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Effective April 25, 2012, Palmetto GBA, the Medicare molecular diagnostic services program contractor, or MolDx Program, assigned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assay a unique identifier and determined that the test meets the applicable Medicare coverage criteria to support dose optimization and therapeutic decision making for patients diagnosed with RA on methotrexate. Our current Medicare Administrative Contractor, Noridian Healthcare Solutions, LLC, or Noridian, has adopted this coverage policy. Other third-party payors make their own decisions as to whether to establish a policy to reimburse our testing products. Because approvals must be sought on a payor by payor basis, establishing broad coverage is a time-consuming and costly process. There are many third-party payors who have not yet established a coverage policy applicable to our testing products. In addition, several Blue Cross Blue Shield plans and Aetna issued non-coverage policies with respect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determining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does not meet the medical criteria for coverage and is considered investigational and/or experimental.</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While our testing products are reimbursed by a number of third-party payors, we do not currently have contracts with significant private payors. We have in the past, and will likely in the future, experience delays and temporary interruptions in the receipt of payments from third-party payors due to changes in their internal processes, documentation requirements and other issues, which could cause our revenue to fluctuate from period to period.</w:t>
      </w:r>
    </w:p>
    <w:p>
      <w:pPr>
        <w:spacing w:after="0" w:line="15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If we are not successful in reversing existing non-coverage policies, or if other third-party payors issue negative coverage policies, these policies could have a material adverse effect on our business and operations. Even if many third-party payors currently reimburse for our testing products, such payors may withdraw coverage at any time, review and adjust the rate of reimbursement, require co-payments from patients or stop paying for our testing products altogether, any of which would reduce our revenue.</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Billing for our testing products is complex, and we must dedicate substantial time and resources to the billing process to be paid for our testing products.</w:t>
      </w:r>
    </w:p>
    <w:p>
      <w:pPr>
        <w:spacing w:after="0" w:line="12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Billing for our testing products is complex, time consuming and expensive. Depending on the billing arrangement and applicable law, we bill various third-party payors, including Medicare and private insurance companies, as well as patients, all of which have different billing requirements. We generally bill third-party payors for our testing products and pursue reimbursement on a case-by-case basis where pricing contracts are not in place. We may also face increased risk in our collection efforts, including long collection cycles and potential delays in claims processing, which could adversely affect our business, results of operations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contribute to the complexity of the billing process, including:</w:t>
      </w:r>
    </w:p>
    <w:p>
      <w:pPr>
        <w:spacing w:after="0" w:line="5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differences between the list price for our testing products and the reimbursement rates of third-party payors;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among third-party payors as to which party is responsible for payment;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differences in coverage among third-party payors;</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62" w:right="419" w:bottom="1440" w:gutter="0" w:footer="0" w:header="0"/>
        </w:sectPr>
      </w:pPr>
    </w:p>
    <w:bookmarkStart w:id="44" w:name="page45"/>
    <w:bookmarkEnd w:id="44"/>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patient deductibles, co-payments or co-insurance;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third-party payors;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billing codes used for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of government audits related to billing;</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5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use standard industry billing codes, known as CPT codes, to bill for our testing products. If these codes were to change, there is risk that errors could be made in the claim adjudication process. Such errors can occur with claims submission, third-party transmission or in the processing of the claim by the payor. Claim adjudication errors may result in a delay in payment processing or a reduction in the amount of the payment received.</w:t>
      </w:r>
    </w:p>
    <w:p>
      <w:pPr>
        <w:spacing w:after="0" w:line="15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4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billing activities require us to implement compliance procedures and oversight, train and monitor our employees, and undertake internal audits to evaluate compliance with applicable laws and regulations as well as internal compliance policies and procedures. When payors deny our claims, in order to obtain reimbursement for services that we provide, we may challenge coverage and payment denials. Payors also conduct external audits to evaluate payments, which add further complexity to the billing process. If the payor makes an overpayment determination, there is a risk that we may be required to return all or some portion of prior payments we have received. Additionally, providers and suppliers must report and return overpayments received from the Medicare and Medicaid programs within 60 days of identification. Failure to identify and return such overpayments exposes the provider or supplier to liability under the federal False Claims Act.</w:t>
      </w:r>
    </w:p>
    <w:p>
      <w:pPr>
        <w:spacing w:after="0" w:line="1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Additionally, from time to time, third-party payors change processes that may affect timely payment. These changes may result in uneven cash flow or impact the timing of revenue recognized with these payors. With respect to payments received from government programs, factors such as a prolonged government shutdown could cause significant regulatory delays or could result in attempts to reduce payments made to us by federal healthcare programs. In addition, third-party payors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149"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In 2021, Noridian posted the calendar year 2022 Medicare Physician Fee Schedule, or MPFS, and Clinical Laboratory Fee Schedule, or CLFS, which establishes the reimbursement rates to be paid by Medicare for our jurisdiction for services performed on or after January 1, 2022. We do not expect that PAMA or changes to the Physician Fee Schedule will have a significant impact to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2022 compared to levels experienced in 2021. Revenue from Medicare comprised 19% and 20% of our revenue for the years ended December 31, 2021 and 2020, respectively. Revenue from the sale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products comprised 81% and 70% of our revenue for the years ended December 31, 2021 and 2020, respectively.</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payors within the timeframe required. If claims for our testing products are not submitted to payors on a timely basis, or if we are required to switch to a different systems provider, it could have an adverse effect on our revenue and our business.</w:t>
      </w:r>
    </w:p>
    <w:p>
      <w:pPr>
        <w:spacing w:after="0" w:line="18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45" w:name="page46"/>
    <w:bookmarkEnd w:id="45"/>
    <w:p>
      <w:pPr>
        <w:ind w:right="340"/>
        <w:spacing w:after="0"/>
        <w:rPr>
          <w:sz w:val="20"/>
          <w:szCs w:val="20"/>
          <w:color w:val="auto"/>
        </w:rPr>
      </w:pPr>
      <w:r>
        <w:rPr>
          <w:rFonts w:ascii="Arial" w:cs="Arial" w:eastAsia="Arial" w:hAnsi="Arial"/>
          <w:sz w:val="18"/>
          <w:szCs w:val="18"/>
          <w:color w:val="auto"/>
        </w:rPr>
        <w:t>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8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Significant safety or efficacy issues could arise for our promoted therapeutics, if any, which could have an adverse effect on our revenue and financial condition.</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If new safety or efficacy issues are reported or if new scientific information becomes available (including results of post-marketing Phase 4 trials), or if governments change standards regarding safety, efficacy or labeling, our partners may be required to amend the conditions of use for a therapeutic. For example, any promotion partner we may have could voluntarily provide or be required to provide updated information on a therapeutics' label or narrow its approved indication, either of which could reduce the therapeutics' market acceptance. If safety or efficacy issues with a partner’s therapeutic arise, sales of the therapeutic could be halted by the partner or by regulatory authorities. Safety or efficacy issues affecting suppliers’ or competitors’ products also may reduce the market acceptance of a partner’s therapeutics.</w:t>
      </w:r>
    </w:p>
    <w:p>
      <w:pPr>
        <w:spacing w:after="0" w:line="15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New data about a partner’s therapeutics, or products similar to a partner’s therapeutics, could negatively impact demand for such therapeutics due to real or perceived safety issues or uncertainty regarding efficacy and, in some cases, could result in product withdrawal. Furthermore, new data and information, including information about therapeutic misuse, may lead government agencies, professional societies, practice management groups or organizations involved with various diseases to publish guidelines or recommendations related to the use of such therapeutics or the use of related therapies or place restrictions on sales. Such guidelines or recommendations may lead to lower sales of the applicable therapeutics and reduce our revenue or otherwise adversely affect our business, prospects, results of operations or financial condition.</w:t>
      </w:r>
    </w:p>
    <w:p>
      <w:pPr>
        <w:spacing w:after="0" w:line="18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If we are unable to maintain or expand our sales and marketing force to adequately address our customers’ and future partners’ needs, our business may be adversely affected.</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sell our testing products through our own specialized sales force and have increased our sales force in order to achieve the optimal reach and frequency and support our strategy of integrating the promotion of testing products and therapeutics. Our testing products compete in a concentrated specialty market, that of autoimmune and autoimmune-related diseases, and utilizing a specialized sales force is integral to our integrated testing and therapeutics strategy. As such, we believe it is necessary to maintain a sales force that includes sales representatives with specific technical backgrounds and industry expertise. For example, we have a sales force of 61 representatives as of December 31, 2021, and expect to continue to evaluate the reach and frequency with rheumatologists, including as we launch our pipeline products. Agreements for the promotion of therapeutics may require us to further expand our specialized sales force. Training of additional sales representatives can be costly and time consuming, particularly given the level of experience and sophistication we seek in our sales force. In addition, our sales representatives do not currently promote any therapeutics and, until recently, not all of our sales representatives had promoted therapeutics as part of our organization, and they will need to complete additional training in order to effectively promote any therapeutic that we promote through future agreements. If we are unable to effectively retain, train and integrate additional sales representatives,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16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Our future sales will depend in large part on our ability to maintain an effective sales force. If we are unsuccessful in this regard, it could negatively impact our revenue growth and potential profitability.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18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principal competition for our testing products is traditional methods used by healthcare providers to test patients with CTD-like symptoms. Such traditional methods include testing for a broad range of diagnostic, immunology and chemistry biomarkers, such as anti - nuclear antibodies, or ANA, and anti-double-stranded DNA, or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6" w:name="page47"/>
    <w:bookmarkEnd w:id="46"/>
    <w:p>
      <w:pPr>
        <w:ind w:right="60"/>
        <w:spacing w:after="0" w:line="238" w:lineRule="auto"/>
        <w:rPr>
          <w:sz w:val="20"/>
          <w:szCs w:val="20"/>
          <w:color w:val="auto"/>
        </w:rPr>
      </w:pPr>
      <w:r>
        <w:rPr>
          <w:rFonts w:ascii="Arial" w:cs="Arial" w:eastAsia="Arial" w:hAnsi="Arial"/>
          <w:sz w:val="18"/>
          <w:szCs w:val="18"/>
          <w:color w:val="auto"/>
        </w:rPr>
        <w:t>compete against regional clinical laboratories providing testing in the autoimmune and autoimmune-related disease field, including Rheumatology Diagnostics Laboratories, Inc. (acquired by Laboratory Corporation of America in June 2020). Other potential competitors include companies that might develop diagnostic or disease or drug monitoring products, such as Progentec Diagnostics Inc., Scipher Medicine Corporation, Genalyte Inc., Oncimmune plc, DxTerity Diagnostics Inc., Immunovia AB and EpicGenetics, Inc. In the future, we may also face competition from companies developing new products or technologies.</w:t>
      </w:r>
    </w:p>
    <w:p>
      <w:pPr>
        <w:spacing w:after="0" w:line="148" w:lineRule="exact"/>
        <w:rPr>
          <w:sz w:val="20"/>
          <w:szCs w:val="20"/>
          <w:color w:val="auto"/>
        </w:rPr>
      </w:pPr>
    </w:p>
    <w:p>
      <w:pPr>
        <w:ind w:right="640"/>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sales and marketing capabilities; the extent of reimbursement; inclusion in clinical guidelines; cost-effectiveness; and ease of use.</w:t>
      </w:r>
    </w:p>
    <w:p>
      <w:pPr>
        <w:spacing w:after="0" w:line="1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payors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4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To compete successfully we must be able to demonstrate, among other things, that our testing products are accurate and cost effective and that we are effective in promoting therapeutics.</w:t>
      </w:r>
    </w:p>
    <w:p>
      <w:pPr>
        <w:spacing w:after="0" w:line="17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12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will continue to devote considerable resources to the research and development of our planned future testing products and enhancements to our current testing products. 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4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successful verification, validation and utility studies;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scale our laboratory processes to accommodate different tests;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and maintain required regulatory certifications, including the hiring of appropriately licensed laboratory personnel;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scale our infrastructure to be able to analyze increasingly large amounts of data;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testing products.</w:t>
      </w:r>
    </w:p>
    <w:p>
      <w:pPr>
        <w:spacing w:after="0" w:line="15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3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identify additional biomarkers to incorporate into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or sub-optimal performance of the testing product at the research or development stage;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patient consent inclusive of genetic analysis;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accessing archival patient specimens, especially specimens with known clinical results;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clinical validation, utility and outcome studies to support the effectiveness of the test.</w:t>
      </w:r>
    </w:p>
    <w:p>
      <w:pPr>
        <w:spacing w:after="0" w:line="15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w:t>
      </w:r>
    </w:p>
    <w:p>
      <w:pPr>
        <w:spacing w:after="0" w:line="15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the second half of 2021, we began the conversion of approximately 8,000 square feet of warehouse space into additional clinical laboratory space and approximately 6,000 square feet of warehouse space into additional research and development facility space in order to, among other things, develop molecular and multiomic capabilities. We have not yet developed any molecular or multiomic testing products nor do we have experience developing and integrating molecular biomarkers into new or existing testing products, and we may never be successful doing so in the future. As a result, there is considerable risk that the expansion of our clinical laboratory</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47" w:name="page48"/>
    <w:bookmarkEnd w:id="47"/>
    <w:p>
      <w:pPr>
        <w:jc w:val="both"/>
        <w:ind w:right="400"/>
        <w:spacing w:after="0" w:line="238" w:lineRule="auto"/>
        <w:rPr>
          <w:sz w:val="20"/>
          <w:szCs w:val="20"/>
          <w:color w:val="auto"/>
        </w:rPr>
      </w:pPr>
      <w:r>
        <w:rPr>
          <w:rFonts w:ascii="Arial" w:cs="Arial" w:eastAsia="Arial" w:hAnsi="Arial"/>
          <w:sz w:val="18"/>
          <w:szCs w:val="18"/>
          <w:color w:val="auto"/>
        </w:rPr>
        <w:t>and research and development facility may not lead to the development of additional testing products that generate meaningful revenue. Further, as we begin to expand our clinical laboratory and research and development facility in order to develop molecular and multiomic capabilities, we expect to need to make significant investments in key personnel and highly trained scientists with relevant experience to handle the increased operations and development of molecular biomarkers.</w:t>
      </w:r>
    </w:p>
    <w:p>
      <w:pPr>
        <w:spacing w:after="0" w:line="15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as we develop testing products, we will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151"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8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If we cannot enter into new clinical study collaborations, our product development and subsequent commercialization could be delayed.</w:t>
      </w:r>
    </w:p>
    <w:p>
      <w:pPr>
        <w:spacing w:after="0" w:line="122"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 testing products, and our inability to control when and if results are published may delay or limit our ability to derive sufficient revenue from any solution.</w:t>
      </w:r>
    </w:p>
    <w:p>
      <w:pPr>
        <w:spacing w:after="0" w:line="17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To date, other than our acquisition of the medical diagnostics division of Cypress Bioscience, Inc. in 2010, we have not acquired other companies or therapeutics and, except with respect to certain collaboration agreements executed in connection with our integrated testing and therapeutics strategy, we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4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addition, our loan agreement restricts our ability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8" w:name="page49"/>
    <w:bookmarkEnd w:id="48"/>
    <w:p>
      <w:pPr>
        <w:ind w:right="40"/>
        <w:spacing w:after="0" w:line="238" w:lineRule="auto"/>
        <w:rPr>
          <w:sz w:val="20"/>
          <w:szCs w:val="20"/>
          <w:color w:val="auto"/>
        </w:rPr>
      </w:pPr>
      <w:r>
        <w:rPr>
          <w:rFonts w:ascii="Arial" w:cs="Arial" w:eastAsia="Arial" w:hAnsi="Arial"/>
          <w:sz w:val="18"/>
          <w:szCs w:val="18"/>
          <w:color w:val="auto"/>
        </w:rPr>
        <w:t>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The diagnostics and therapeutics industries are subject to rapidly changing technology, which could make our current and future testing products and any future promoted therapeutics obsolete.</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 products for other diseases, our sales could decline and our competitive position could be harmed. In addition, if any therapeutics we promote in the future become obsolete and we are unable to expand the applicable agreements or find new partners, our sales at that time could decline and our competitive position could be harmed.</w:t>
      </w:r>
    </w:p>
    <w:p>
      <w:pPr>
        <w:spacing w:after="0" w:line="18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Our failure to maintain relationships or build new relationships with key opinion leaders could materially adversely impact our business and prospects.</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healthcare providers and payors.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errors and omissions or professional liability, we could face substantial liabilities that exceed our resources.</w:t>
      </w:r>
    </w:p>
    <w:p>
      <w:pPr>
        <w:spacing w:after="0" w:line="18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marketing, sale and use of our testing products could lead to liability claims if someone were to allege that any such testing product failed to perform as it was designed. We may also be subject to liability for errors in the results we provide to rheumatologists or for a misunderstanding of, or inappropriate reliance upon, the information we provide. We may also be subject to similar types of claims related to testing products we may develop in the future. Any errors or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increase our insurance rates or prevent us from securing insurance coverage in the future. Additionally, any product liability lawsuit could cause injury to our reputation or cause us to suspend sales of our testing products. Similarly, any product liability lawsuit affecting our partners could also cause injury to our reputation or cause the applicable partner to suspend sales of its therapeutics. We may also initiate a correction or removal for one of our testing products, issue a safety alert or undertake a field action or recall to reduce a risk to health posed by potential failure of our products to perform as designed, which could lead increase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19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12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including Fortunato Ron Rocca,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4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addition, our research and development programs and commercial laboratory operations depend on our ability to attract and retain highly skilled scientists, including licensed clinical laboratory scientists and biostatisticians. We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9" w:name="page50"/>
    <w:bookmarkEnd w:id="49"/>
    <w:p>
      <w:pPr>
        <w:ind w:right="60"/>
        <w:spacing w:after="0" w:line="236" w:lineRule="auto"/>
        <w:rPr>
          <w:sz w:val="20"/>
          <w:szCs w:val="20"/>
          <w:color w:val="auto"/>
        </w:rPr>
      </w:pPr>
      <w:r>
        <w:rPr>
          <w:rFonts w:ascii="Arial" w:cs="Arial" w:eastAsia="Arial" w:hAnsi="Arial"/>
          <w:sz w:val="18"/>
          <w:szCs w:val="18"/>
          <w:color w:val="auto"/>
        </w:rPr>
        <w:t>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 our testing products and the sale of promoted therapeutics.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Other than with respect to Mr. Rocca, we do not carry key man insurance for any of our employees.</w:t>
      </w:r>
    </w:p>
    <w:p>
      <w:pPr>
        <w:spacing w:after="0" w:line="18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which may be exacerbated due to climate change, including earthquake, fire, flood, power loss, communications failure or terrorism, or public health crises such as the COVID-19 pandemic.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including as a result of the COVID-19 pandemic,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 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order to rely on a third party to perform the tests contained in our testing products (even assuming we are able to do so in compliance with applicable regulations), we would need to engage another facility with established state licensure and Clinical Laboratory Improvement Amendments of 1988, or CLIA, certification under the scope of which tests could be performed following validation and other required procedures. 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15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order to establish additional clinical reference laboratory facilities, we have to spend considerable time and money securing or converting adequate space which may include constructing additional facilities, recruiting and training employees, and establishing the additional operational and administrative infrastructure necessary to support a second facility. We may not be able, or it may take considerable time, to replicate our testing processes or results in any new or converted facility. Additionally, any new clinical reference laboratory facility opened by us, including the pending warehouse conversions, would be subject to certification under CLIA and licensing by several states, including, as applicable, California and New York, which could take a significant amount of time and result in delays in our ability to begin operations.</w:t>
      </w:r>
    </w:p>
    <w:p>
      <w:pPr>
        <w:spacing w:after="0" w:line="15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believe we have the capacity to meet our projected needs for at least the next 12 months, although we may grow at a rate that is faster than we expect. We may need to further expand our laboratory space at a faster rate than we expect. Any future expansion and the warehouse conversions currently in process could disrupt laboratory operations, resulting in an inability to meet customer turnaround time expectations, and could be delayed, resulting in slower realization of laboratory efficiencies anticipated from the use of the expanded facilities. Adverse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0" w:name="page51"/>
    <w:bookmarkEnd w:id="50"/>
    <w:p>
      <w:pPr>
        <w:ind w:right="300"/>
        <w:spacing w:after="0" w:line="246" w:lineRule="auto"/>
        <w:rPr>
          <w:sz w:val="20"/>
          <w:szCs w:val="20"/>
          <w:color w:val="auto"/>
        </w:rPr>
      </w:pPr>
      <w:r>
        <w:rPr>
          <w:rFonts w:ascii="Arial" w:cs="Arial" w:eastAsia="Arial" w:hAnsi="Arial"/>
          <w:sz w:val="18"/>
          <w:szCs w:val="18"/>
          <w:color w:val="auto"/>
        </w:rPr>
        <w:t>consequences resulting from a delay in the laboratory expansion could harm our relationships with our customers and our reputation, and could affect our ability to generate revenue.</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carry insurance for damage to our property and the disruption of our business, but this insurance may not cover all of the risks associated with damage or disruption to our business, provide coverage in amounts sufficient to cover our potential losses or continue to be available to us on acceptable terms, if at all.</w:t>
      </w:r>
    </w:p>
    <w:p>
      <w:pPr>
        <w:spacing w:after="0" w:line="181"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b w:val="1"/>
          <w:bCs w:val="1"/>
          <w:i w:val="1"/>
          <w:iCs w:val="1"/>
          <w:color w:val="auto"/>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12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As part of our process of determining CB-CAPs, the key biomarker detection and measurement technology incorporated into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products, we utilize a number of flow cytometers that require calibration and performance validation according to the requirements of the College of American Pathologists, or CAP, at specified time intervals. While we believe we have implemented appropriate controls and metrics in our laboratory to meet such requirements, we 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18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Failure in our information technology, telephone or other systems could significantly disrupt our operations and adversely affect our business and financial condition.</w:t>
      </w:r>
    </w:p>
    <w:p>
      <w:pPr>
        <w:spacing w:after="0" w:line="122"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4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specimens must be received, tracked and processed on a timely basis;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test results must be reported on a timely basis;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billings and collections for all customers must be managed efficiently and accurately;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ancillary billing services require proper tracking and reporting;</w:t>
      </w:r>
    </w:p>
    <w:p>
      <w:pPr>
        <w:spacing w:after="0" w:line="49" w:lineRule="exact"/>
        <w:rPr>
          <w:rFonts w:ascii="Arial" w:cs="Arial" w:eastAsia="Arial" w:hAnsi="Arial"/>
          <w:sz w:val="18"/>
          <w:szCs w:val="18"/>
          <w:color w:val="auto"/>
        </w:rPr>
      </w:pPr>
    </w:p>
    <w:p>
      <w:pPr>
        <w:ind w:left="660" w:right="140" w:hanging="328"/>
        <w:spacing w:after="0" w:line="24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and other information related to our services is needed by our sales force and other personnel in a timely manner to conduct business;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patient-identifiable health information must be securely held and kept confidential;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compliance requires proper tracking and reporting;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 recordkeeping is required for operating our business, managing employee compensation and other personnel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business, results of operations and financial condition may be adversely affected if, among other things:</w:t>
      </w:r>
    </w:p>
    <w:p>
      <w:pPr>
        <w:spacing w:after="0" w:line="5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fail or are interrupted for any extended length of time;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services relating to our information technology, telephone or other systems are not kept current;</w:t>
      </w:r>
    </w:p>
    <w:p>
      <w:pPr>
        <w:spacing w:after="0" w:line="49" w:lineRule="exact"/>
        <w:rPr>
          <w:rFonts w:ascii="Arial" w:cs="Arial" w:eastAsia="Arial" w:hAnsi="Arial"/>
          <w:sz w:val="18"/>
          <w:szCs w:val="18"/>
          <w:color w:val="auto"/>
        </w:rPr>
      </w:pPr>
    </w:p>
    <w:p>
      <w:pPr>
        <w:ind w:left="660" w:right="440" w:hanging="328"/>
        <w:spacing w:after="0" w:line="24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do not have the capacity to support expanded operations and increased levels of business;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data is lost or unable to be restored or processed;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data is corrupted due to a breach of security.</w:t>
      </w:r>
    </w:p>
    <w:p>
      <w:pPr>
        <w:spacing w:after="0" w:line="15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183"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our third-party service providers or our partners could compromise sensitive information related to our business or prevent us from accessing critical information and expose us to liability, which could adversely affect our business and our reputation.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1" w:name="page52"/>
    <w:bookmarkEnd w:id="51"/>
    <w:p>
      <w:pPr>
        <w:ind w:right="100"/>
        <w:spacing w:after="0" w:line="236" w:lineRule="auto"/>
        <w:rPr>
          <w:sz w:val="20"/>
          <w:szCs w:val="20"/>
          <w:color w:val="auto"/>
        </w:rPr>
      </w:pPr>
      <w:r>
        <w:rPr>
          <w:rFonts w:ascii="Arial" w:cs="Arial" w:eastAsia="Arial" w:hAnsi="Arial"/>
          <w:sz w:val="18"/>
          <w:szCs w:val="18"/>
          <w:color w:val="auto"/>
        </w:rPr>
        <w:t>In the ordinary course of our business, we and our partners, and our respective third-party service providers collect and store sensitive data, such as protected health information (including test results), personally identifiable information and credit card information. We also store business and financial information, intellectual property, research and development information, trade secrets, and other proprietary and business critical information, including that of our customers, payors and third-party partners.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and risks associated with the need to reconstruct any lost or stolen data. In addition, we have limited control over the storage of sensitive data by our third-party therapeutics partners as well as risks related to the transfer and sale of de-identified data files to such partners.</w:t>
      </w:r>
    </w:p>
    <w:p>
      <w:pPr>
        <w:spacing w:after="0" w:line="15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Attacks upon information technology systems are increasing in their frequency, levels of persistence, sophistication and intensity, and are being conducted by sophisticated and organized groups and individuals with a wide range of motives and expertise. Additionally, as a result of the COVID-19 pandemic, most of our employees have the ability to work remotely, which may increase the risk of security breaches, loss of data, and other disruptions as a consequence of more employees accessing sensitive and critical information from remote locations.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do not believe that we have experienced any such attack or breach, if such an event were to occur, our networks would be compromised and the information we store on those networks could be accessed by unauthorized parties, publicly disclosed, lost or stolen. A security breach or privacy violation that leads to unauthorized access, disclosure or modification of, or prevents access to, patient information, including PHI, could implicate state and federal breach notification laws. Any such access, disclosure or other loss of information could also result in legal claims or proceedings, liability under laws that protect the privacy of personal information, such as HIPAA, as amended by the HITECH Act, and their implementing regulations and regulatory penalties. Unauthorized access, loss or dissemination could also disrupt our operations, including our ability to process tests, provide test results, bill payors or patients, process claims and appeals, provide customer assistance services, conduct research and development 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adversely affect our business. Any breach could also result in the compromise of our trade secrets and other proprietary information, which could adversely affect our competitive position.</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 Additionally, in connection with the ongoing COVID-19 pandemic, most of our employees have the ability to work remotely, which may increase the risk of security breaches, loss of data, and other disruptions as a consequence of more employees accessing sensitive and critical information from remote locations.</w:t>
      </w:r>
    </w:p>
    <w:p>
      <w:pPr>
        <w:spacing w:after="0" w:line="14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If we are unable to prevent such security breaches or privacy violations or implement satisfactory remedial measures in connection with security incidents, we may suffer loss of reputation, financial loss, and civil or criminal fines or other penalties. In addition, these breaches and other forms of inappropriate access can be difficult to detect, and any delay in identifying them may lead to increased harm of the type described above.</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122"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Expedited, reliable shipping is essential to our operations. We have been utilizing both United Parcel Service and Federal Express Corporation for reliable and secure point-to-point transport of patient specimens to our laboratory and enhanced tracking of these patient specimens. Should Federal Express, United Parcel Service, or any other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2" w:name="page53"/>
    <w:bookmarkEnd w:id="52"/>
    <w:p>
      <w:pPr>
        <w:ind w:right="60"/>
        <w:spacing w:after="0" w:line="237" w:lineRule="auto"/>
        <w:rPr>
          <w:sz w:val="20"/>
          <w:szCs w:val="20"/>
          <w:color w:val="auto"/>
        </w:rPr>
      </w:pPr>
      <w:r>
        <w:rPr>
          <w:rFonts w:ascii="Arial" w:cs="Arial" w:eastAsia="Arial" w:hAnsi="Arial"/>
          <w:sz w:val="18"/>
          <w:szCs w:val="18"/>
          <w:color w:val="auto"/>
        </w:rPr>
        <w:t>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or disruption to delivery service, whether due to bad weather, natural disaster (which may be exacerbated due to climate change), public health epidemics or pandemics (including, for example, the COVID-19 pandemic), terrorist attacks or threats, or for other reasons, could adversely affect our ability to receive and process patient specimens on a timely basis.</w:t>
      </w:r>
    </w:p>
    <w:p>
      <w:pPr>
        <w:spacing w:after="0" w:line="15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If we, Federal Express, or United Parcel Service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and United Parcel Service. If any new provider does not provide, or if Federal Express or United Parcel Service does not continue to provide, the required quality and reliability of transport services at the same or similar costs, it could adversely affect our business, reputation,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could adversely affect our business and financial results.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Inflation, which increased significantly during 2021, may adversely affect us by increasing the costs of products, materials (including reagents and laboratory supplies), and labor needed to operate our business in future periods. Actions by the government to stimulate the economy may increase the risk of significant inflation, which may have an adverse impact on our business or financial results. Moreover, we may not be able to pass those costs along in the products we sell. As such, inflationary pressures could have a material adverse effect on our performance and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Sections 382 and 383 of the Internal Revenue Code of 1986, as amended, or the Code, if a corporation undergoes an “ownership change” (generally defined as a greater than 50 percentage-point change (by value) in its equity ownership by “5-percent shareholders,” as defined in the Code, over a rolling three-year period), the corporation’s ability to use its pre-change net operating loss, or NOL, carryforwards and other pre-change tax attributes to offset its post-change federal taxable income and taxes, as applicable, may be limited. We previously completed a study to assess whether an ownership change, as defined by Section 382 of the Code, had occurred from our formation through December 31, 2019. Based upon this study, we determined that ownership changes had occurred in 2003, 2008, 2012, 2017 and 2019, and that our ability to use a significant portion of our NOL carryforwards is subject to limitation under Section 382 of the Code as a result of a prior ownership change. If we undergo an ownership change as a result of subsequent shifts in our stock ownership, our ability to utilize our NOL carryforwards and other pre-change tax attributes could be further limited by Sections 382 and 383 of the Code. Similar provisions of state tax law may also apply. In addition, federal NOL carryforwards generated in periods after December 31, 2017, may be carried forward indefinitely but, in taxable years beginning after December 31, 2020, may only be used to offset 80% of our taxable income. As a result of the foregoing, if we earn net taxable income, our ability to use NOL carryforwards and other tax attributes to offset taxable income and taxes, as applicable, may be limited.</w:t>
      </w:r>
    </w:p>
    <w:p>
      <w:pPr>
        <w:spacing w:after="0" w:line="181"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13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September 2017, we entered into the loan and security agreement with Innovatus Life Sciences Lending Fund I, LP, or Innovatus, which we subsequently amended in November 2019 and November 2021, or the Amended Loan Agreement. The Amended Loan Agreement is collateralized by substantially all of our personal property, including our intellectual property. The Amended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and achieve certain minimum amounts of annual revenue, as measured on a rolling twelve-month basis,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3" w:name="page54"/>
    <w:bookmarkEnd w:id="53"/>
    <w:p>
      <w:pPr>
        <w:ind w:right="60"/>
        <w:spacing w:after="0" w:line="237" w:lineRule="auto"/>
        <w:rPr>
          <w:sz w:val="20"/>
          <w:szCs w:val="20"/>
          <w:color w:val="auto"/>
        </w:rPr>
      </w:pPr>
      <w:r>
        <w:rPr>
          <w:rFonts w:ascii="Arial" w:cs="Arial" w:eastAsia="Arial" w:hAnsi="Arial"/>
          <w:sz w:val="18"/>
          <w:szCs w:val="18"/>
          <w:color w:val="auto"/>
        </w:rPr>
        <w:t>our current debt obligations are paid in full or we obtain the consent of Innovatus, which we may not be able to obtain. As of December 31, 2021, there was $25.0 million in principal outstanding under the term loan and an additional $2.3 million outstanding representing interest at 2.0% per annum payable in-kind by adding the amount to the outstanding principal balance of the term loans. Under the Amended Loan Agreement, we are required to repay any outstanding principal and capitalized interest in monthly installments over a two-year period commencing on December 1, 2024. At December 31, 2021, we were in compliance with all covenants of the Amended Loan Agreement. We cannot be certain that we will be able to generate sufficient cash flow or revenue to meet the financial covenants or pay the principal and accrued interest on our debt.</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Amended Loan Agreement, the occurrence of a material adverse change in our business as defined in the Amended Loan Agreement, our breach of any representation or warranty in the Amended Loan Agreement, our breach of any covenant in the Amended Loan Agreement (subject to a cure period in some cases), a change in control as defined in the Amended Loan Agreement, our default on any debt payments to a third party in an amount exceeding $500,000 or any voluntary or involuntary insolvency proceeding. If an event of default occurs and we are unable to repay amounts due under the Amended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18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i w:val="1"/>
          <w:iCs w:val="1"/>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expand our infrastructure, commercial operations and research and development activities. We believe, based on our current plan, that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including as a result of the COVID-19 pandemic, and we may need to seek additional funds sooner than planned, through public or private equity or debt financings or other sources, such as strategic collaborations. If our available cash balances and anticipated future revenue are insufficient to satisfy our liquidity requirements, including because of lower demand for our testing products or lower-than-expected rates of reimbursement from commercial third-party payors and government payors, or other risks described in this “Risk Factors” section, we may seek to raise additional capital through equity offerings, debt financings, collaborations or licensing arrangements. In the case of the incurrence of further indebtedness, the Amended Loan Agreement, subject to certain customary exceptions, restricts our ability to incur additional indebtedness or encumber any of our property without the prior consent of Innovatus. Under the Amended Loan Agreement, we are required to make monthly interest payments at a rate equal to 8.0% (provided that 2.0% of the 8.0% is payable in-kind by adding the amount to the outstanding principal balance of the term loans). We may also consider raising additional capital in the future to expand our business, pursue strategic investments, take advantage of financing opportunities, or for other reasons. In addition, we may seek additional capital due to 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 clinical studies to demonstrate the utility of our testing products and support reimbursement efforts; our ability to successfully promote therapeutics;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15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Additional funding may not be available to us on acceptable terms, or at all. If we raise funds by issuing equity securities,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our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4" w:name="page55"/>
    <w:bookmarkEnd w:id="54"/>
    <w:p>
      <w:pPr>
        <w:ind w:right="20"/>
        <w:spacing w:after="0" w:line="236" w:lineRule="auto"/>
        <w:rPr>
          <w:sz w:val="20"/>
          <w:szCs w:val="20"/>
          <w:color w:val="auto"/>
        </w:rPr>
      </w:pPr>
      <w:r>
        <w:rPr>
          <w:rFonts w:ascii="Arial" w:cs="Arial" w:eastAsia="Arial" w:hAnsi="Arial"/>
          <w:sz w:val="18"/>
          <w:szCs w:val="18"/>
          <w:color w:val="auto"/>
        </w:rPr>
        <w:t>Amended Loan Agreement restricts our ability to incur additional indebtedness or encumber any of our property without the prior consent of Innovatus, subject to certain exceptions.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and would have to work with a partner on any promoted therapeutics or market development programs, which could lower the economic value of those products or programs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1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Healthcare policy changes, including recently enacted and proposed new legislation reforming the U.S. healthcare system, could cause significant harm to our business, operations and financial condition.</w:t>
      </w:r>
    </w:p>
    <w:p>
      <w:pPr>
        <w:spacing w:after="0" w:line="12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ACA made a number of substantial changes to the way healthcare is financed both by governmental and private payors. The ACA also introduced mechanisms to reduce the per capita rate of growth in Medicare spending if expenditures exceed certain targets. Any such reductions could affect reimbursement payments for our tests.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April 2014, Congress passed PAMA, which included substantial changes to the way in which clinical laboratory services are be paid under Medicare Clinical Laboratory Fee Schedule.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clinical laboratory diagnostic tests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w:t>
      </w:r>
    </w:p>
    <w:p>
      <w:pPr>
        <w:spacing w:after="0" w:line="15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cannot predict whether or when these or other recently enacted healthcare initiatives will be implemented at the federal or state level or how any such legislation or regulation may affect us. For instance, the payment reductions imposed by the ACA and the changes to reimbursement amounts paid by Medicare for tests such as ours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 For instance, the new Democrat-led presidential administration has been taking steps to strengthen the ACA and, following several years of litigation in the federal courts, in June 2021, the U.S. Supreme Court upheld the ACA when it dismissed a legal challenge to the ACA’s constitutionality. Legislation related to precision medicine is also being considered in Congress and, if passed and signed into law, such legislation may affect genetic or genomic testing and related clinical laboratory offerings.</w:t>
      </w:r>
    </w:p>
    <w:p>
      <w:pPr>
        <w:spacing w:after="0" w:line="15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16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Complying with numerous regulations pertaining to our business is an expensive and time-consuming process, and any failure to comply could result in substantial penalties.</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to perform testing through our accreditation by CAP. To renew this certificate, we are subject to survey and inspection every two years. Moreover, CLIA inspectors may make random inspections of our clinical reference laboratory.</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5" w:name="page56"/>
    <w:bookmarkEnd w:id="55"/>
    <w:p>
      <w:pPr>
        <w:ind w:right="60"/>
        <w:spacing w:after="0" w:line="236" w:lineRule="auto"/>
        <w:rPr>
          <w:sz w:val="20"/>
          <w:szCs w:val="20"/>
          <w:color w:val="auto"/>
        </w:rPr>
      </w:pPr>
      <w:r>
        <w:rPr>
          <w:rFonts w:ascii="Arial" w:cs="Arial" w:eastAsia="Arial" w:hAnsi="Arial"/>
          <w:sz w:val="18"/>
          <w:szCs w:val="18"/>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15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 an out of state laboratory and our testing products, as LDTs, must be approved by the New York Department of Health, or NYDOH, on a product-by-product basis before they are offered in New York. We are also be subject to periodic inspection by the NYDOH and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testing products.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NYDOH approval for our laboratory developed tests in New York or if we were to lose our license in other states where we are required to hold licenses, we would not be able to test specimens from those states which would limit our revenue.</w:t>
      </w:r>
    </w:p>
    <w:p>
      <w:pPr>
        <w:spacing w:after="0" w:line="18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3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14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CLIA’s and CAP’s regulation of our laboratory activities;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laws and regulations, including but not limited to requirements for offering LDTs;</w:t>
      </w:r>
    </w:p>
    <w:p>
      <w:pPr>
        <w:spacing w:after="0" w:line="103" w:lineRule="exact"/>
        <w:rPr>
          <w:rFonts w:ascii="Arial" w:cs="Arial" w:eastAsia="Arial" w:hAnsi="Arial"/>
          <w:sz w:val="18"/>
          <w:szCs w:val="18"/>
          <w:color w:val="auto"/>
        </w:rPr>
      </w:pPr>
    </w:p>
    <w:p>
      <w:pPr>
        <w:ind w:left="660" w:right="20" w:hanging="328"/>
        <w:spacing w:after="0"/>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laws and standards affecting reimbursement by government payors, including certain coding requirements to obtain reimbursement and certain changes to the payment mechanism for clinical laboratory services resulting from the Protecting Access to Medicare Act of 2014, or PAMA;</w:t>
      </w:r>
    </w:p>
    <w:p>
      <w:pPr>
        <w:spacing w:after="0" w:line="94" w:lineRule="exact"/>
        <w:rPr>
          <w:rFonts w:ascii="Arial" w:cs="Arial" w:eastAsia="Arial" w:hAnsi="Arial"/>
          <w:sz w:val="18"/>
          <w:szCs w:val="18"/>
          <w:color w:val="auto"/>
        </w:rPr>
      </w:pPr>
    </w:p>
    <w:p>
      <w:pPr>
        <w:ind w:left="660" w:right="200" w:hanging="328"/>
        <w:spacing w:after="0"/>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6" w:name="page57"/>
    <w:bookmarkEnd w:id="56"/>
    <w:p>
      <w:pPr>
        <w:ind w:left="660" w:right="180" w:hanging="328"/>
        <w:spacing w:after="0"/>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94" w:lineRule="exact"/>
        <w:rPr>
          <w:rFonts w:ascii="Arial" w:cs="Arial" w:eastAsia="Arial" w:hAnsi="Arial"/>
          <w:sz w:val="18"/>
          <w:szCs w:val="18"/>
          <w:color w:val="auto"/>
        </w:rPr>
      </w:pPr>
    </w:p>
    <w:p>
      <w:pPr>
        <w:ind w:left="660" w:right="60" w:hanging="328"/>
        <w:spacing w:after="0"/>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spacing w:after="0" w:line="94" w:lineRule="exact"/>
        <w:rPr>
          <w:rFonts w:ascii="Arial" w:cs="Arial" w:eastAsia="Arial" w:hAnsi="Arial"/>
          <w:sz w:val="18"/>
          <w:szCs w:val="18"/>
          <w:color w:val="auto"/>
        </w:rPr>
      </w:pPr>
    </w:p>
    <w:p>
      <w:pPr>
        <w:ind w:left="660" w:right="80" w:hanging="328"/>
        <w:spacing w:after="0"/>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Stark Law, which generally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w:t>
      </w:r>
    </w:p>
    <w:p>
      <w:pPr>
        <w:spacing w:after="0" w:line="94" w:lineRule="exact"/>
        <w:rPr>
          <w:rFonts w:ascii="Arial" w:cs="Arial" w:eastAsia="Arial" w:hAnsi="Arial"/>
          <w:sz w:val="18"/>
          <w:szCs w:val="18"/>
          <w:color w:val="auto"/>
        </w:rPr>
      </w:pPr>
    </w:p>
    <w:p>
      <w:pPr>
        <w:ind w:left="660" w:hanging="328"/>
        <w:spacing w:after="0"/>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4" w:lineRule="exact"/>
        <w:rPr>
          <w:rFonts w:ascii="Arial" w:cs="Arial" w:eastAsia="Arial" w:hAnsi="Arial"/>
          <w:sz w:val="18"/>
          <w:szCs w:val="18"/>
          <w:color w:val="auto"/>
        </w:rPr>
      </w:pPr>
    </w:p>
    <w:p>
      <w:pPr>
        <w:ind w:left="660" w:right="20" w:hanging="328"/>
        <w:spacing w:after="0"/>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94" w:lineRule="exact"/>
        <w:rPr>
          <w:rFonts w:ascii="Arial" w:cs="Arial" w:eastAsia="Arial" w:hAnsi="Arial"/>
          <w:sz w:val="18"/>
          <w:szCs w:val="18"/>
          <w:color w:val="auto"/>
        </w:rPr>
      </w:pPr>
    </w:p>
    <w:p>
      <w:pPr>
        <w:ind w:left="660" w:right="320" w:hanging="328"/>
        <w:spacing w:after="0" w:line="23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EKRA, which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covered by healthcare benefit programs (including commercial insurers) unless a specific exception applies;</w:t>
      </w:r>
    </w:p>
    <w:p>
      <w:pPr>
        <w:spacing w:after="0" w:line="96" w:lineRule="exact"/>
        <w:rPr>
          <w:rFonts w:ascii="Arial" w:cs="Arial" w:eastAsia="Arial" w:hAnsi="Arial"/>
          <w:sz w:val="18"/>
          <w:szCs w:val="18"/>
          <w:color w:val="auto"/>
        </w:rPr>
      </w:pPr>
    </w:p>
    <w:p>
      <w:pPr>
        <w:ind w:left="660" w:right="260" w:hanging="328"/>
        <w:spacing w:after="0" w:line="24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ACA, which, among other things, establishes a requirement for providers and suppliers to report and return any overpayments received from the Medicare and Medicaid programs;</w:t>
      </w:r>
    </w:p>
    <w:p>
      <w:pPr>
        <w:spacing w:after="0" w:line="88" w:lineRule="exact"/>
        <w:rPr>
          <w:rFonts w:ascii="Arial" w:cs="Arial" w:eastAsia="Arial" w:hAnsi="Arial"/>
          <w:sz w:val="18"/>
          <w:szCs w:val="18"/>
          <w:color w:val="auto"/>
        </w:rPr>
      </w:pPr>
    </w:p>
    <w:p>
      <w:pPr>
        <w:ind w:left="660" w:right="140" w:hanging="328"/>
        <w:spacing w:after="0" w:line="23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and other Medicare and Medicaid billing and coverage requirements;</w:t>
      </w:r>
    </w:p>
    <w:p>
      <w:pPr>
        <w:spacing w:after="0" w:line="103" w:lineRule="exact"/>
        <w:rPr>
          <w:rFonts w:ascii="Arial" w:cs="Arial" w:eastAsia="Arial" w:hAnsi="Arial"/>
          <w:sz w:val="18"/>
          <w:szCs w:val="18"/>
          <w:color w:val="auto"/>
        </w:rPr>
      </w:pPr>
    </w:p>
    <w:p>
      <w:pPr>
        <w:ind w:left="660" w:right="120" w:hanging="328"/>
        <w:spacing w:after="0" w:line="23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FCPA, and applicable foreign anti-bribery laws;</w:t>
      </w:r>
    </w:p>
    <w:p>
      <w:pPr>
        <w:spacing w:after="0" w:line="103" w:lineRule="exact"/>
        <w:rPr>
          <w:rFonts w:ascii="Arial" w:cs="Arial" w:eastAsia="Arial" w:hAnsi="Arial"/>
          <w:sz w:val="18"/>
          <w:szCs w:val="18"/>
          <w:color w:val="auto"/>
        </w:rPr>
      </w:pPr>
    </w:p>
    <w:p>
      <w:pPr>
        <w:ind w:left="660" w:right="900" w:hanging="328"/>
        <w:spacing w:after="0" w:line="24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state and local regulations relating to the handling and disposal of regulated medical waste, hazardous waste and biohazardous waste and workplace safety for healthcare employees;</w:t>
      </w:r>
    </w:p>
    <w:p>
      <w:pPr>
        <w:spacing w:after="0" w:line="88" w:lineRule="exact"/>
        <w:rPr>
          <w:rFonts w:ascii="Arial" w:cs="Arial" w:eastAsia="Arial" w:hAnsi="Arial"/>
          <w:sz w:val="18"/>
          <w:szCs w:val="18"/>
          <w:color w:val="auto"/>
        </w:rPr>
      </w:pPr>
    </w:p>
    <w:p>
      <w:pPr>
        <w:ind w:left="660" w:right="220" w:hanging="328"/>
        <w:spacing w:after="0"/>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9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158"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Any future growth of our business, including, in particular,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w:t>
      </w:r>
    </w:p>
    <w:p>
      <w:pPr>
        <w:spacing w:after="0" w:line="15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adopted policies and procedures designed to comply with these laws and regulations and, in the ordinary course of our business, we conduct internal reviews of our compliance with these laws. Our compliance is also subject to review by applicable government agencies.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Any action brought against us for violation of these or other laws or regulations,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57" w:name="page58"/>
    <w:bookmarkEnd w:id="57"/>
    <w:p>
      <w:pPr>
        <w:spacing w:after="0" w:line="237" w:lineRule="auto"/>
        <w:rPr>
          <w:sz w:val="20"/>
          <w:szCs w:val="20"/>
          <w:color w:val="auto"/>
        </w:rPr>
      </w:pPr>
      <w:r>
        <w:rPr>
          <w:rFonts w:ascii="Arial" w:cs="Arial" w:eastAsia="Arial" w:hAnsi="Arial"/>
          <w:sz w:val="18"/>
          <w:szCs w:val="18"/>
          <w:color w:val="auto"/>
        </w:rPr>
        <w:t>even if we successfully defend against it, could cause us to incur significant legal expenses, divert our management’s attention from the operation of our business and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Any of these consequences could seriously harm our business and our financial results.</w:t>
      </w:r>
    </w:p>
    <w:p>
      <w:pPr>
        <w:spacing w:after="0" w:line="15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healthcare programs, such as Medicare and Medicaid in the U.S. and similar programs outside the U.S.,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We may be required to modify our business practices, pay fines, incur significant expenses or experience losses due to litigation or governmental investigations.</w:t>
      </w:r>
    </w:p>
    <w:p>
      <w:pPr>
        <w:spacing w:after="0" w:line="12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From time to time and in the ordinary course of our business, we may be subject to litigation or governmental investigation on a variety of matters in the United States or foreign jurisdictions, including, without limitation, regulatory, intellectual property, product liability, antitrust, consumer, false claims, whistleblower, Qui Tam, privacy, anti-kickback, anti-bribery, environmental, commercial, securities and employment litigation and claims and other legal proceedings that may arise from the conduct of our business. Our activities relating to our products and services are subject to extensive regulation in the United States and foreign jurisdictions. Like many companies in our industry, we have in the ordinary course of business received inquiries, subpoenas, civil investigative demands, and other types of information requests from government authorities. For example, in February 2022, we received a subpoena issued by the U.S. Department of Justice requesting documents related to its investigation of potential federal regulatory healthcare offenses. We are fully cooperating with the U.S. Department of Justice to promptly respond to the requests for information in this subpoena, but we cannot predict when the investigation will be resolved, the outcome of the investigation or its potential impact on our business which may ultimately be greater than we expect. In addition, responding to this subpoena, and any litigation or government investigation generally, diverts the attention of our management team and diverts resources from our core business. As such, the time and attention of our management team in responding to these matters may limit their time available to devote to our business, and we may also incur significant expenses or experience losses in relation to these matters. As a result of these matters, we may also be required to alter the conduct of our operations or pay penalties. Any of these circumstances may adversely affect our business, prospects, reputation and results of operations.</w:t>
      </w:r>
    </w:p>
    <w:p>
      <w:pPr>
        <w:spacing w:after="0" w:line="189" w:lineRule="exact"/>
        <w:rPr>
          <w:sz w:val="20"/>
          <w:szCs w:val="20"/>
          <w:color w:val="auto"/>
        </w:rPr>
      </w:pPr>
    </w:p>
    <w:p>
      <w:pPr>
        <w:ind w:right="580"/>
        <w:spacing w:after="0" w:line="225" w:lineRule="auto"/>
        <w:rPr>
          <w:sz w:val="20"/>
          <w:szCs w:val="20"/>
          <w:color w:val="auto"/>
        </w:rPr>
      </w:pPr>
      <w:r>
        <w:rPr>
          <w:rFonts w:ascii="Arial" w:cs="Arial" w:eastAsia="Arial" w:hAnsi="Arial"/>
          <w:sz w:val="18"/>
          <w:szCs w:val="18"/>
          <w:b w:val="1"/>
          <w:bCs w:val="1"/>
          <w:i w:val="1"/>
          <w:iCs w:val="1"/>
          <w:color w:val="auto"/>
        </w:rPr>
        <w:t>The FDA may disagree with our assessment that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 products and any other tests we may develop are LDTs and determine that such test products are medical devices subject to the FDCA and FDA regulations.</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FDA regulates diagnostic tests that meet the definition of a medical device, except under specific, narrow circumstances. The Federal Food, Drug and Cosmetic Act, or FDCA, defines a medical device as “an instrument, apparatus, implement, machine, contrivance, implant, in vitro reagent, or other similar or related article, including a component part, or accessory which is ,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8" w:name="page59"/>
    <w:bookmarkEnd w:id="58"/>
    <w:p>
      <w:pPr>
        <w:ind w:right="40"/>
        <w:spacing w:after="0"/>
        <w:rPr>
          <w:sz w:val="20"/>
          <w:szCs w:val="20"/>
          <w:color w:val="auto"/>
        </w:rPr>
      </w:pPr>
      <w:r>
        <w:rPr>
          <w:rFonts w:ascii="Arial" w:cs="Arial" w:eastAsia="Arial" w:hAnsi="Arial"/>
          <w:sz w:val="18"/>
          <w:szCs w:val="18"/>
          <w:color w:val="auto"/>
        </w:rPr>
        <w:t>defines an in vitro diagnostic test, or IVD, is defined as “reagents, instruments, and systems intended for use in the diagnosis of disease or other conditions, including a determination of the state of health, in order to cure, mitigate, treat, or prevent disease or its sequelae.” Therefore, the FDA generally considers our testing products to be IVDs subject to the agency’s regulatory requirements. However, the FDA has generally exercised its enforcement discretion and not enforced applicable regulations with respect to LDTs, which are IVDs that are designed, manufactured, and used within a single high-complexity CLIA-certified laboratory for use only in that laboratory. We believe that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are LDTs, as are our near-term pipeline candidate tests.</w:t>
      </w:r>
    </w:p>
    <w:p>
      <w:pPr>
        <w:spacing w:after="0" w:line="67" w:lineRule="exact"/>
        <w:rPr>
          <w:sz w:val="20"/>
          <w:szCs w:val="20"/>
          <w:color w:val="auto"/>
        </w:rPr>
      </w:pPr>
    </w:p>
    <w:p>
      <w:pPr>
        <w:ind w:right="80"/>
        <w:spacing w:after="0" w:line="220" w:lineRule="auto"/>
        <w:rPr>
          <w:sz w:val="20"/>
          <w:szCs w:val="20"/>
          <w:color w:val="auto"/>
        </w:rPr>
      </w:pPr>
      <w:r>
        <w:rPr>
          <w:rFonts w:ascii="Arial" w:cs="Arial" w:eastAsia="Arial" w:hAnsi="Arial"/>
          <w:sz w:val="18"/>
          <w:szCs w:val="18"/>
          <w:color w:val="auto"/>
        </w:rPr>
        <w:t>If the FDA were to disagree with our conclusion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fall within the scope of the agency’s LDT definition and determines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are thus subject to FDA’s medical device authorities and implementing regulations, we would become subject to extensive regulatory requirements and may be required to stop selling our existing test or not launch any other tests we may develop. In particular, the FDA may require us to obtain PMAs or another type of device marketing authorization in order for us to commercialize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The premarket review process for diagnostic products can be lengthy, expensive, time-consuming, and unpredictable. As part of the process to prepare regulatory submissions for FDA review, we may be required to conduct formal clinical trials before applying for commercial marketing authorization. Performing additional, new clinical studies and trials in order to obtain product approval from the FDA, if any were to become necessary, would take a significant amount of time and would substantially delay our ability to commercialize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all of which would adversely impact our business.</w:t>
      </w:r>
    </w:p>
    <w:p>
      <w:pPr>
        <w:spacing w:after="0" w:line="7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While we believe that we are currently in material compliance with applicable laws and regulations as historically enforced by the FDA with respect to LDTs, we cannot assure you that the FDA will agree with our determination. A determination that we have violated these laws and regulations, or a public announcement that we are being investigated for possible violations, could adversely affect our business, prospects, results of operations, and financial condition.</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The FDA may undertake rulemaking to regulate LDTs or Congress may reform the current legal requirements applicable to LDTs, in which case 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18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We currently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as LDTs and may in the future market other tests as LDTs. The FDA has adopted a policy of enforcement discretion with respect to LDTs whereby the FDA does not generally actively enforce its regulatory requirements for such tests. However, in the past the FDA has stated its intention to modify its enforcement discretion policy with respect to LDTs. If there are changes in FDA regulations and legislative authorities such that the agency begins to exercise oversight over LDTs, we may become subject to extensive regulatory requirements and may be required to stop selling our existing test or launching any other tests we may develop and to conduct additional clinical trials or take other actions prior to continuing to market our tests. If the FDA allows our tests to remain on the market but there is uncertainty about our tests, if they are labeled investigational by the FDA or if labeling claims the FDA allows us to make are very limited, orders from healthcare providers or reimbursement for our tests may decline.</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Since 2017, Congress has been working on legislation to create an LDT and IVD, regulatory framework that would be separate and distinct from the existing medical device regulatory framework. In March 2020, a bipartisan group of members from both chambers of Congress formally introduced the Verifying Accurate, Leading-edge IVCT Development, or VALID Act, which would codify the term “in vitro clinical test,” or IVCT, and create a new medical product category separate from medical devices that includes products currently regulated as IVDs as well as LDTs, among other provisions. The VALID Act would also create a new system for laboratories to use to submit their tests electronically to the FDA for approval, which is aimed at reducing the amount of time it would take for the agency to approve such tests, and establish a new program to expedite the development of diagnostic tests that can be used to address a current unmet need for patients. A substantively unchanged version of the VALID Act was reintroduced in both houses of Congress on June 24, 2021.</w:t>
      </w:r>
    </w:p>
    <w:p>
      <w:pPr>
        <w:spacing w:after="0" w:line="15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Moreover, HHS published a policy announcement in August 2020 stating that FDA must go through a notice-and- comment rulemaking process before requiring premarket review of LDTs as medical devices, rather than making such a change through guidance documents, compliance manuals, or other informal policy statements. HHS’s policy statement did not affect proposed legislation for the regulation of LDTs, such as the VALID Act described above. In November 2021, the Biden Administration withdrew that HHS policy announcement and ostensibly restored FDA’s regulatory oversight of LDTs.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59" w:name="page60"/>
    <w:bookmarkEnd w:id="59"/>
    <w:p>
      <w:pPr>
        <w:ind w:right="300"/>
        <w:spacing w:after="0" w:line="238" w:lineRule="auto"/>
        <w:rPr>
          <w:sz w:val="20"/>
          <w:szCs w:val="20"/>
          <w:color w:val="auto"/>
        </w:rPr>
      </w:pPr>
      <w:r>
        <w:rPr>
          <w:rFonts w:ascii="Arial" w:cs="Arial" w:eastAsia="Arial" w:hAnsi="Arial"/>
          <w:sz w:val="18"/>
          <w:szCs w:val="18"/>
          <w:color w:val="auto"/>
        </w:rPr>
        <w:t>If Congress were to pass the VALID Act or any other legislation applicable to the FDA’s regulation of LDTs, we will likely be subject to increased regulatory burdens such as registration and listing requirements, adverse event reporting requirements, and quality control requirements. Any legislation or formal FDA regulatory framework affecting LDTs is also likely to have premarket application requirements prohibiting commercialization without FDA authorization and controls regarding modification to the tests that may require further FDA submissions. Any such process would likely be costly and time-consuming.</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outcome and ultimate impact on our business of any changes to the federal government’s regulation of LDTs is difficult to predict. Potential future increased regulation of our LDTs could result in increased costs and administrative and legal actions for noncompliance, including warning letters, fines, penalties, product suspensions, product recalls, injunctions and other civil and criminal sanctions, which could have a material and adverse effect upon our business, operating results, and financial condition.</w:t>
      </w:r>
    </w:p>
    <w:p>
      <w:pPr>
        <w:spacing w:after="0" w:line="14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Furthermore, should it be required in the future, we cannot be sure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or any new tests that we may develop, will be reviewed and authorized for marketing by the FDA in a timely or cost-effective manner, if authorized at all. Even if such tests are authorized for marketing by the FDA, the agency could limit the test’s indications for use, which may significantly limit the market for that product and may adversely affect our business and financial condition.</w:t>
      </w:r>
    </w:p>
    <w:p>
      <w:pPr>
        <w:spacing w:after="0" w:line="18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The Federal Trade Commission and/or state enforcement or regulatory agencies may object to the methods and materials we use to promote our tests and initiate enforcement against us, which could adversely affect our business and financial condition.</w:t>
      </w:r>
    </w:p>
    <w:p>
      <w:pPr>
        <w:spacing w:after="0" w:line="17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FTC and/or state enforcement or regulatory agencies (including but not limited to the offices of state attorneys general) may object to the materials and methods we use to promote our current tests or other LDTs we may develop in the future, including with respect to the product claims in our promotional materials, and may initiate enforcement actions against us. Enforcement actions by the FTC may include, among others, injunctions, civil penalties, and equitable monetary relief.</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7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Any failure or perceived failure by us to comply with federal or state laws or regulations, our internal policies and procedures or our contracts governing our use and disclosures of personal information could result in negative publicity, government investigations and enforcement actions including significant penalties, claims by third parties, and damage to our reputation, any of which could have a material adverse effect on our operations, financial performance, and business.</w:t>
      </w:r>
    </w:p>
    <w:p>
      <w:pPr>
        <w:spacing w:after="0" w:line="15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Failure to comply with HIPAA, the HITECH Act, their implementing regulations, and similar comparable state laws and regulations affecting the transmission, security and privacy of health information could result in significant penalties.</w:t>
      </w:r>
    </w:p>
    <w:p>
      <w:pPr>
        <w:spacing w:after="0" w:line="14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Numerous federal, state and foreign laws and regulations, including HIPAA and the HITECH Act, govern the collection, dissemination, disclosure, security, use and confidentiality of individually identifiable health information health-related and other personal information. HIPAA and the HITECH Act require us to comply with standards for the use and disclosure of individually identifiable health information, or PHI, within our company and with third-parties. The privacy, security and breach notification rules promulgated under HIPAA, as amended by the HITECH Act, Standards for Privacy of Individually Identifiable Health Information, or Privacy Standards, and the Security Standards for the Protection of Electronic Protected Health Information, or Security Standards, under HIPAA establish a set of basic national privacy and security standards for the protection of individually identifiable health information by health plans, healthcare clearinghouses and certain healthcare providers, referred to as covered entities, and the business associates with whom such covered entities contract for services. HIPAA requires covered entities, such as us, to develop and maintain policies and procedures with respect to individually identifiable health information that is used or disclosed, including the adoption of administrative, physical and technical safeguards to protect the privacy and security of such information. HIPAA also requires us to provide individuals with certain rights with respect to their PHI.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requirements of HIPAA. Further, in the event of a breach of unsecured PHI we must notify each individual whose PHI is breached as well as federal regulators and in some cases, must publicize the breach in local or national media.</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0" w:name="page61"/>
    <w:bookmarkEnd w:id="60"/>
    <w:p>
      <w:pPr>
        <w:ind w:right="40"/>
        <w:spacing w:after="0" w:line="238" w:lineRule="auto"/>
        <w:rPr>
          <w:sz w:val="20"/>
          <w:szCs w:val="20"/>
          <w:color w:val="auto"/>
        </w:rPr>
      </w:pPr>
      <w:r>
        <w:rPr>
          <w:rFonts w:ascii="Arial" w:cs="Arial" w:eastAsia="Arial" w:hAnsi="Arial"/>
          <w:sz w:val="18"/>
          <w:szCs w:val="18"/>
          <w:color w:val="auto"/>
        </w:rPr>
        <w:t>HIPAA also includes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healthcare providers, are required to conform to such transaction set standards, known as the Standards for Electronic Transactions, pursuant to HIPAA. Submission of electronic healthcare claims and payment transactions that do not comply with the HIPAA electronic data transmission standards could result in delayed or denied payments.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conduct of our business, we process, maintain, and transmit sensitive data, including PHI. There can be no assurance that a breach of privacy or security will not occur. If there is a breach, we could be subject to various lawsuits, penalties, and damages and may be required to incur costs to mitigate the impact of the breach on affected individuals.</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Penalties for failure to comply with a requirement of HIPAA are substantial and could include corrective action plans and/or the imposition of civil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certain states have adopted comparable privacy and security laws and regulations, some of which may be more stringent than HIPAA. For example, the California Consumer Privacy Act, or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CPRA recently passed in California and may increase our compliance costs and potential liability, imposes additional data protection obligations on covered businesses, including additional consumer rights processes, limitations on data uses, new audit requirements for higher risk data, and adds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(for example Virginia's Consumer Data Protection Act that was enacted in February 2021), any liability from failure to comply with the requirements of these laws could adversely affect our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w:t>
      </w:r>
    </w:p>
    <w:p>
      <w:pPr>
        <w:spacing w:after="0" w:line="234" w:lineRule="auto"/>
        <w:rPr>
          <w:sz w:val="20"/>
          <w:szCs w:val="20"/>
          <w:color w:val="auto"/>
        </w:rPr>
      </w:pPr>
      <w:r>
        <w:rPr>
          <w:rFonts w:ascii="Arial" w:cs="Arial" w:eastAsia="Arial" w:hAnsi="Arial"/>
          <w:sz w:val="18"/>
          <w:szCs w:val="18"/>
          <w:color w:val="auto"/>
        </w:rPr>
        <w:t>EEA. Companies that must comply with the GDPR face increased compliance obligations and risk, including more robust regulatory</w:t>
      </w:r>
    </w:p>
    <w:p>
      <w:pPr>
        <w:spacing w:after="0" w:line="235" w:lineRule="auto"/>
        <w:rPr>
          <w:sz w:val="20"/>
          <w:szCs w:val="20"/>
          <w:color w:val="auto"/>
        </w:rPr>
      </w:pPr>
      <w:r>
        <w:rPr>
          <w:rFonts w:ascii="Arial" w:cs="Arial" w:eastAsia="Arial" w:hAnsi="Arial"/>
          <w:sz w:val="18"/>
          <w:szCs w:val="18"/>
          <w:color w:val="auto"/>
        </w:rPr>
        <w:t>enforcement of data protection requirements and potential fines for noncompliance of up to €20 million or 4% of the annual global revenues</w:t>
      </w:r>
    </w:p>
    <w:p>
      <w:pPr>
        <w:spacing w:after="0" w:line="235" w:lineRule="auto"/>
        <w:rPr>
          <w:sz w:val="20"/>
          <w:szCs w:val="20"/>
          <w:color w:val="auto"/>
        </w:rPr>
      </w:pPr>
      <w:r>
        <w:rPr>
          <w:rFonts w:ascii="Arial" w:cs="Arial" w:eastAsia="Arial" w:hAnsi="Arial"/>
          <w:sz w:val="18"/>
          <w:szCs w:val="18"/>
          <w:color w:val="auto"/>
        </w:rPr>
        <w:t>of the noncompliant company, whichever is greater. Among other requirements, the GDPR regulates transfers of personal data subject to the</w:t>
      </w:r>
    </w:p>
    <w:p>
      <w:pPr>
        <w:spacing w:after="0" w:line="235" w:lineRule="auto"/>
        <w:rPr>
          <w:sz w:val="20"/>
          <w:szCs w:val="20"/>
          <w:color w:val="auto"/>
        </w:rPr>
      </w:pPr>
      <w:r>
        <w:rPr>
          <w:rFonts w:ascii="Arial" w:cs="Arial" w:eastAsia="Arial" w:hAnsi="Arial"/>
          <w:sz w:val="18"/>
          <w:szCs w:val="18"/>
          <w:color w:val="auto"/>
        </w:rPr>
        <w:t>GDPR to third countries that have not been found to provide adequate protection to such personal data, including the United States, and the</w:t>
      </w:r>
    </w:p>
    <w:p>
      <w:pPr>
        <w:spacing w:after="0" w:line="235" w:lineRule="auto"/>
        <w:rPr>
          <w:sz w:val="20"/>
          <w:szCs w:val="20"/>
          <w:color w:val="auto"/>
        </w:rPr>
      </w:pPr>
      <w:r>
        <w:rPr>
          <w:rFonts w:ascii="Arial" w:cs="Arial" w:eastAsia="Arial" w:hAnsi="Arial"/>
          <w:sz w:val="18"/>
          <w:szCs w:val="18"/>
          <w:color w:val="auto"/>
        </w:rPr>
        <w:t>efficacy and longevity of current transfer mechanisms between the EU and the United States remains uncertain. For example, in 2016, the</w:t>
      </w:r>
    </w:p>
    <w:p>
      <w:pPr>
        <w:spacing w:after="0" w:line="234" w:lineRule="auto"/>
        <w:rPr>
          <w:sz w:val="20"/>
          <w:szCs w:val="20"/>
          <w:color w:val="auto"/>
        </w:rPr>
      </w:pPr>
      <w:r>
        <w:rPr>
          <w:rFonts w:ascii="Arial" w:cs="Arial" w:eastAsia="Arial" w:hAnsi="Arial"/>
          <w:sz w:val="18"/>
          <w:szCs w:val="18"/>
          <w:color w:val="auto"/>
        </w:rPr>
        <w:t>EU and United States agreed to a transfer framework for data transferred from the EU to the United States, called the Privacy Shield, but the</w:t>
      </w:r>
    </w:p>
    <w:p>
      <w:pPr>
        <w:spacing w:after="0" w:line="235" w:lineRule="auto"/>
        <w:rPr>
          <w:sz w:val="20"/>
          <w:szCs w:val="20"/>
          <w:color w:val="auto"/>
        </w:rPr>
      </w:pPr>
      <w:r>
        <w:rPr>
          <w:rFonts w:ascii="Arial" w:cs="Arial" w:eastAsia="Arial" w:hAnsi="Arial"/>
          <w:sz w:val="18"/>
          <w:szCs w:val="18"/>
          <w:color w:val="auto"/>
        </w:rPr>
        <w:t>Privacy Shield was invalidated in July 2020 by the Court of Justice of the European Union. Further, from January 1, 2021, companies have to</w:t>
      </w:r>
    </w:p>
    <w:p>
      <w:pPr>
        <w:spacing w:after="0" w:line="235" w:lineRule="auto"/>
        <w:rPr>
          <w:sz w:val="20"/>
          <w:szCs w:val="20"/>
          <w:color w:val="auto"/>
        </w:rPr>
      </w:pPr>
      <w:r>
        <w:rPr>
          <w:rFonts w:ascii="Arial" w:cs="Arial" w:eastAsia="Arial" w:hAnsi="Arial"/>
          <w:sz w:val="18"/>
          <w:szCs w:val="18"/>
          <w:color w:val="auto"/>
        </w:rPr>
        <w:t>comply with the GDPR and also the United Kingdom GDPR, or the UK GDPR, which, together with the amended UK Data Protection Act</w:t>
      </w:r>
    </w:p>
    <w:p>
      <w:pPr>
        <w:spacing w:after="0" w:line="235" w:lineRule="auto"/>
        <w:rPr>
          <w:sz w:val="20"/>
          <w:szCs w:val="20"/>
          <w:color w:val="auto"/>
        </w:rPr>
      </w:pPr>
      <w:r>
        <w:rPr>
          <w:rFonts w:ascii="Arial" w:cs="Arial" w:eastAsia="Arial" w:hAnsi="Arial"/>
          <w:sz w:val="18"/>
          <w:szCs w:val="18"/>
          <w:color w:val="auto"/>
        </w:rPr>
        <w:t>2018, retains the GDPR in UK national law. The UK GDPR mirrors the fines under the GDPR, i.e., fines up to the greater of €20 million</w:t>
      </w:r>
    </w:p>
    <w:p>
      <w:pPr>
        <w:spacing w:after="0" w:line="235" w:lineRule="auto"/>
        <w:rPr>
          <w:sz w:val="20"/>
          <w:szCs w:val="20"/>
          <w:color w:val="auto"/>
        </w:rPr>
      </w:pPr>
      <w:r>
        <w:rPr>
          <w:rFonts w:ascii="Arial" w:cs="Arial" w:eastAsia="Arial" w:hAnsi="Arial"/>
          <w:sz w:val="18"/>
          <w:szCs w:val="18"/>
          <w:color w:val="auto"/>
        </w:rPr>
        <w:t>(£17.5 million) or 4% of global turnover. The relationship between the United Kingdom and the European Union in relation to certain aspects</w:t>
      </w:r>
    </w:p>
    <w:p>
      <w:pPr>
        <w:spacing w:after="0" w:line="234" w:lineRule="auto"/>
        <w:rPr>
          <w:sz w:val="20"/>
          <w:szCs w:val="20"/>
          <w:color w:val="auto"/>
        </w:rPr>
      </w:pPr>
      <w:r>
        <w:rPr>
          <w:rFonts w:ascii="Arial" w:cs="Arial" w:eastAsia="Arial" w:hAnsi="Arial"/>
          <w:sz w:val="18"/>
          <w:szCs w:val="18"/>
          <w:color w:val="auto"/>
        </w:rPr>
        <w:t>of data protection law remains unclear, and it is unclear how United Kingdom data protection laws and regulations will develop in the medium</w:t>
      </w:r>
    </w:p>
    <w:p>
      <w:pPr>
        <w:spacing w:after="0" w:line="235" w:lineRule="auto"/>
        <w:rPr>
          <w:sz w:val="20"/>
          <w:szCs w:val="20"/>
          <w:color w:val="auto"/>
        </w:rPr>
      </w:pPr>
      <w:r>
        <w:rPr>
          <w:rFonts w:ascii="Arial" w:cs="Arial" w:eastAsia="Arial" w:hAnsi="Arial"/>
          <w:sz w:val="18"/>
          <w:szCs w:val="18"/>
          <w:color w:val="auto"/>
        </w:rPr>
        <w:t>to longer term, and how data transfers to and from the United Kingdom will be regulated in the long term. Currently there is a four to six-</w:t>
      </w:r>
    </w:p>
    <w:p>
      <w:pPr>
        <w:spacing w:after="0" w:line="235" w:lineRule="auto"/>
        <w:rPr>
          <w:sz w:val="20"/>
          <w:szCs w:val="20"/>
          <w:color w:val="auto"/>
        </w:rPr>
      </w:pPr>
      <w:r>
        <w:rPr>
          <w:rFonts w:ascii="Arial" w:cs="Arial" w:eastAsia="Arial" w:hAnsi="Arial"/>
          <w:sz w:val="18"/>
          <w:szCs w:val="18"/>
          <w:color w:val="auto"/>
        </w:rPr>
        <w:t>month grace period agreed in the EU and United Kingdom Trade and Cooperation Agreement, ending June 30, 2021 at the latest, whilst the</w:t>
      </w:r>
    </w:p>
    <w:p>
      <w:pPr>
        <w:spacing w:after="0" w:line="235" w:lineRule="auto"/>
        <w:rPr>
          <w:sz w:val="20"/>
          <w:szCs w:val="20"/>
          <w:color w:val="auto"/>
        </w:rPr>
      </w:pPr>
      <w:r>
        <w:rPr>
          <w:rFonts w:ascii="Arial" w:cs="Arial" w:eastAsia="Arial" w:hAnsi="Arial"/>
          <w:sz w:val="18"/>
          <w:szCs w:val="18"/>
          <w:color w:val="auto"/>
        </w:rPr>
        <w:t>parties discuss an adequacy decision. However, it is not clear whether (and when) an adequacy decision may be granted by the European</w:t>
      </w:r>
    </w:p>
    <w:p>
      <w:pPr>
        <w:spacing w:after="0" w:line="235" w:lineRule="auto"/>
        <w:rPr>
          <w:sz w:val="20"/>
          <w:szCs w:val="20"/>
          <w:color w:val="auto"/>
        </w:rPr>
      </w:pPr>
      <w:r>
        <w:rPr>
          <w:rFonts w:ascii="Arial" w:cs="Arial" w:eastAsia="Arial" w:hAnsi="Arial"/>
          <w:sz w:val="18"/>
          <w:szCs w:val="18"/>
          <w:color w:val="auto"/>
        </w:rPr>
        <w:t>Commission enabling data transfers from EU member states to the United Kingdom long term without additional measures. These changes</w:t>
      </w:r>
    </w:p>
    <w:p>
      <w:pPr>
        <w:spacing w:after="0"/>
        <w:rPr>
          <w:sz w:val="20"/>
          <w:szCs w:val="20"/>
          <w:color w:val="auto"/>
        </w:rPr>
      </w:pPr>
      <w:r>
        <w:rPr>
          <w:rFonts w:ascii="Arial" w:cs="Arial" w:eastAsia="Arial" w:hAnsi="Arial"/>
          <w:sz w:val="18"/>
          <w:szCs w:val="18"/>
          <w:color w:val="auto"/>
        </w:rPr>
        <w:t>may lead to additional costs and increase our overall risk exposure.</w:t>
      </w:r>
    </w:p>
    <w:p>
      <w:pPr>
        <w:spacing w:after="0" w:line="15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regulatory framework governing the collection, storage, use, and sharing of certain information, particularly financial and other personal information, is rapidly evolving and is likely to continue to be subject to uncertainty and varying interpretations. It is possible that these laws may be interpreted and applied in a manner that is inconsistent with our existing practices. Any failure or perceived failure by us, or any third parties with which we do business, to comply with our privacy policies, changing expectations, evolving laws, rules and regulations, industry standards, 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1" w:name="page62"/>
    <w:bookmarkEnd w:id="61"/>
    <w:p>
      <w:pPr>
        <w:ind w:right="180"/>
        <w:spacing w:after="0" w:line="238" w:lineRule="auto"/>
        <w:rPr>
          <w:sz w:val="20"/>
          <w:szCs w:val="20"/>
          <w:color w:val="auto"/>
        </w:rPr>
      </w:pPr>
      <w:r>
        <w:rPr>
          <w:rFonts w:ascii="Arial" w:cs="Arial" w:eastAsia="Arial" w:hAnsi="Arial"/>
          <w:sz w:val="18"/>
          <w:szCs w:val="18"/>
          <w:color w:val="auto"/>
        </w:rPr>
        <w:t>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5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3"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future growth may depend, in part, on our ability to develop and commercialize our testing products and/or promote therapeutics in foreign markets. We are not permitted to market or promote any of our testing products or promote therapeutics before we or our future partners receive regulatory approval from applicable regulatory authorities in foreign markets, and we or they may never receive such regulatory approvals for any of our testing products or promoted therapeutics. To obtain separate regulatory approval in many other countries, parties must comply with numerous and varying regulatory requirements regarding safety and efficacy and governing, among other things, clinical trials, commercial sales, pricing and distribution of our testing products. If we or our partners obtain regulatory approval of our testing products and promoted therapeutics, and ultimately commercialize our testing products or promoted therapeutics in foreign markets, we would be subject to additional risks and uncertainties, including:</w:t>
      </w:r>
    </w:p>
    <w:p>
      <w:pPr>
        <w:spacing w:after="0" w:line="4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49" w:lineRule="exact"/>
        <w:rPr>
          <w:rFonts w:ascii="Arial" w:cs="Arial" w:eastAsia="Arial" w:hAnsi="Arial"/>
          <w:sz w:val="18"/>
          <w:szCs w:val="18"/>
          <w:color w:val="auto"/>
        </w:rPr>
      </w:pPr>
    </w:p>
    <w:p>
      <w:pPr>
        <w:ind w:left="660" w:right="640" w:hanging="328"/>
        <w:spacing w:after="0" w:line="24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49" w:lineRule="exact"/>
        <w:rPr>
          <w:rFonts w:ascii="Arial" w:cs="Arial" w:eastAsia="Arial" w:hAnsi="Arial"/>
          <w:sz w:val="18"/>
          <w:szCs w:val="18"/>
          <w:color w:val="auto"/>
        </w:rPr>
      </w:pPr>
    </w:p>
    <w:p>
      <w:pPr>
        <w:ind w:left="660" w:right="560" w:hanging="328"/>
        <w:spacing w:after="0" w:line="24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the current conflict in Ukraine, or natural disasters which may be exacerbated due to climate change, including earthquakes, typhoons, floods and fires.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intellectual property protection our competitive position could be harmed.</w:t>
      </w:r>
    </w:p>
    <w:p>
      <w:pPr>
        <w:spacing w:after="0" w:line="180"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Our ability to protect our technologies such as CB-CAPs and methotrexate polyglutamates, or MTXPGs,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will be considered patentable or enforceable by the United States Patent and Trademark Office, or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14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apply for patents covering our testing products and technologies and uses thereof, as we deem appropriate, however we may fail to apply for patents on important testing products and technologies in a timely fashion or at all, or we may fail to apply for patents in potentially relevant jurisdictions, or we may cease our prosecution and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2" w:name="page63"/>
    <w:bookmarkEnd w:id="62"/>
    <w:p>
      <w:pPr>
        <w:ind w:right="60"/>
        <w:spacing w:after="0" w:line="218" w:lineRule="auto"/>
        <w:rPr>
          <w:sz w:val="20"/>
          <w:szCs w:val="20"/>
          <w:color w:val="auto"/>
        </w:rPr>
      </w:pPr>
      <w:r>
        <w:rPr>
          <w:rFonts w:ascii="Arial" w:cs="Arial" w:eastAsia="Arial" w:hAnsi="Arial"/>
          <w:sz w:val="18"/>
          <w:szCs w:val="18"/>
          <w:color w:val="auto"/>
        </w:rPr>
        <w:t>maintenance of patents in potentially relevant jurisdictions. Currently, we own or have an exclusive license to 11 issued U.S. patents, and certain corresponding foreign counterpart patents, relevant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own one issued U.S. patent, three pending U.S. patent applications, a pending PCT patent application and certain corresponding foreign counterpart patents and patent applications relevant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Furthermore, even if they are unchallenged, our patents may not adequately protect our intellectual property, provide exclusivity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or prevent others from designing around our claims.</w:t>
      </w:r>
    </w:p>
    <w:p>
      <w:pPr>
        <w:spacing w:after="0" w:line="8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49"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development processes that involve proprietary know-how, information or technology that is not covered by patents. However, trade secrets can be difficult to protect. While we use commercially reasonable efforts to protect our trade secrets, our licensors, employees, 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 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15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testing products utilize unpatented technology that is publicly available and can be used by our competitors.</w:t>
      </w:r>
    </w:p>
    <w:p>
      <w:pPr>
        <w:spacing w:after="0" w:line="169"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Certain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such as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 which compete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Our competitors may independently develop competing diagnostic products and services that do not infringe our intellectual property.</w:t>
      </w:r>
    </w:p>
    <w:p>
      <w:pPr>
        <w:spacing w:after="0" w:line="180" w:lineRule="exact"/>
        <w:rPr>
          <w:sz w:val="20"/>
          <w:szCs w:val="20"/>
          <w:color w:val="auto"/>
        </w:rPr>
      </w:pPr>
    </w:p>
    <w:p>
      <w:pPr>
        <w:ind w:right="580"/>
        <w:spacing w:after="0" w:line="225"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products.</w:t>
      </w:r>
    </w:p>
    <w:p>
      <w:pPr>
        <w:spacing w:after="0" w:line="14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3" w:name="page64"/>
    <w:bookmarkEnd w:id="63"/>
    <w:p>
      <w:pPr>
        <w:ind w:right="20"/>
        <w:spacing w:after="0" w:line="237" w:lineRule="auto"/>
        <w:rPr>
          <w:sz w:val="20"/>
          <w:szCs w:val="20"/>
          <w:color w:val="auto"/>
        </w:rPr>
      </w:pPr>
      <w:r>
        <w:rPr>
          <w:rFonts w:ascii="Arial" w:cs="Arial" w:eastAsia="Arial" w:hAnsi="Arial"/>
          <w:sz w:val="18"/>
          <w:szCs w:val="18"/>
          <w:color w:val="auto"/>
        </w:rPr>
        <w:t>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 property embodied in our testing products pursuant to the Bayh-Dole Act of 1980, or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6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Filing, prosecuting and defending patents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our patents or other intellectual property rights may not be effective or sufficient to prevent them from competing.</w:t>
      </w:r>
    </w:p>
    <w:p>
      <w:pPr>
        <w:spacing w:after="0" w:line="15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4" w:name="page65"/>
    <w:bookmarkEnd w:id="64"/>
    <w:p>
      <w:pPr>
        <w:ind w:right="80"/>
        <w:spacing w:after="0" w:line="238" w:lineRule="auto"/>
        <w:rPr>
          <w:sz w:val="20"/>
          <w:szCs w:val="20"/>
          <w:color w:val="auto"/>
        </w:rPr>
      </w:pPr>
      <w:r>
        <w:rPr>
          <w:rFonts w:ascii="Arial" w:cs="Arial" w:eastAsia="Arial" w:hAnsi="Arial"/>
          <w:sz w:val="18"/>
          <w:szCs w:val="18"/>
          <w:color w:val="auto"/>
        </w:rPr>
        <w:t>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testing products may be dependent on third parties.</w:t>
      </w:r>
    </w:p>
    <w:p>
      <w:pPr>
        <w:spacing w:after="0" w:line="18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5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15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4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 any limitations on our ability to utilize these technologies may impair our ability to develop, out-license or market and sell our testing products.</w:t>
      </w:r>
    </w:p>
    <w:p>
      <w:pPr>
        <w:spacing w:after="0" w:line="183"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65" w:name="page66"/>
    <w:bookmarkEnd w:id="65"/>
    <w:p>
      <w:pPr>
        <w:spacing w:after="0" w:line="214" w:lineRule="auto"/>
        <w:rPr>
          <w:sz w:val="20"/>
          <w:szCs w:val="20"/>
          <w:color w:val="auto"/>
        </w:rPr>
      </w:pPr>
      <w:r>
        <w:rPr>
          <w:rFonts w:ascii="Arial" w:cs="Arial" w:eastAsia="Arial" w:hAnsi="Arial"/>
          <w:sz w:val="18"/>
          <w:szCs w:val="18"/>
          <w:color w:val="auto"/>
        </w:rPr>
        <w:t>We are a party to a number of license agreements under which we are granted intellectual property rights that are important to our business. For example, certain patent rights related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are licensed from the University of Pittsburgh. Our existing license agreements as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15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81"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 these fees, and our outside counsel employs an outside firm to pay these fees due to the USPTO and to foreign patent agencies based on 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the University of Pittsburgh related to our CB-CAPs technology.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91" w:lineRule="exact"/>
        <w:rPr>
          <w:sz w:val="20"/>
          <w:szCs w:val="20"/>
          <w:color w:val="auto"/>
        </w:rPr>
      </w:pPr>
    </w:p>
    <w:p>
      <w:pPr>
        <w:ind w:right="114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11" w:lineRule="exact"/>
        <w:rPr>
          <w:sz w:val="20"/>
          <w:szCs w:val="20"/>
          <w:color w:val="auto"/>
        </w:rPr>
      </w:pPr>
    </w:p>
    <w:p>
      <w:pPr>
        <w:ind w:right="320"/>
        <w:spacing w:after="0" w:line="221" w:lineRule="auto"/>
        <w:rPr>
          <w:sz w:val="20"/>
          <w:szCs w:val="20"/>
          <w:color w:val="auto"/>
        </w:rPr>
      </w:pPr>
      <w:r>
        <w:rPr>
          <w:rFonts w:ascii="Arial" w:cs="Arial" w:eastAsia="Arial" w:hAnsi="Arial"/>
          <w:sz w:val="18"/>
          <w:szCs w:val="18"/>
          <w:color w:val="auto"/>
        </w:rPr>
        <w:t>Presently we have intellectual property rights, through licenses from third parties and under patents that we own,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our future partners, if any, may be unable to acquire any necessary rights for any promoted therapeutics.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50"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or our future partners, if any, consider necessary or attractive in order to promote their therapeutics. More established companies may have a competitive advantage over us due to their size, cash resources and greater clinical development and commercialization capabilities.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6" w:name="page67"/>
    <w:bookmarkEnd w:id="66"/>
    <w:p>
      <w:pPr>
        <w:spacing w:after="0" w:line="225"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or our partner are unable to successfully obtain rights to required third-party intellectual property rights on commercially reasonable terms, our ability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promote therapeutics, and our business, financial condition and prospects for growth could suffer.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development efforts.</w:t>
      </w:r>
    </w:p>
    <w:p>
      <w:pPr>
        <w:spacing w:after="0" w:line="18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 the possibility of third-party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the diagnostics industry expands and more patents are issued, the risk increases that our activities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may give rise to claims of infringement of the patent rights of others.</w:t>
      </w:r>
    </w:p>
    <w:p>
      <w:pPr>
        <w:spacing w:after="0" w:line="147" w:lineRule="exact"/>
        <w:rPr>
          <w:sz w:val="20"/>
          <w:szCs w:val="20"/>
          <w:color w:val="auto"/>
        </w:rPr>
      </w:pPr>
    </w:p>
    <w:p>
      <w:pPr>
        <w:ind w:right="60"/>
        <w:spacing w:after="0" w:line="203" w:lineRule="auto"/>
        <w:rPr>
          <w:sz w:val="20"/>
          <w:szCs w:val="20"/>
          <w:color w:val="auto"/>
        </w:rPr>
      </w:pPr>
      <w:r>
        <w:rPr>
          <w:rFonts w:ascii="Arial" w:cs="Arial" w:eastAsia="Arial" w:hAnsi="Arial"/>
          <w:sz w:val="18"/>
          <w:szCs w:val="18"/>
          <w:color w:val="auto"/>
        </w:rPr>
        <w:t>We cannot assure you that any of our current or future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will not infringe existing or future patents. Although we are not aware of any issued patents that will prevent us from marketing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there may be third-party patents of which we are currently unaware with claims to materials or methods of manufacture related to the use or manufacture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If a third party that owns such a patent asserts it successfully against one of our current or future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be unable to market our product, which could materially harm our business and because patent applications can take many years to issue and may be confidential for 18 months or more after filing, there may be currently pending third-party patent applications which may later result in issued patents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or our technologies may infringe, or which such third parties claim are infringed by the use of our technologies.</w:t>
      </w:r>
    </w:p>
    <w:p>
      <w:pPr>
        <w:spacing w:after="0" w:line="149"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Parties making claims against us for infringement or misappropriation of their intellectual property rights may seek and obtain injunctive or other equitable relief, which could effectively block our ability to further develop one or more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fail to obtain any of these licenses at a reasonable cost or on reasonable terms, if at all. In that event, we would be unable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which could harm our business significantly. Even if we were able to obtain a license, the rights may be nonexclusive, which may give our competitors access to the same intellectual property.</w:t>
      </w:r>
    </w:p>
    <w:p>
      <w:pPr>
        <w:spacing w:after="0" w:line="15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technology.</w:t>
      </w:r>
    </w:p>
    <w:p>
      <w:pPr>
        <w:spacing w:after="0" w:line="11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We may be involved in proceedings to protect or enforce our patents or the patents of our licensors, which could be expensive, time-consuming and unsuccessful.</w:t>
      </w:r>
    </w:p>
    <w:p>
      <w:pPr>
        <w:spacing w:after="0" w:line="12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Third parties may infringe, misappropriate or otherwise violate our existing patents, patents that may issue to us in the future, or the patents of our licensors that are licensed to us. To counter infringement or unauthorized use, we may be required to file infringement claims, which can be expensive and time-consuming. We may not be able to</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7" w:name="page68"/>
    <w:bookmarkEnd w:id="67"/>
    <w:p>
      <w:pPr>
        <w:ind w:right="500"/>
        <w:spacing w:after="0" w:line="246" w:lineRule="auto"/>
        <w:rPr>
          <w:sz w:val="20"/>
          <w:szCs w:val="20"/>
          <w:color w:val="auto"/>
        </w:rPr>
      </w:pPr>
      <w:r>
        <w:rPr>
          <w:rFonts w:ascii="Arial" w:cs="Arial" w:eastAsia="Arial" w:hAnsi="Arial"/>
          <w:sz w:val="18"/>
          <w:szCs w:val="18"/>
          <w:color w:val="auto"/>
        </w:rPr>
        <w:t>prevent, alone or with our licensors, misappropriation of our intellectual property rights, particularly in countries where the laws may not protect those rights as fully as in the United States.</w:t>
      </w:r>
    </w:p>
    <w:p>
      <w:pPr>
        <w:spacing w:after="0" w:line="132" w:lineRule="exact"/>
        <w:rPr>
          <w:sz w:val="20"/>
          <w:szCs w:val="20"/>
          <w:color w:val="auto"/>
        </w:rPr>
      </w:pPr>
    </w:p>
    <w:p>
      <w:pPr>
        <w:ind w:right="60"/>
        <w:spacing w:after="0" w:line="217" w:lineRule="auto"/>
        <w:rPr>
          <w:sz w:val="20"/>
          <w:szCs w:val="20"/>
          <w:color w:val="auto"/>
        </w:rPr>
      </w:pPr>
      <w:r>
        <w:rPr>
          <w:rFonts w:ascii="Arial" w:cs="Arial" w:eastAsia="Arial" w:hAnsi="Arial"/>
          <w:sz w:val="18"/>
          <w:szCs w:val="18"/>
          <w:color w:val="auto"/>
        </w:rPr>
        <w:t>In addition, if we or one of our licensors initiated legal proceedings against a third party to enforce a patent covering one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 defendant could counterclaim that the patent covering such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Such a loss of patent protection could have a material adverse impact on our business.</w:t>
      </w:r>
    </w:p>
    <w:p>
      <w:pPr>
        <w:spacing w:after="0" w:line="15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patents or other intellectual property rights, the risk-adjusted cost of bringing and enforcing such a claim or action may be too high or not in the best interest of our company or our stockholders. We are not aware of any third-party infringement of our intellectual property rights that would have a materially adverse impact on our business.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18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22"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public trading price for our common stock is affected by a number of factors, including:</w:t>
      </w:r>
    </w:p>
    <w:p>
      <w:pPr>
        <w:spacing w:after="0" w:line="5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financial condition and results of operations;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strategic partnerships or capital commitments;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reimbursement by current or potential third-party payors;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testing products;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8" w:name="page69"/>
    <w:bookmarkEnd w:id="68"/>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sales of our common stock by our executive officers, directors and other stockholders; and</w:t>
      </w:r>
    </w:p>
    <w:p>
      <w:pPr>
        <w:spacing w:after="0" w:line="49" w:lineRule="exact"/>
        <w:rPr>
          <w:rFonts w:ascii="Arial" w:cs="Arial" w:eastAsia="Arial" w:hAnsi="Arial"/>
          <w:sz w:val="18"/>
          <w:szCs w:val="18"/>
          <w:color w:val="auto"/>
        </w:rPr>
      </w:pPr>
    </w:p>
    <w:p>
      <w:pPr>
        <w:ind w:left="660" w:right="24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including as a result of the COVID-19 pandemic and the current conflict in Ukraine.</w:t>
      </w:r>
    </w:p>
    <w:p>
      <w:pPr>
        <w:spacing w:after="0" w:line="14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As a result of this volatility, you may not realize any return on your investment in us and may lose some or all of your investment.</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trading price of our common stock and impair our ability to raise adequate capital through the sale of additional equity securities.</w:t>
      </w:r>
    </w:p>
    <w:p>
      <w:pPr>
        <w:spacing w:after="0" w:line="14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addition, our directors and executive officers have and may continue to establish programmed selling plans under Rule 10b5-1 of the Exchange Act for the purpose of effecting sales of our common stock. Any sales of securities by directors and executive officers, or the perception that those sales may occur, including the entry into such programmed selling plans, could have a material adverse effect on the trading price of our common stock, particularly if the trading volume of our common stock is relatively low at the time of these sales.</w:t>
      </w:r>
    </w:p>
    <w:p>
      <w:pPr>
        <w:spacing w:after="0" w:line="15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the holders of 5,117,230 shares of common stock and holders of warrants to purchase 409,108 shares of common stock are entitled to rights with respect to registration of such shares under the Securities Act pursuant to an investors’ rights agreement between such holders and us. If such holders, by exercising their registration rights, sell a large number of shares, they could adversely affect the market price for our common stock. If we file a registration statement for the purpose of selling additional shares to raise capital and are required to include shares held by these holders pursuant to the exercise of their registration rights, our ability to raise capital may be impaired.</w:t>
      </w:r>
    </w:p>
    <w:p>
      <w:pPr>
        <w:spacing w:after="0" w:line="180"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22"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41" w:lineRule="exact"/>
        <w:rPr>
          <w:sz w:val="20"/>
          <w:szCs w:val="20"/>
          <w:color w:val="auto"/>
        </w:rPr>
      </w:pPr>
    </w:p>
    <w:p>
      <w:pPr>
        <w:ind w:left="660" w:right="1000" w:hanging="328"/>
        <w:spacing w:after="0" w:line="24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49" w:lineRule="exact"/>
        <w:rPr>
          <w:rFonts w:ascii="Arial" w:cs="Arial" w:eastAsia="Arial" w:hAnsi="Arial"/>
          <w:sz w:val="18"/>
          <w:szCs w:val="18"/>
          <w:color w:val="auto"/>
        </w:rPr>
      </w:pPr>
    </w:p>
    <w:p>
      <w:pPr>
        <w:ind w:left="660" w:right="180" w:hanging="328"/>
        <w:spacing w:after="0"/>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40" w:lineRule="exact"/>
        <w:rPr>
          <w:rFonts w:ascii="Arial" w:cs="Arial" w:eastAsia="Arial" w:hAnsi="Arial"/>
          <w:sz w:val="18"/>
          <w:szCs w:val="18"/>
          <w:color w:val="auto"/>
        </w:rPr>
      </w:pPr>
    </w:p>
    <w:p>
      <w:pPr>
        <w:ind w:left="660" w:right="40" w:hanging="328"/>
        <w:spacing w:after="0" w:line="24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69" w:name="page70"/>
    <w:bookmarkEnd w:id="69"/>
    <w:p>
      <w:pPr>
        <w:jc w:val="both"/>
        <w:ind w:left="660" w:right="60" w:hanging="328"/>
        <w:spacing w:after="0"/>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49" w:lineRule="exact"/>
        <w:rPr>
          <w:rFonts w:ascii="Arial" w:cs="Arial" w:eastAsia="Arial" w:hAnsi="Arial"/>
          <w:sz w:val="18"/>
          <w:szCs w:val="18"/>
          <w:color w:val="auto"/>
        </w:rPr>
      </w:pPr>
    </w:p>
    <w:p>
      <w:pPr>
        <w:ind w:left="660" w:right="120" w:hanging="328"/>
        <w:spacing w:after="0" w:line="274"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2" w:lineRule="exact"/>
        <w:rPr>
          <w:rFonts w:ascii="Arial" w:cs="Arial" w:eastAsia="Arial" w:hAnsi="Arial"/>
          <w:sz w:val="17"/>
          <w:szCs w:val="17"/>
          <w:color w:val="auto"/>
        </w:rPr>
      </w:pPr>
    </w:p>
    <w:p>
      <w:pPr>
        <w:ind w:left="660" w:right="2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34" w:lineRule="exact"/>
        <w:rPr>
          <w:rFonts w:ascii="Arial" w:cs="Arial" w:eastAsia="Arial" w:hAnsi="Arial"/>
          <w:sz w:val="18"/>
          <w:szCs w:val="18"/>
          <w:color w:val="auto"/>
        </w:rPr>
      </w:pPr>
    </w:p>
    <w:p>
      <w:pPr>
        <w:ind w:left="660" w:right="36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34" w:lineRule="exact"/>
        <w:rPr>
          <w:rFonts w:ascii="Arial" w:cs="Arial" w:eastAsia="Arial" w:hAnsi="Arial"/>
          <w:sz w:val="18"/>
          <w:szCs w:val="18"/>
          <w:color w:val="auto"/>
        </w:rPr>
      </w:pPr>
    </w:p>
    <w:p>
      <w:pPr>
        <w:ind w:left="660" w:right="26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34" w:lineRule="exact"/>
        <w:rPr>
          <w:rFonts w:ascii="Arial" w:cs="Arial" w:eastAsia="Arial" w:hAnsi="Arial"/>
          <w:sz w:val="18"/>
          <w:szCs w:val="18"/>
          <w:color w:val="auto"/>
        </w:rPr>
      </w:pPr>
    </w:p>
    <w:p>
      <w:pPr>
        <w:ind w:left="660" w:right="100" w:hanging="328"/>
        <w:spacing w:after="0"/>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1"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3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amended and restated certificate of incorporation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any action asserting a claim against us that is governed by the internal affairs doctrine; provided, that, this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 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1"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Based on their most recent publicly filed beneficial ownership reports, our greater than 5% stockholders collectively own approximately 72% of our outstanding capital stock and our greater than 5% stockholders, directors and officers collectively own (without duplication) approximately 73% of our outstanding capital stock as of February 15, 2022. As a result, such persons, acting together,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2" w:right="379" w:bottom="1440" w:gutter="0" w:footer="0" w:header="0"/>
        </w:sectPr>
      </w:pPr>
    </w:p>
    <w:bookmarkStart w:id="70" w:name="page71"/>
    <w:bookmarkEnd w:id="70"/>
    <w:p>
      <w:pPr>
        <w:jc w:val="both"/>
        <w:ind w:right="60"/>
        <w:spacing w:after="0"/>
        <w:rPr>
          <w:sz w:val="20"/>
          <w:szCs w:val="20"/>
          <w:color w:val="auto"/>
        </w:rPr>
      </w:pPr>
      <w:r>
        <w:rPr>
          <w:rFonts w:ascii="Arial" w:cs="Arial" w:eastAsia="Arial" w:hAnsi="Arial"/>
          <w:sz w:val="18"/>
          <w:szCs w:val="18"/>
          <w:color w:val="auto"/>
        </w:rPr>
        <w:t>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81"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12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currently intend to retain any future earnings to fund the growth of our business. In addition, our Amended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be maintained.</w:t>
      </w:r>
    </w:p>
    <w:p>
      <w:pPr>
        <w:spacing w:after="0" w:line="18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Prior to our IPO, there had been no public market for our common stock. Our common stock only recently began trading on the Nasdaq Global Market, or Nasdaq, but we can provide no assurance that we will be able to develop and sustain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 Since 2020, our average daily trading volume has been approximately 47,000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Our failure to meet the continued listing requirements of the Nasdaq Global Market, or Nasdaq, could result in a delisting of our common stock.</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8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trading market for our common stock depends in part on the research and reports that equity research analysts publish about us and our business. Currently, we have limited analyst coverage and we do not have any control over such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22"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may remain an emerging growth company until the last day of the fiscal year following the fifth anniversary of the completion of our initial public offering, or IPO. However, if certain events occur prior to the end of such five-year period, including if we become a “large accelerated filer,” our annual gross revenue exceeds $1.07 billion or we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1" w:name="page72"/>
    <w:bookmarkEnd w:id="71"/>
    <w:p>
      <w:pPr>
        <w:ind w:right="280"/>
        <w:spacing w:after="0" w:line="238" w:lineRule="auto"/>
        <w:rPr>
          <w:sz w:val="20"/>
          <w:szCs w:val="20"/>
          <w:color w:val="auto"/>
        </w:rPr>
      </w:pPr>
      <w:r>
        <w:rPr>
          <w:rFonts w:ascii="Arial" w:cs="Arial" w:eastAsia="Arial" w:hAnsi="Arial"/>
          <w:sz w:val="18"/>
          <w:szCs w:val="18"/>
          <w:color w:val="auto"/>
        </w:rPr>
        <w:t>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43" w:lineRule="exact"/>
        <w:rPr>
          <w:sz w:val="20"/>
          <w:szCs w:val="20"/>
          <w:color w:val="auto"/>
        </w:rPr>
      </w:pPr>
    </w:p>
    <w:p>
      <w:pPr>
        <w:ind w:left="660" w:right="300" w:hanging="328"/>
        <w:spacing w:after="0"/>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condensed financial statements, with correspondingly reduced “Management’s discussion and analysis of financial condition and results of operations” disclosure;</w:t>
      </w:r>
    </w:p>
    <w:p>
      <w:pPr>
        <w:spacing w:after="0" w:line="40" w:lineRule="exact"/>
        <w:rPr>
          <w:rFonts w:ascii="Arial" w:cs="Arial" w:eastAsia="Arial" w:hAnsi="Arial"/>
          <w:sz w:val="18"/>
          <w:szCs w:val="18"/>
          <w:color w:val="auto"/>
        </w:rPr>
      </w:pPr>
    </w:p>
    <w:p>
      <w:pPr>
        <w:ind w:left="660" w:right="720" w:hanging="328"/>
        <w:spacing w:after="0" w:line="24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34" w:lineRule="exact"/>
        <w:rPr>
          <w:rFonts w:ascii="Arial" w:cs="Arial" w:eastAsia="Arial" w:hAnsi="Arial"/>
          <w:sz w:val="18"/>
          <w:szCs w:val="18"/>
          <w:color w:val="auto"/>
        </w:rPr>
      </w:pPr>
    </w:p>
    <w:p>
      <w:pPr>
        <w:ind w:left="660" w:right="260" w:hanging="328"/>
        <w:spacing w:after="0"/>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49"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4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4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be required to devote substantial time to compliance initiatives.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a public company, we incur significant legal, accounting and other expenses. We are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Securities and Exchange Commission, or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5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testing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2" w:name="page73"/>
    <w:bookmarkEnd w:id="72"/>
    <w:p>
      <w:pPr>
        <w:jc w:val="both"/>
        <w:ind w:right="640"/>
        <w:spacing w:after="0" w:line="25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3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Pursuant to Section 404 of Sarbanes-Oxley, our management has been required to report upon the effectiveness of our internal control over financial reporting beginning with the annual report for our fiscal year ending December 31, 2020.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are in process of upgrading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5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8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political instability, acts of war, including the current conflict in Ukraine, and other natural or manmade disasters (which may be exacerbated due to climate change) or business interruptions, for which we are predominantly self-insured. We rely on third-party manufacturers to produce our testing products. Our ability to obtain 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3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3" w:name="page74"/>
    <w:bookmarkEnd w:id="73"/>
    <w:p>
      <w:pPr>
        <w:ind w:right="80"/>
        <w:spacing w:after="0" w:line="236" w:lineRule="auto"/>
        <w:rPr>
          <w:sz w:val="20"/>
          <w:szCs w:val="20"/>
          <w:color w:val="auto"/>
        </w:rPr>
      </w:pPr>
      <w:r>
        <w:rPr>
          <w:rFonts w:ascii="Arial" w:cs="Arial" w:eastAsia="Arial" w:hAnsi="Arial"/>
          <w:sz w:val="18"/>
          <w:szCs w:val="18"/>
          <w:color w:val="auto"/>
        </w:rPr>
        <w:t>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Item 2. Properties.</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Our corporate headquarters are located in Vista, California, where we lease approximately 27,000 square feet of office and laboratory space under a lease that expires in 2027, with an option to extend a portion of the lease for an additional five-year period.</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lease an additional approximately 19,500 square feet office space in Vista, California, under a lease that is co-terminus with our other lease expiring in 2027, with an option to extend the lease for an additional five-year period. We also lease an additional approximately 28,000 square feet office space in Carlsbad, California, under a sublease that is co-terminus with our other leases expiring in 2027. We believe that our current facilities are adequate for our current needs and that suitable additional alternative spaces will be available in the future on commercially reasonable terms, if required.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Legal Proceedings.</w:t>
      </w:r>
    </w:p>
    <w:p>
      <w:pPr>
        <w:spacing w:after="0" w:line="27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Items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500" w:firstLine="512"/>
        <w:spacing w:after="0" w:line="49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260"/>
        <w:spacing w:after="0" w:line="261" w:lineRule="auto"/>
        <w:rPr>
          <w:sz w:val="20"/>
          <w:szCs w:val="20"/>
          <w:color w:val="auto"/>
        </w:rPr>
      </w:pPr>
      <w:r>
        <w:rPr>
          <w:rFonts w:ascii="Arial" w:cs="Arial" w:eastAsia="Arial" w:hAnsi="Arial"/>
          <w:sz w:val="18"/>
          <w:szCs w:val="18"/>
          <w:color w:val="auto"/>
        </w:rPr>
        <w:t>Our common stock began trading on The Nasdaq Global Market on September 19, 2019 under the symbol "XGN." Prior to September 19, 2019, there was no public market for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93"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As of March 18, 2022, there were approximately 41 stockholders of record of our common stock. This number was derived from our shareholder records and does not include beneficial owners of our common stock whose shares are held in "street" name with various dealers, clearing agencies, banks, brokers and other fiduciaries.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Amended Loan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See Part III, Item 12 of this Annual Report under the section titled "Security Ownership of Certain Beneficial Owners and Management" for information about our equity compensation plans which is incorporated by reference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 shares of our common stock at the initial public offering price to the public of $14.00 per share, which included the exercise in full of the underwriters’ option to purchase additional shares. We received gross proceeds from the IPO of $58.0 million, before deducting underwriting discounts, commissions and other offering expenses, which resulted in net proceeds of approximately $50.4 million and offering-related transaction costs of 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December 31, 2021, we have used approximately $39.5 million of the proceeds from our IPO primarily related to selling and marketing activities. There has been no material change in the planned use of such proceeds from that described in the final prospectus filed by us with the SEC on September 20,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76" w:name="page77"/>
    <w:bookmarkEnd w:id="76"/>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Item 6. [Reserved.]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3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and financial performance, includes forward-looking statements that are based on current beliefs, plans and expectations and involve risks, uncertainties and assumptions. You should read the "Special note regarding forward-looking statements" and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are based on our proprietary CB-CAPs technology. Our goal is to enable healthcare providers to improve care for patients through the differential diagnosis, prognosis and monitoring of complex autoimmune and autoimmune-related diseases, including SLE and RA. Our business model of integrating testing products and therapeutics positions us to offer targeted solutions to rheumatologists and, ultimately, better serve patients.</w:t>
      </w:r>
    </w:p>
    <w:p>
      <w:pPr>
        <w:spacing w:after="0" w:line="154"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81% and 70% of our revenue for the years ended December 31, 2021 and 2020,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6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leveraging our portfolio of testing products to establish partnerships with leading pharmaceutical companies, academic research centers and patient advocacy organizations. We also have agreements with GSK, Labcorp Drug Development and Parexel, among others, that leverage our testing products and/or the information generated from such tests. We provide GSK, a leader in lupus therapeutics, our test result data to provide market insight into and help increase awareness of the benefits of early and accurate diagnosis of SLE and lupus nephritis, and monitoring disease activity. We partner with academic research centers and patient advocacy organizations, such as Brigham and Women's Hospital, Hospital for Special Surgery, Duke University and Emory University as well as the Lupus Foundation of America, to help improve the quality of life for people affected by autoimmune diseases through programs of research, education, support and advocacy. We plan to pursue additional strategic partnerships that are synergistic with our evolving portfolio of testing products.</w:t>
      </w:r>
    </w:p>
    <w:p>
      <w:pPr>
        <w:spacing w:after="0" w:line="14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10,000 square foot clinical laboratory, which is certified by CLIA and accredited by CAP, and located in Vista, California. Our laboratory is certified for performance of high-complexity testing by CMS in accordance with CLIA and is licensed by all states requiring out-of-state licensure. Our clinical laboratory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 In the second half of 2021, we began the conversion of approximately 8,000 square feet of warehouse space into additional clinical laboratory space and approximately 6,000 square feet of warehouse space into additional research and development facility space, and expect to complete such conversions by the first quarter of 2022 and mid 2022, respectively. The expansion of our clinical laboratory and research and development facility are expected to allow us to enhance our testing capacity and improve efficiencies as well as allow us to develop molecular and multiomic capabilities and advance our product pipeline, including support of development of tests for fibromyalgia, RA, thrombosis and lupus nephritis.</w:t>
      </w:r>
    </w:p>
    <w:p>
      <w:pPr>
        <w:spacing w:after="0" w:line="153" w:lineRule="exact"/>
        <w:rPr>
          <w:sz w:val="20"/>
          <w:szCs w:val="20"/>
          <w:color w:val="auto"/>
        </w:rPr>
      </w:pPr>
    </w:p>
    <w:p>
      <w:pPr>
        <w:ind w:right="980"/>
        <w:spacing w:after="0" w:line="225"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 force. As of December 31, 2021, we have a sales force of 61 representatives covering a total of 63 territories. Unlike many diagnostic sales forces that are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78" w:name="page79"/>
    <w:bookmarkEnd w:id="78"/>
    <w:p>
      <w:pPr>
        <w:spacing w:after="0" w:line="253" w:lineRule="auto"/>
        <w:rPr>
          <w:sz w:val="20"/>
          <w:szCs w:val="20"/>
          <w:color w:val="auto"/>
        </w:rPr>
      </w:pPr>
      <w:r>
        <w:rPr>
          <w:rFonts w:ascii="Arial" w:cs="Arial" w:eastAsia="Arial" w:hAnsi="Arial"/>
          <w:sz w:val="18"/>
          <w:szCs w:val="18"/>
          <w:color w:val="auto"/>
        </w:rPr>
        <w:t>trained only to understand the comparative benefits of their tests, the specialized backgrounds of our sales 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payors, such as insurance companies and health maintenance organizations, government payors, such as Medicare, and patients. Reimbursement rates vary by product and payor. We continue to focus on expanding coverage among existing contracted rheumatologists and to achieve coverage with commercial payors, laboratory benefit managers and evidence review organizations.</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Since inception we have devoted substantially all of our efforts developing and marketing products for the diagnosis, prognosis and monitoring of autoimmune diseases. Although our revenue has increased sequentially year over year, we have never been profitable and, as of December 31, 2021 we had an accumulated deficit of $208.1 million. We incurred net losses of $26.9 million and $16.7 million for the years ended December 31, 2021 and 2020,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We completed our initial public offering, or IPO, in September 2019, raising net proceeds from the offering of approximately $50.4 million, net of underwriting discounts, commissions and other offering expenses, for aggregate expenses of approximately $7.5 million. In March 2021, we completed a public offering of 4,255,000 shares of our common stock at a public offering price of $16.25 per share. Net proceeds from the offering were approximately $64.7 million, net of underwriting discounts and commissions and offering costs of $4.4 million. As of December 31, 2021, we had $99.4 million of cash and cash equivalents.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9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have taken actions in an effort to slow the spread of COVID-19, including issuing varying forms of "stay-at-home" orders, restricting business functions outside of one's home, restricting gatherings, restricting travel, and mandating social distancing and face coverings. While many jurisdictions have fully reopened or have begun a phased re-opening, the potential to return to prior restrictions remain if there are future increases (or, in some jurisdictions, continued increases) in new cases of COVID-19 or any of its viral variants, including the Delta and Omicron variants. Even in areas that have fully reopened and where the number of COVID-19 cases has declined, many individuals remain cautious about resuming activities such as preventative-care medical visits. As a result of COVID-19 related limitations and reordering of priorities across the U.S. healthcare system, a reduction in patient flow occurred and our test volumes began to decrease in the second half of March 2020 and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decrease of approximately 5% in the year ended December 31, 2020 as compared to 2019. In the fourth quarter of 2020, our volume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exceeded our pre-COVID-19 levels. For the three months ended December 31, 2021 as compared to the same period in 2020,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increase of approximately 19%. For the year ended December 31, 2021 as compared to the same period in 2020,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28%. However, the continued spread of COVID-19 and patient hesitancy in seeking preventative medical care, each of which are dependent on circumstances that are highly uncertain, may adversely affect testing volumes in future periods.</w:t>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as our inability to achieve volume-based pricing discounts with our key suppliers and absorb fixed laboratory expenses. For example, we have experienced delays in patient enrollment for ongoing and planned clinical studies involving our tests, which may delay or prevent launch of future test products. We have also experienced delays, beginning in the first quarter of 2021, in procurement of our testing supplies due in part to disruptions to the global supply chain resulting from the COVID-19 pandemic, which may continue into the future, and our partners, may also experience a disruption in their ability to readily obtain supply. Our sales force has been,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9" w:name="page80"/>
    <w:bookmarkEnd w:id="79"/>
    <w:p>
      <w:pPr>
        <w:ind w:right="100"/>
        <w:spacing w:after="0" w:line="252" w:lineRule="auto"/>
        <w:rPr>
          <w:sz w:val="20"/>
          <w:szCs w:val="20"/>
          <w:color w:val="auto"/>
        </w:rPr>
      </w:pPr>
      <w:r>
        <w:rPr>
          <w:rFonts w:ascii="Arial" w:cs="Arial" w:eastAsia="Arial" w:hAnsi="Arial"/>
          <w:sz w:val="18"/>
          <w:szCs w:val="18"/>
          <w:color w:val="auto"/>
        </w:rPr>
        <w:t>and for an extended period of time may continue to be limited, in their in-person interactions with healthcare providers, and therefore, also limited in their ability to engage in various types of healthcare provider education activities. Healthcare providers and patients have canceled or delayed scheduling, and for an extended period of time may continue to cancel or delay scheduling, standard wellness visits and other non-emergency appointments and procedures, contributing to a decline in orders of our testing products. The portion of our workforce which has been working remotely in an effort to reduce the spread of COVID-19, may be infected from the virus or otherwise distracted. We are facing and may continue to face increased competition for laboratory and scientific employees due to the increased demand in the industry for such personnel. We may inaccurately estimate the duration or severity of the COVID-19 pandemic, which could cause us to misalign our staffing, spending, activities and precautionary measures with market current or future market conditions.</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response to the COVID-19 pandemic, we initially curtailed non-essential travel and have equipped most of our employees with the ability to work remotely with the exception of our clinical laboratory employees, and implemented measures to protect the health of our employees and to support the functionality of our clinical laboratory, such as providing personal protective equipment (including face masks or shields) and maintaining social distancing. In addition, in the second quarter of 2020, our sales force recommenced certain field-based interactions and scaled marketing spend, although access to healthcare providers remains limited and the use of virtual sales tools has increased. From March 2020 through December 31, 2020, as a result of the COVID-19 pandemic, we terminated our temporary employees and 18 full-time employees, which included three employees at the vice president level. During 2021, we returned to normalized personnel levels. The full extent of which the COVID-19 pandemic will directly or indirectly continue to impact our business, results of operations and financial condition and will depend on future developments that are highly uncertain, including as a result of new information that may emerge concerning COVID-19 and the actions taken to contain it or treat COVID-19, including success of ongoing vaccination efforts, the emergence and prevalence of variant strains of COVID-19, the institution or reinstitution of shutdowns, "stay-at-home-orders" and other public health measures, as well as the related economic impact of these matters on local, regional and international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addition to the impact of COVID-19, we believe there are several important factors that have impacted, and that we expect will impact, our operating performance and results of operations, including:</w:t>
      </w:r>
    </w:p>
    <w:p>
      <w:pPr>
        <w:spacing w:after="0" w:line="284" w:lineRule="exact"/>
        <w:rPr>
          <w:sz w:val="20"/>
          <w:szCs w:val="20"/>
          <w:color w:val="auto"/>
        </w:rPr>
      </w:pPr>
    </w:p>
    <w:p>
      <w:pPr>
        <w:ind w:left="660" w:right="100" w:hanging="328"/>
        <w:spacing w:after="0" w:line="238" w:lineRule="auto"/>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December 31, 2021,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delivered over 615,000 of these tests. For the year ended December 31, 2021, 128,246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approximately 28% growth over the same period in 2020. In the fourth quarter of 2021, the number of ordering healthcare providers reached a record 2,126, representing an approximate 26% increase over the same period in 2020, and we had a record 739 adopting healthcare providers (defined as those who previously prescribed at least 11 diagnostic tests in the corresponding period) compared to 635 in the same period in 2020. A high percentage of adopting healthcare providers continue to order tests in subsequent quarters, as approximately 99% of adopting healthcare providers from the third quarter of 2021 ordered at least one diagnostic test in the fourth quarter of 2021. Revenue growth for our testing products will depend on our ability to continue to expand our base of ordering healthcare providers and increase our penetration with existing healthcare providers.</w:t>
      </w:r>
    </w:p>
    <w:p>
      <w:pPr>
        <w:spacing w:after="0" w:line="90" w:lineRule="exact"/>
        <w:rPr>
          <w:rFonts w:ascii="Arial" w:cs="Arial" w:eastAsia="Arial" w:hAnsi="Arial"/>
          <w:sz w:val="18"/>
          <w:szCs w:val="18"/>
          <w:color w:val="auto"/>
        </w:rPr>
      </w:pPr>
    </w:p>
    <w:p>
      <w:pPr>
        <w:ind w:left="660" w:right="100" w:hanging="328"/>
        <w:spacing w:after="0" w:line="253" w:lineRule="auto"/>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and government payors such as Medicare. Payment from third-party payors differs depending on whether we have entered into a contract with the payors as a "participating provider" or do not have a contract and are considered a "non-participating provider." Payors will often reimburse non-participating providers, if at all, at a lower amount than participating providers. We have received a substantial portion of our revenue from a limited number of third-party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0" w:name="page81"/>
    <w:bookmarkEnd w:id="80"/>
    <w:p>
      <w:pPr>
        <w:ind w:left="660" w:right="160"/>
        <w:spacing w:after="0" w:line="261" w:lineRule="auto"/>
        <w:rPr>
          <w:sz w:val="20"/>
          <w:szCs w:val="20"/>
          <w:color w:val="auto"/>
        </w:rPr>
      </w:pPr>
      <w:r>
        <w:rPr>
          <w:rFonts w:ascii="Arial" w:cs="Arial" w:eastAsia="Arial" w:hAnsi="Arial"/>
          <w:sz w:val="18"/>
          <w:szCs w:val="18"/>
          <w:color w:val="auto"/>
        </w:rPr>
        <w:t>expected. Additionally, retrospective reimbursement adjustments can negatively impact our revenue and cause our financial results to fluctuate.</w:t>
      </w:r>
    </w:p>
    <w:p>
      <w:pPr>
        <w:spacing w:after="0" w:line="68" w:lineRule="exact"/>
        <w:rPr>
          <w:sz w:val="20"/>
          <w:szCs w:val="20"/>
          <w:color w:val="auto"/>
        </w:rPr>
      </w:pPr>
    </w:p>
    <w:p>
      <w:pPr>
        <w:ind w:left="660" w:right="220" w:hanging="328"/>
        <w:spacing w:after="0"/>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Synergistic Partnerships</w:t>
      </w:r>
      <w:r>
        <w:rPr>
          <w:rFonts w:ascii="Arial" w:cs="Arial" w:eastAsia="Arial" w:hAnsi="Arial"/>
          <w:sz w:val="18"/>
          <w:szCs w:val="18"/>
          <w:color w:val="auto"/>
        </w:rPr>
        <w:t>. In August 2021, we mutually agreed to terminate the Janssen Agreement regarding our promotion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efforts with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effective August 31, 2021.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approximately $1.2 million and $5.1 million in revenue for the years ended December 31, 2021 and 2020, respectively. We will continue to rely on our existing testing products to drive revenue growth.</w:t>
      </w:r>
    </w:p>
    <w:p>
      <w:pPr>
        <w:spacing w:after="0" w:line="86" w:lineRule="exact"/>
        <w:rPr>
          <w:rFonts w:ascii="Arial" w:cs="Arial" w:eastAsia="Arial" w:hAnsi="Arial"/>
          <w:sz w:val="18"/>
          <w:szCs w:val="18"/>
          <w:color w:val="auto"/>
        </w:rPr>
      </w:pPr>
    </w:p>
    <w:p>
      <w:pPr>
        <w:ind w:left="660" w:right="20" w:hanging="328"/>
        <w:spacing w:after="0"/>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spacing w:after="0" w:line="86" w:lineRule="exact"/>
        <w:rPr>
          <w:rFonts w:ascii="Arial" w:cs="Arial" w:eastAsia="Arial" w:hAnsi="Arial"/>
          <w:sz w:val="18"/>
          <w:szCs w:val="18"/>
          <w:color w:val="auto"/>
        </w:rPr>
      </w:pPr>
    </w:p>
    <w:p>
      <w:pPr>
        <w:ind w:left="660" w:right="100" w:hanging="328"/>
        <w:spacing w:after="0" w:line="282" w:lineRule="auto"/>
        <w:tabs>
          <w:tab w:leader="none" w:pos="656"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Maintain Meaningful Margin</w:t>
      </w:r>
      <w:r>
        <w:rPr>
          <w:rFonts w:ascii="Arial" w:cs="Arial" w:eastAsia="Arial" w:hAnsi="Arial"/>
          <w:sz w:val="17"/>
          <w:szCs w:val="17"/>
          <w:color w:val="auto"/>
        </w:rPr>
        <w:t>. We believe we are well positioned to maintain meaningful margin through a continued focus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operating leverage through the implementation of certain internal initiatives, such as conducting additional validation and reimbursement oriented clinical studies to facilitate payor coverage of our testing products, capitalizing on our growing reagent purchasing to negotiate improved volume-based pricing and automation in our clinical laboratory to reduce material and labor costs.</w:t>
      </w:r>
    </w:p>
    <w:p>
      <w:pPr>
        <w:spacing w:after="0" w:line="53" w:lineRule="exact"/>
        <w:rPr>
          <w:rFonts w:ascii="Arial" w:cs="Arial" w:eastAsia="Arial" w:hAnsi="Arial"/>
          <w:sz w:val="17"/>
          <w:szCs w:val="17"/>
          <w:color w:val="auto"/>
        </w:rPr>
      </w:pPr>
    </w:p>
    <w:p>
      <w:pPr>
        <w:ind w:left="660" w:hanging="328"/>
        <w:spacing w:after="0" w:line="246" w:lineRule="auto"/>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79" w:lineRule="exact"/>
        <w:rPr>
          <w:rFonts w:ascii="Arial" w:cs="Arial" w:eastAsia="Arial" w:hAnsi="Arial"/>
          <w:sz w:val="18"/>
          <w:szCs w:val="18"/>
          <w:color w:val="auto"/>
        </w:rPr>
      </w:pPr>
    </w:p>
    <w:p>
      <w:pPr>
        <w:ind w:left="660" w:right="60" w:hanging="328"/>
        <w:spacing w:after="0" w:line="268" w:lineRule="auto"/>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payor. Changes to such estimates may increase or decrease revenue recognized in future periods.</w:t>
      </w:r>
    </w:p>
    <w:p>
      <w:pPr>
        <w:spacing w:after="0" w:line="13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193"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In December 2018, we entered into the Janssen Agreement, under which we were responsible for the costs associated with our sales force in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August 2021, we and Janssen mutually agreed to terminate the Janssen Agreement effective August 31, 2021. Pursuant to the Janssen Agreement, Janssen was responsible for all other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our sales and co-promotional services, we were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For the year ended December 31, 2020, the tiered promotion fee ranged from $750 to $1,250 per prescription over a predetermined baseline. Due in part to COVID-19, in June 2020 we amended the Janssen Agreement, to adjust the predetermined average baseline for the third and fourth quarters of 2020. In December 2020, we further amended the Janssen Agreement, to adjust the average baseline for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quarters ending December 31, 2020, March 31, 2021, subject to further adjustment under certain circumstances. In June 2021, the Janssen Agreement was again amended to proportionally increase the baseline for prescribed units for the quarter ending June 30, 2021 to reflect the addition of certain geographies to the sales territories covered by the Janssen Agreement. For the first and second quarters of 2021, we earned the minimum promotion fee of $0.3 million. Upon termination of the Janssen Agreement on August 31, 2021, we became entitled to receive an aggregate $0.6 million in consideration, which was earned in the year ended December 31, 2021. Pursuant to the terms of the termination, we are restricted from promoting any other biologic or Janus kinase inhibitor used for treatment of indications covered by the Janssen Agreement without first obtaining Janssen's written consent until May 31, 2022.</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81" w:name="page82"/>
    <w:bookmarkEnd w:id="81"/>
    <w:p>
      <w:pPr>
        <w:ind w:right="20"/>
        <w:spacing w:after="0" w:line="261" w:lineRule="auto"/>
        <w:rPr>
          <w:sz w:val="20"/>
          <w:szCs w:val="20"/>
          <w:color w:val="auto"/>
        </w:rPr>
      </w:pPr>
      <w:r>
        <w:rPr>
          <w:rFonts w:ascii="Arial" w:cs="Arial" w:eastAsia="Arial" w:hAnsi="Arial"/>
          <w:sz w:val="18"/>
          <w:szCs w:val="18"/>
          <w:color w:val="auto"/>
        </w:rPr>
        <w:t>We recognized approximately $1.2 million and $5.1 million in revenue for the years ended December 31, 2021 and 2020, respectively, for our promotional efforts under the Janssen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including for example influenza outbreaks that may reduce the percentage of patients that can be seen, and other factors relating to the timing of patient benefit changes, as well as patient deductibles and co-insurance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payors, consist of healthcare insurers, government payors (primarily Medicare and Medicaid), client payors (e.g. hospitals, other laboratories, etc.), and patient self-pay. Our service is completed upon the delivery of test results to the prescribing rheumatologists which triggers billing for the service.</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payor. These assessments require significant judgment by management.</w:t>
      </w:r>
    </w:p>
    <w:p>
      <w:pPr>
        <w:spacing w:after="0" w:line="14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w:t>
      </w:r>
    </w:p>
    <w:p>
      <w:pPr>
        <w:spacing w:after="0" w:line="133"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As discussed above, our volume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substantially recovered to pre-COVID-19 levels in the fourth quarter of 2020. However, the continued spread of COVID-19, including any of its viral variants, may adversely affect testing volumes in future periods, and the extent of any such adverse effects is highly uncertain.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18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14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Each payor, whether a commercial third-party, government, or individual, reimburses us at different amounts. These differences can be significant. As a result, our costs of revenue as a percentage of revenue may vary significantly from period to period due to the composition of payors for each period's billings.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Assuming future testing volumes are not negatively impacted by the continued spread of COVID-19, we expect that our costs of revenue will increase in absolute dollars as the number of tests we perform increases. However, we expect that the cost per test will decrease over time due to volume discounts on materials and other volume efficiencies we may gain as the number of tests we perform increases. The decrease in cost per test may be partially offset due to increased depreciation and allocated overhead associated with our clinical laboratory expansion as well as increased labor, material and shipping costs (including as a result of inflation) associated with the commercialization of our portfolio products. As discussed above, the continued spread of COVID-19 may adversely affect testing volumes which may result in an increase in cost per test due to our inability to realize volume efficiencies.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2" w:name="page83"/>
    <w:bookmarkEnd w:id="82"/>
    <w:p>
      <w:pPr>
        <w:ind w:right="60"/>
        <w:spacing w:after="0" w:line="256"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4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We expect that our selling, general and administrative expenses will increase in absolute dollars in 2022 as compared to 2021, due to expected additions to headcount and associated increases for personnel costs, including stock-based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expect that our research and development expenses will increase in absolute dollars in 2022 as compared to 2021, as we continue to invest in research and development activities related to our existing testing products and product candidates, including the expansion of our clinical research and development facility, expected additions to headcount and associated increases for personnel costs, including stock-based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and security agreement with Innovatus Life Sciences Lending Fund I, LP, or Innovatus.</w:t>
      </w:r>
    </w:p>
    <w:p>
      <w:pPr>
        <w:spacing w:after="0" w:line="14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expect interest expense to decrease in the near term due to lower interest rates related to our amended loan and security agreement with Innovatus.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Other income, net, consists primarily of interest income earned on our cash and cash equivalents and an amount received under the CARES Act Provider Relief Fund in the second quarter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6"/>
        </w:trPr>
        <w:tc>
          <w:tcPr>
            <w:tcW w:w="68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Change</w:t>
            </w:r>
          </w:p>
        </w:tc>
      </w:tr>
      <w:tr>
        <w:trPr>
          <w:trHeight w:val="183"/>
        </w:trPr>
        <w:tc>
          <w:tcPr>
            <w:tcW w:w="6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7,508</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r>
      <w:tr>
        <w:trPr>
          <w:trHeight w:val="22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15,206</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(9,910)</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(10,164)</w:t>
            </w:r>
          </w:p>
        </w:tc>
      </w:tr>
      <w:tr>
        <w:trPr>
          <w:trHeight w:val="21"/>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Revenue increased $ 6.3 million, or 15.1%, for the year ended December 31, 2021 compared to the year ended December 31, 2020, primarily due to an increase in the number of diagnostic tests delivered resulting in part from volume reductions experienced in late March 2020 as a result of the COVID-19 pandemic.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81% and 70% of revenue for the years ended December 31, 2021 and 2020, respectively, increased to 128,246 tests delivered in the year ended December 31, 2021 compared to 100,450 tests delivered in the same 2020 period.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increased to 34,147 for the three months ended December 31, 2021 compared to 28,601 tests delivered in the same 2020 period. The number of ordering healthcare providers increased to 2,126 for the three months ended December 31, 2021 compared to 1,690 in the same 2020 period. The increase in revenue was partially offset by a decrease in revenue resulting from the Janssen Agreement during the year ended December 31, 2021 to approximately $1.2 million compared to approximately $5.1 million for the year ended December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Costs of revenue increased $4.0 million, or 24.3%, for the year ended December 31, 2021 compared to the year ended December 31, 2020. This increase was primarily due to increased direct costs such as materials and supplies, labor and shipping and handling associated with the increase in test volume in 2021 compared to 2020, partially offset by decreased royalty costs. Gross margin as a percentage of revenue decreased to 57.4% for the year ended December 31, 2021, compared to 60.6% for the year ended December 31, 2020. This was primarily attributable to a decrease in revenue resulting from the Janssen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Selling, general and administrative expenses increased $7.5 million, or 20.3%, for the year ended December 31, 2021 compared to the year ended December 31, 2020. This increase was primarily due to an increase of $5.7 million of employee related expenses, including stock-based compensation and recruitment expenses, increases related to insurance expenses of $0.5 million, marketing expenses of $0.5 million and audit and professional services of $0.2 million. The first quarter of 2020 included one-time restructuring charges of approximately $0.2 million.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Research and development expenses increased $3.7 million, or 102.8%, for the year ended December 31, 2021 compared to the year ended December 31, 2020. The increase was primarily due to an increase of $1.2 million of employee related expenses, including stock-based compensation and recruitment expenses, and increases related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84" w:name="page85"/>
    <w:bookmarkEnd w:id="84"/>
    <w:p>
      <w:pPr>
        <w:ind w:right="80"/>
        <w:spacing w:after="0" w:line="261" w:lineRule="auto"/>
        <w:rPr>
          <w:sz w:val="20"/>
          <w:szCs w:val="20"/>
          <w:color w:val="auto"/>
        </w:rPr>
      </w:pPr>
      <w:r>
        <w:rPr>
          <w:rFonts w:ascii="Arial" w:cs="Arial" w:eastAsia="Arial" w:hAnsi="Arial"/>
          <w:sz w:val="18"/>
          <w:szCs w:val="18"/>
          <w:color w:val="auto"/>
        </w:rPr>
        <w:t>to clinical study expenses of $0.9 million, license fees of $0.8 million, laboratory supplies expense of $0.3 million and collaboration expenses of $0.3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substantially consistent for the year ended December 31, 2021 compared to the year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Other income, net, decreased $1.0 million for the year ended December 31, 2021 compared to the year ended December 31, 2020. This decrease was primarily driven by the $0.7 million we received under the CARES Act Provider Relief Fund due to lost revenues attributable to COVID-19 in the second quarter of 2020 and lower money market interest rates in 2021 compared to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Income tax expense increased $0.3 million for the year ended December 31, 2021 compared to the year ended December 31, 2020 due to an expiration of benefits under the CARES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incurred net losses since our inception. For the years ended December 31, 2021 and 2020, we incurred a net loss of $ 26.9 million and $16.7 million, respectively, and we expect to incur additional losses and increased operating expenses in future periods. As of December 31, 2021, we had an accumulated deficit of $208.1 million. To date, we have generated only limited revenue, and we may never achieve revenue sufficient to offset our expenses.</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primary sources of capital have primarily been sales of our common stock and redeemable convertible preferred stock, the sale of our common stock of our IPO, and, to a lesser extent, borrowings under various debt financings. On November 10, 2020, we filed a registration statement on Form S-3, or the Shelf Registration Statement, covering the offering, from time to time, of up to $150.0 million of common stock, preferred stock, debt securities, warrants and units, which Shelf Registration Statement became effective on November 19, 2020. In March 2021, we completed a public offering of 4,255,000 shares of our common stock at a public offering price of $ 16.25 per share, which shares were sold under the Shelf Registration Statement. Net proceeds from the offering were approximately $64.7 million, net of underwriting discounts and commissions and other offering expenses of $4.4 million. As of December 31, 2021, we had $99.4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2017, we entered into the loan and security agreement with Innovatus under which we immediately drew down $20.0 million. In December 2018, we borrowed an additional $5.0 million under the loan agreement. In each of November 2019 and November 2021, we amended the loan and security agreement with Innovatus, which we collectively refer to as the Amended Loan Agreement. Pursuant to the Amended Loan Agreement, the loan term is for nine years with a final maturity date of November 2026. The Amended Loan Agreement accrues interest at an annual rate of 8.0%, of which 2.0% will be payable in-kind. Paid in-kind interest is added to the principal balance each period. After December 1, 2024, the entire 8.0% will be paid in cash at the end of each period. On or after November 1, 2022, we may, at our option, prepay the term loan borrowings by paying the lender a prepayment premium. The prepayment premium was 3% as of November 2021 and decreases by 1% on each of November 1, 2022, November 1, 2023 and November 1, 2024.</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 liquidity of $2.0 million, performance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consequences of failing to achieve the performance covenant will be cured if, within sixty days of failing to achieve the performance covenant, we issue additional equity securities or subordinated debt with net proceeds sufficient to fund any cash flow deficiency generated from operations, as defined in the Amended Loan Agreement. At December 31, 2021, we were in compliance with all</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5" w:name="page86"/>
    <w:bookmarkEnd w:id="85"/>
    <w:p>
      <w:pPr>
        <w:jc w:val="both"/>
        <w:ind w:right="400"/>
        <w:spacing w:after="0" w:line="256" w:lineRule="auto"/>
        <w:rPr>
          <w:sz w:val="20"/>
          <w:szCs w:val="20"/>
          <w:color w:val="auto"/>
        </w:rPr>
      </w:pPr>
      <w:r>
        <w:rPr>
          <w:rFonts w:ascii="Arial" w:cs="Arial" w:eastAsia="Arial" w:hAnsi="Arial"/>
          <w:sz w:val="18"/>
          <w:szCs w:val="18"/>
          <w:color w:val="auto"/>
        </w:rPr>
        <w:t>covenants of the Amended Loan Agreement.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14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April 2020, we received $0.7 million of funding under the CARES Act Provider Relief Fund, subject to our agreement to comply with the Department of Health &amp; Human Services', or HHS, standard terms and conditions. The CARES Act Provider Relief Fund is a federal fund allocated for general distributions to Medicare facilities and providers impacted by the COVID-19 pandemic and is intended to support healthcare-related expenses or lost revenue attributable to COVID-19.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9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 force to drive increased adoption of and reimbursement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prepare to commercialize new testing products, continue our research and development efforts and further develop our product pipeline. We believe we have sufficient laboratory capacity to support increased test volume. We expect to make significant investments for laboratory equipment and capital expenditures in the near term related to our laboratory facilities and expansion of research capabilities, including an investment to convert approximately 8,000 square feet of warehouse space into additional clinical laboratory space and approximately 6,000 square feet of warehouse space into additional research and development facility space. We began such conversion in the second half of 2021 and expect to complete the conversion for the clinical laboratory space by the first quarter of 2022 and expect to complete the conversion for the additional research and development facility by mid 2022. The expansion of our clinical laboratory and research and development facility are expected to allow us to enhance our testing capacity and improve efficiencies as well as allow us to develop molecular and multiomic capabilities and advance our product pipeline, including support of the development of tests for fibromyalgia, RA, thrombosis and lupus nephritis. Cash used to fund operating expenses is impacted by the timing of when we pay expenses, as reflected in the change in our outstanding accounts payable and accrued expenses.</w:t>
      </w:r>
    </w:p>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our office space in Carlsbad, California, and payments for capital leases related to our laboratory equipment (see Note 4 and Note 5 in the audited financial statements included in this Annual Report on Form 10-K).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5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36" w:lineRule="exact"/>
        <w:rPr>
          <w:sz w:val="20"/>
          <w:szCs w:val="20"/>
          <w:color w:val="auto"/>
        </w:rPr>
      </w:pPr>
    </w:p>
    <w:p>
      <w:pPr>
        <w:ind w:left="660" w:right="54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challenges resulting from social distancing and stay-at-home orders through a reduction in testing volumes;</w:t>
      </w:r>
    </w:p>
    <w:p>
      <w:pPr>
        <w:spacing w:after="0" w:line="25" w:lineRule="exact"/>
        <w:rPr>
          <w:rFonts w:ascii="Arial" w:cs="Arial" w:eastAsia="Arial" w:hAnsi="Arial"/>
          <w:sz w:val="18"/>
          <w:szCs w:val="18"/>
          <w:color w:val="auto"/>
        </w:rPr>
      </w:pPr>
    </w:p>
    <w:p>
      <w:pPr>
        <w:ind w:left="660" w:right="80" w:hanging="328"/>
        <w:spacing w:after="0" w:line="225"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54" w:lineRule="exact"/>
        <w:rPr>
          <w:sz w:val="20"/>
          <w:szCs w:val="20"/>
          <w:color w:val="auto"/>
        </w:rPr>
      </w:pPr>
    </w:p>
    <w:p>
      <w:pPr>
        <w:ind w:left="660" w:right="360" w:hanging="328"/>
        <w:spacing w:after="0" w:line="261" w:lineRule="auto"/>
        <w:tabs>
          <w:tab w:leader="none" w:pos="656"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35"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b w:val="1"/>
          <w:bCs w:val="1"/>
          <w:color w:val="auto"/>
        </w:rPr>
      </w:pPr>
    </w:p>
    <w:p>
      <w:pPr>
        <w:ind w:left="660" w:right="160" w:hanging="328"/>
        <w:spacing w:after="0" w:line="261" w:lineRule="auto"/>
        <w:tabs>
          <w:tab w:leader="none" w:pos="656"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efforts;</w:t>
      </w:r>
    </w:p>
    <w:p>
      <w:pPr>
        <w:spacing w:after="0" w:line="35"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additional costs we may incur as a result of operating as a public company;</w:t>
      </w:r>
    </w:p>
    <w:p>
      <w:pPr>
        <w:spacing w:after="0" w:line="63" w:lineRule="exact"/>
        <w:rPr>
          <w:rFonts w:ascii="Arial" w:cs="Arial" w:eastAsia="Arial" w:hAnsi="Arial"/>
          <w:sz w:val="18"/>
          <w:szCs w:val="18"/>
          <w:b w:val="1"/>
          <w:bCs w:val="1"/>
          <w:color w:val="auto"/>
        </w:rPr>
      </w:pPr>
    </w:p>
    <w:p>
      <w:pPr>
        <w:ind w:left="660" w:right="140" w:hanging="328"/>
        <w:spacing w:after="0" w:line="261" w:lineRule="auto"/>
        <w:tabs>
          <w:tab w:leader="none" w:pos="656"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6" w:name="page87"/>
    <w:bookmarkEnd w:id="86"/>
    <w:p>
      <w:pPr>
        <w:ind w:left="660" w:right="80" w:hanging="328"/>
        <w:spacing w:after="0" w:line="261" w:lineRule="auto"/>
        <w:tabs>
          <w:tab w:leader="none" w:pos="6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associated with our promotion of other therapeutics, if any, including the expansion of our sales capabilities, and the extent and timing of generating revenue from each such promotion, if any.</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3"/>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(20,269)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(14,084)</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64,683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41,994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9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Net cash used in operating activities for the year ended December 31, 2021 was $20.3 million and primarily resulted from (i) our net loss of $26.9 million adjusted for non-cash charges of $6.6 million related to stock-based compensation, depreciation, amortization, non-cash interest and deferred income taxes and (ii) changes in our net operating assets of $0.1 million primarily related to net increases in accounts receivable, net and net decreases in accounts payable, partially offset by net decreases in prepaid expenses and other current assets and net increases in accrued liabilities and other current liabilities.</w:t>
      </w:r>
    </w:p>
    <w:p>
      <w:pPr>
        <w:spacing w:after="0" w:line="15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Net cash used in operating activities for the year ended December 31, 2020 was $14.1 million and primarily resulted from (i) our net loss of $16.7 million adjusted for non-cash charges of $3.9 million related to stock-based compensation, non-cash interest, depreciation, amortization and deferred income taxes and (ii) changes in our net operating assets of $1.3 million related to net increases in accounts receivables and prepaid expenses and other current assets, partially offset by net increases in accounts payable and accrued liabilities and other current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Net cash used in investing activities for the year ended December 31, 2021 and 2020 was $2.4 million and $0.5 million, respectively, and was primarily due to net purchases of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93"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Net cash provided by financing activities for the year ended December 31, 2021 was $64.7 million and primarily resulted from the net proceeds received from our public offering in March 2021 of $64.7 million and proceeds from the Exagen Inc. 2019 Employee Stock Purchase Plan, or the ESPP, purchases, partially offset by principal payments on capital lease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87" w:name="page88"/>
    <w:bookmarkEnd w:id="87"/>
    <w:p>
      <w:pPr>
        <w:ind w:right="180"/>
        <w:spacing w:after="0" w:line="256" w:lineRule="auto"/>
        <w:rPr>
          <w:sz w:val="20"/>
          <w:szCs w:val="20"/>
          <w:color w:val="auto"/>
        </w:rPr>
      </w:pPr>
      <w:r>
        <w:rPr>
          <w:rFonts w:ascii="Arial" w:cs="Arial" w:eastAsia="Arial" w:hAnsi="Arial"/>
          <w:sz w:val="18"/>
          <w:szCs w:val="18"/>
          <w:color w:val="auto"/>
        </w:rPr>
        <w:t>Net cash used in financing activities for the year ended December 31, 2020 was $0.1 million and primarily resulted from principal payments on capital lease obligations, as well as proceeds from our unsecured loan pursuant to the U.S. Small Business Administration Paycheck Protection Program under the CARES Act, which we subsequently repaid in May 2020, partially offset by proceeds from ESPP purchases.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audited financial statements, which have been prepared in accordance with accounting principles generally accepted in United States of America, or GAAP. The preparation of these audited financial statements requires us to make estimates and assumptions that affect the reported amounts of assets and liabilities and the disclosure of contingent assets and liabilities at the date of the audited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judgement and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date, substantially all of our revenue has been derived from sales of our testing products. We primarily market our testing products to rheumatologists and their physician assistants in the United States. The healthcare professionals who order our services and to whom test results are reported are generally not responsible for payment for these services. The parties that pay for these services consist of healthcare insurers, government payors (primarily Medicare and Medicaid), client payors (e.g. hospitals, other laboratories, etc.) and patient self-pays.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Payors are billed at our list price. Net revenues recognized consist of amounts billed net of allowances for differences between amounts billed and the estimated consideration we expect to receive from such payors. We follow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is recorded upon settlement. The transaction price is estimated using an expected value method on a portfolio basis. Our portfolios are grouped per payor (e.g. each individual third-party insurance, Medicare, client payors, patient self-pay, etc.) and per test basis.</w:t>
      </w:r>
    </w:p>
    <w:p>
      <w:pPr>
        <w:spacing w:after="0" w:line="15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Collection of our net revenues from payors is normally a function of providing complete and correct billing information to the healthcare insurers and generally occurs within 30 to 90 days of billing.</w:t>
      </w:r>
    </w:p>
    <w:p>
      <w:pPr>
        <w:spacing w:after="0" w:line="14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process for estimating revenues and the ultimate collection of accounts receivable involves significant judgment and estimation by management. We continually assess the state of our cash collections in order to identify areas of risk and opportunity that allow us to appropriately estimate receivables and revenue. Should we later determine the judgements underlying estimated collections change, our financial results could be impacted in future periods. Revenue recognized during the years ended December 31, 2021 and 2020 related to performance obligations satisfied in prior periods was approximately $0.7 million and $0.8 million, respectively, which relates to a change in estimate of the transaction price.</w:t>
      </w:r>
    </w:p>
    <w:p>
      <w:pPr>
        <w:spacing w:after="0" w:line="144"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In December 2018, we entered into the Janssen Agreement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Our obligations relating to sales and co-promotion services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were a series of single performance obligations since Janssen simultaneously received and consumed the benefits provided by our sales and co-promotional services. The method for measuring progress towards satisfying the performance obligations is based on prescribed units in excess of the contractual baseline at the contractual rate earned per unit since the agreement was cancelable. In August 2021, we and Janssen mutually agreed to terminate the Janssen Agreement effective August 31,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Our long-lived assets are comprised principally of our property and equipment, finite lived intangible assets, and goodwill.</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amortize all finite lived intangible assets over their respective estimated useful lives. In considering whether intangible assets are impaired, we combine our intangible assets and other long-lived assets (excluding goodwill), into groupings, a determination which we principally make on the basis of whether the assets are specific to a particular test offered by us or technology we are developing. If we identify events or circumstances indicate that the associated carrying amount of assets within a group may not be recoverable, we will consider the assets in the group impaired if the carrying value of the group’s assets and directly associated liabilities exceed the estimated cash flows expected to be generated over the estimated useful life of the assets in the group. Management’s estimates of future cash flows are impacted by projected levels of tests and levels of reimbursement, as well as expectations related to the future cost structure of the entity.</w:t>
      </w:r>
    </w:p>
    <w:p>
      <w:pPr>
        <w:spacing w:after="0" w:line="14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Goodwill is not amortized but is tested for impairment at least annually or more frequently whenever a triggering event or change in circumstances occurs, at the reporting unit level. For our goodwill impairment analysis, we operate in a single reporting unit, and allocate all goodwill to this reporting unit. We are required to recognize an impairment charge if the carrying amount of the reporting unit exceeds its fair value. Management first assesses qualitative factors to determine whether it is more likely than not that the fair value of the reporting unit is less than the carrying amount as a basis for determining whether it is necessary to perform a quantitative assessment. If a quantitative assessment is deemed necessary, management uses all available information to make this fair value determination, including the present values of expected future cash flows using discount rates commensurate with the risks involved in the assets and observed market multiples of operating cash flows.</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judgments and estimates involved in identifying and quantifying the impairment of long-lived assets or goodwill involve inherent uncertainties, and the measurement of the fair value is dependent on the accuracy of the assumptions used in making the estimates and how those estimates compare to our future operating performance. No goodwill impairments were recorded during the years ended December 31, 2021 and 2020.</w:t>
      </w:r>
    </w:p>
    <w:p>
      <w:pPr>
        <w:spacing w:after="0" w:line="150"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Following the completion of our IPO in September 2019, our stock price and associated market capitalization will also be considered in the determination of reporting unit fair value. A prolonged or significant decline in our share price could provide evidence of a need to record a material impairment to goodwill.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recognize compensation expense related to stock-based awards to employees and directors based on the estimated fair value of the awards on the date of grant over the requisite service period of the awards (usually the vesting period) on a straight-line basis. The grant date fair value, and the resulting stock-based compensation expense, is estimated using the Black-Scholes option pricing model. The grant date fair value of stock-based awards is expensed on a straight-line basis over the vesting period of the respective award.</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recorded stock-based compensation expense of approximately $ 4.7 million and $2.7 million for the years ended December 31, 2021 and 2020, respectively. We expect to continue to grant stock options and other equity-based awards in the future, and to the extent that we do, our stock-based compensation expense recognized in future periods will likely increase.</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Black-Scholes option pricing model requires the use of highly subjective and complex assumptions, which determine the fair value of stock-based awards. If we had made different assumptions, our stock-based compensation expense, net loss and net loss per share attributable to common stockholders could have been significantly different. See Notes 2 and 8 to our audited financial statements included elsewhere in this Annual Report on Form 10-K for information concerning certain of the specific assumptions we used in applying the Black-Scholes option pricing model to determine the estimated fair value of our stock options granted and purchases under our ESPP rights in the years ended December 31, 2021 and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Our Common Stock</w:t>
      </w:r>
    </w:p>
    <w:p>
      <w:pPr>
        <w:spacing w:after="0" w:line="18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Following the closing of our initial public offering, our board of directors determines the fair value of our common stock based on its closing price as reported on the date of grant on the primary stock exchange on which our common stock is traded.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9" w:name="page90"/>
    <w:bookmarkEnd w:id="89"/>
    <w:p>
      <w:pPr>
        <w:jc w:val="both"/>
        <w:ind w:right="240"/>
        <w:spacing w:after="0" w:line="291" w:lineRule="auto"/>
        <w:rPr>
          <w:sz w:val="20"/>
          <w:szCs w:val="20"/>
          <w:color w:val="auto"/>
        </w:rPr>
      </w:pPr>
      <w:r>
        <w:rPr>
          <w:rFonts w:ascii="Arial" w:cs="Arial" w:eastAsia="Arial" w:hAnsi="Arial"/>
          <w:sz w:val="17"/>
          <w:szCs w:val="17"/>
          <w:color w:val="auto"/>
        </w:rPr>
        <w:t>We operate in, and are subject to tax authorities in, various tax jurisdictions in the United States. To date, we have not been audited by the Internal Revenue Service or any state income tax authority. All tax years remain open for examination by federal and state tax authorities.</w:t>
      </w:r>
    </w:p>
    <w:p>
      <w:pPr>
        <w:spacing w:after="0" w:line="1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December 31, 2021, our deferred tax assets are primarily comprised of federal and state tax NOL carryforwards. We previously completed a study to assess whether an ownership change, as defined by Section 382 of the Code, had occurred from our formation through December 31, 2019. Based upon this study, we determined that ownership changes had occurred in 2003, 2008, 2012, 2017 and 2019, and that our ability to use a significant portion of our NOL carryforwards is subject to limitation under Section 382 of the Code as a result of a prior ownership change. In addition, federal NOL carryforwards generated in periods after December 31, 2017, may be carried forward indefinitely but, in taxable years beginning after December 31, 2020, may only be used to offset 80% of our taxable income.</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uncertainties surrounding our ability to generate future taxable income and, based on all available evidence, we believe it is more likely than not that our recorded net deferred tax assets will not be realized. Accordingly, we have recorded a valuation allowance against all of our net deferred tax assets at December 31, 2021. We will continue to maintain a full valuation allowance on our deferred tax assets until there is sufficient evidence to support the reversal of all or some portion of this allowance.</w:t>
      </w:r>
    </w:p>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above listing is not intended to be a comprehensive list of all of our accounting policies. In many cases, the accounting treatment of a particular transaction is specifically dictated by GAAP. There are also areas in which our management’s judgment in selecting any available alternative would not produce a materially different result. Please see our audited financial statements and notes thereto included elsewhere in this Annual Report on Form 10-K, which contain accounting policies and other disclosures required by GAAP.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Financial Statements-Note 2-Recent Accounting Pronouncements" of our annual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will occur in 2024. However, if certain events occur prior to the end of this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this anniversary.</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financial statements and supplemental data required by this item are set forth at the pages indicated in Part IV, Item 15(a)(1) of this Annual Report on Form 10-K.</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 Regarding the Effectiveness of Disclosure Controls and Procedures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have concluded that as of December 31, 2021,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91" w:name="page92"/>
    <w:bookmarkEnd w:id="91"/>
    <w:p>
      <w:pPr>
        <w:spacing w:after="0" w:line="254" w:lineRule="auto"/>
        <w:rPr>
          <w:sz w:val="20"/>
          <w:szCs w:val="20"/>
          <w:color w:val="auto"/>
        </w:rPr>
      </w:pPr>
      <w:r>
        <w:rPr>
          <w:rFonts w:ascii="Arial" w:cs="Arial" w:eastAsia="Arial" w:hAnsi="Arial"/>
          <w:sz w:val="18"/>
          <w:szCs w:val="18"/>
          <w:color w:val="auto"/>
        </w:rPr>
        <w:t>financial statements. Because of its inherent limitations, internal controls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December 31, 2021, our management assessed the effectiveness of our internal control over financial reporting using the criteria set forth by the Committee of Sponsoring Organizations of the Treadway Commission in Internal Control-Integrated Framework. Based on this assessment, our management concluded that, as of December 31, 2021, our internal control over financial reporting was effective based on those criteria.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19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provided by the JOBS Act for "emerging growth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92" w:name="page93"/>
    <w:bookmarkEnd w:id="92"/>
    <w:p>
      <w:pPr>
        <w:ind w:left="4460"/>
        <w:spacing w:after="0"/>
        <w:rPr>
          <w:sz w:val="20"/>
          <w:szCs w:val="20"/>
          <w:color w:val="auto"/>
        </w:rPr>
      </w:pPr>
      <w:r>
        <w:rPr>
          <w:rFonts w:ascii="Arial" w:cs="Arial" w:eastAsia="Arial" w:hAnsi="Arial"/>
          <w:sz w:val="18"/>
          <w:szCs w:val="18"/>
          <w:b w:val="1"/>
          <w:bCs w:val="1"/>
          <w:color w:val="auto"/>
        </w:rPr>
        <w:t>Item 9B.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179"/>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29" w:right="1440" w:bottom="1440" w:gutter="0" w:footer="0" w:header="0"/>
        </w:sectPr>
      </w:pPr>
    </w:p>
    <w:bookmarkStart w:id="93" w:name="page94"/>
    <w:bookmarkEnd w:id="93"/>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11. Executive Compensation.</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46"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public accounting firm is BDO USA, LLP, San Diego, California, PCAOB ID #243.</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9" w:right="459" w:bottom="1440" w:gutter="0" w:footer="0" w:header="0"/>
        </w:sectPr>
      </w:pPr>
    </w:p>
    <w:bookmarkStart w:id="94" w:name="page95"/>
    <w:bookmarkEnd w:id="94"/>
    <w:p>
      <w:pPr>
        <w:jc w:val="center"/>
        <w:ind w:right="-3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All financial statements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financial statements of Exagen Inc., together with the report thereon of BDO USA, LLP, an independent registered public accounting firm, are included in this Annual Report on Form 10-K beginning on page 94.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7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7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list of exhibits is set form on the Exhibit Index immediately preceding the signature page of this Annual Report on Form 10-K and is incorporated herein by reference.</w:t>
      </w: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Item 16. Form 10-K Summary.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29" w:right="719" w:bottom="1440" w:gutter="0" w:footer="0" w:header="0"/>
        </w:sectPr>
      </w:pPr>
    </w:p>
    <w:bookmarkStart w:id="95" w:name="page96"/>
    <w:bookmarkEnd w:id="95"/>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380" w:type="dxa"/>
            <w:vAlign w:val="bottom"/>
            <w:gridSpan w:val="3"/>
          </w:tcPr>
          <w:p>
            <w:pPr>
              <w:jc w:val="center"/>
              <w:ind w:right="2380"/>
              <w:spacing w:after="0"/>
              <w:rPr>
                <w:sz w:val="20"/>
                <w:szCs w:val="20"/>
                <w:color w:val="auto"/>
              </w:rPr>
            </w:pPr>
            <w:r>
              <w:rPr>
                <w:rFonts w:ascii="Arial" w:cs="Arial" w:eastAsia="Arial" w:hAnsi="Arial"/>
                <w:sz w:val="18"/>
                <w:szCs w:val="18"/>
                <w:b w:val="1"/>
                <w:bCs w:val="1"/>
                <w:color w:val="auto"/>
                <w:w w:val="99"/>
              </w:rPr>
              <w:t>Exagen Inc.</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840" w:type="dxa"/>
            <w:vAlign w:val="bottom"/>
            <w:gridSpan w:val="4"/>
          </w:tcPr>
          <w:p>
            <w:pPr>
              <w:jc w:val="center"/>
              <w:ind w:right="1900"/>
              <w:spacing w:after="0"/>
              <w:rPr>
                <w:sz w:val="20"/>
                <w:szCs w:val="20"/>
                <w:color w:val="auto"/>
              </w:rPr>
            </w:pPr>
            <w:r>
              <w:rPr>
                <w:rFonts w:ascii="Arial" w:cs="Arial" w:eastAsia="Arial" w:hAnsi="Arial"/>
                <w:sz w:val="18"/>
                <w:szCs w:val="18"/>
                <w:b w:val="1"/>
                <w:bCs w:val="1"/>
                <w:color w:val="auto"/>
                <w:w w:val="99"/>
              </w:rPr>
              <w:t>Index to Financial Statements</w:t>
            </w:r>
          </w:p>
        </w:tc>
        <w:tc>
          <w:tcPr>
            <w:tcW w:w="22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4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980" w:type="dxa"/>
            <w:vAlign w:val="bottom"/>
            <w:gridSpan w:val="6"/>
          </w:tcPr>
          <w:p>
            <w:pPr>
              <w:spacing w:after="0" w:line="182" w:lineRule="exact"/>
              <w:rPr>
                <w:rFonts w:ascii="Arial" w:cs="Arial" w:eastAsia="Arial" w:hAnsi="Arial"/>
                <w:sz w:val="18"/>
                <w:szCs w:val="18"/>
                <w:color w:val="0000FF"/>
              </w:rPr>
            </w:pPr>
            <w:hyperlink w:anchor="page96">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No. 243)</w:t>
            </w:r>
          </w:p>
        </w:tc>
        <w:tc>
          <w:tcPr>
            <w:tcW w:w="2240" w:type="dxa"/>
            <w:vAlign w:val="bottom"/>
            <w:gridSpan w:val="3"/>
          </w:tcPr>
          <w:p>
            <w:pPr>
              <w:jc w:val="center"/>
              <w:spacing w:after="0" w:line="182" w:lineRule="exact"/>
              <w:rPr>
                <w:rFonts w:ascii="Arial" w:cs="Arial" w:eastAsia="Arial" w:hAnsi="Arial"/>
                <w:sz w:val="18"/>
                <w:szCs w:val="18"/>
                <w:color w:val="0000FF"/>
                <w:w w:val="99"/>
              </w:rPr>
            </w:pPr>
            <w:hyperlink w:anchor="page96">
              <w:r>
                <w:rPr>
                  <w:rFonts w:ascii="Arial" w:cs="Arial" w:eastAsia="Arial" w:hAnsi="Arial"/>
                  <w:sz w:val="18"/>
                  <w:szCs w:val="18"/>
                  <w:color w:val="0000FF"/>
                  <w:w w:val="99"/>
                </w:rPr>
                <w:t>94</w:t>
              </w:r>
            </w:hyperlink>
          </w:p>
        </w:tc>
        <w:tc>
          <w:tcPr>
            <w:tcW w:w="0" w:type="dxa"/>
            <w:vAlign w:val="bottom"/>
          </w:tcPr>
          <w:p>
            <w:pPr>
              <w:spacing w:after="0"/>
              <w:rPr>
                <w:sz w:val="1"/>
                <w:szCs w:val="1"/>
                <w:color w:val="auto"/>
              </w:rPr>
            </w:pPr>
          </w:p>
        </w:tc>
      </w:tr>
      <w:tr>
        <w:trPr>
          <w:trHeight w:val="20"/>
        </w:trPr>
        <w:tc>
          <w:tcPr>
            <w:tcW w:w="24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tcPr>
          <w:p>
            <w:pPr>
              <w:spacing w:after="0"/>
              <w:rPr>
                <w:rFonts w:ascii="Arial" w:cs="Arial" w:eastAsia="Arial" w:hAnsi="Arial"/>
                <w:sz w:val="18"/>
                <w:szCs w:val="18"/>
                <w:color w:val="0000FF"/>
                <w:w w:val="99"/>
              </w:rPr>
            </w:pPr>
            <w:hyperlink w:anchor="page97">
              <w:r>
                <w:rPr>
                  <w:rFonts w:ascii="Arial" w:cs="Arial" w:eastAsia="Arial" w:hAnsi="Arial"/>
                  <w:sz w:val="18"/>
                  <w:szCs w:val="18"/>
                  <w:color w:val="0000FF"/>
                  <w:w w:val="99"/>
                </w:rPr>
                <w:t>Balance Sheets as of December 31, 2021 and 2020</w:t>
              </w:r>
            </w:hyperlink>
          </w:p>
        </w:tc>
        <w:tc>
          <w:tcPr>
            <w:tcW w:w="460" w:type="dxa"/>
            <w:vAlign w:val="bottom"/>
          </w:tcPr>
          <w:p>
            <w:pPr>
              <w:spacing w:after="0"/>
              <w:rPr>
                <w:sz w:val="18"/>
                <w:szCs w:val="18"/>
                <w:color w:val="auto"/>
              </w:rPr>
            </w:pPr>
          </w:p>
        </w:tc>
        <w:tc>
          <w:tcPr>
            <w:tcW w:w="4380" w:type="dxa"/>
            <w:vAlign w:val="bottom"/>
            <w:gridSpan w:val="3"/>
          </w:tcPr>
          <w:p>
            <w:pPr>
              <w:spacing w:after="0"/>
              <w:rPr>
                <w:sz w:val="18"/>
                <w:szCs w:val="18"/>
                <w:color w:val="auto"/>
              </w:rPr>
            </w:pPr>
          </w:p>
        </w:tc>
        <w:tc>
          <w:tcPr>
            <w:tcW w:w="2240" w:type="dxa"/>
            <w:vAlign w:val="bottom"/>
            <w:gridSpan w:val="3"/>
          </w:tcPr>
          <w:p>
            <w:pPr>
              <w:jc w:val="center"/>
              <w:spacing w:after="0"/>
              <w:rPr>
                <w:rFonts w:ascii="Arial" w:cs="Arial" w:eastAsia="Arial" w:hAnsi="Arial"/>
                <w:sz w:val="18"/>
                <w:szCs w:val="18"/>
                <w:color w:val="0000FF"/>
                <w:w w:val="99"/>
              </w:rPr>
            </w:pPr>
            <w:hyperlink w:anchor="page97">
              <w:r>
                <w:rPr>
                  <w:rFonts w:ascii="Arial" w:cs="Arial" w:eastAsia="Arial" w:hAnsi="Arial"/>
                  <w:sz w:val="18"/>
                  <w:szCs w:val="18"/>
                  <w:color w:val="0000FF"/>
                  <w:w w:val="99"/>
                </w:rPr>
                <w:t>95</w:t>
              </w:r>
            </w:hyperlink>
          </w:p>
        </w:tc>
        <w:tc>
          <w:tcPr>
            <w:tcW w:w="0" w:type="dxa"/>
            <w:vAlign w:val="bottom"/>
          </w:tcPr>
          <w:p>
            <w:pPr>
              <w:spacing w:after="0"/>
              <w:rPr>
                <w:sz w:val="1"/>
                <w:szCs w:val="1"/>
                <w:color w:val="auto"/>
              </w:rPr>
            </w:pPr>
          </w:p>
        </w:tc>
      </w:tr>
      <w:tr>
        <w:trPr>
          <w:trHeight w:val="20"/>
        </w:trPr>
        <w:tc>
          <w:tcPr>
            <w:tcW w:w="24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4"/>
          </w:tcPr>
          <w:p>
            <w:pPr>
              <w:spacing w:after="0"/>
              <w:rPr>
                <w:rFonts w:ascii="Arial" w:cs="Arial" w:eastAsia="Arial" w:hAnsi="Arial"/>
                <w:sz w:val="18"/>
                <w:szCs w:val="18"/>
                <w:color w:val="0000FF"/>
                <w:w w:val="99"/>
              </w:rPr>
            </w:pPr>
            <w:hyperlink w:anchor="page98">
              <w:r>
                <w:rPr>
                  <w:rFonts w:ascii="Arial" w:cs="Arial" w:eastAsia="Arial" w:hAnsi="Arial"/>
                  <w:sz w:val="18"/>
                  <w:szCs w:val="18"/>
                  <w:color w:val="0000FF"/>
                  <w:w w:val="99"/>
                </w:rPr>
                <w:t>Statements of Operations for the Years Ended December 31, 2021 and 2020</w:t>
              </w:r>
            </w:hyperlink>
          </w:p>
        </w:tc>
        <w:tc>
          <w:tcPr>
            <w:tcW w:w="2860" w:type="dxa"/>
            <w:vAlign w:val="bottom"/>
            <w:gridSpan w:val="2"/>
          </w:tcPr>
          <w:p>
            <w:pPr>
              <w:spacing w:after="0"/>
              <w:rPr>
                <w:sz w:val="18"/>
                <w:szCs w:val="18"/>
                <w:color w:val="auto"/>
              </w:rPr>
            </w:pPr>
          </w:p>
        </w:tc>
        <w:tc>
          <w:tcPr>
            <w:tcW w:w="2240" w:type="dxa"/>
            <w:vAlign w:val="bottom"/>
            <w:gridSpan w:val="3"/>
          </w:tcPr>
          <w:p>
            <w:pPr>
              <w:jc w:val="center"/>
              <w:spacing w:after="0"/>
              <w:rPr>
                <w:rFonts w:ascii="Arial" w:cs="Arial" w:eastAsia="Arial" w:hAnsi="Arial"/>
                <w:sz w:val="18"/>
                <w:szCs w:val="18"/>
                <w:color w:val="0000FF"/>
                <w:w w:val="99"/>
              </w:rPr>
            </w:pPr>
            <w:hyperlink w:anchor="page98">
              <w:r>
                <w:rPr>
                  <w:rFonts w:ascii="Arial" w:cs="Arial" w:eastAsia="Arial" w:hAnsi="Arial"/>
                  <w:sz w:val="18"/>
                  <w:szCs w:val="18"/>
                  <w:color w:val="0000FF"/>
                  <w:w w:val="99"/>
                </w:rPr>
                <w:t>96</w:t>
              </w:r>
            </w:hyperlink>
          </w:p>
        </w:tc>
        <w:tc>
          <w:tcPr>
            <w:tcW w:w="0" w:type="dxa"/>
            <w:vAlign w:val="bottom"/>
          </w:tcPr>
          <w:p>
            <w:pPr>
              <w:spacing w:after="0"/>
              <w:rPr>
                <w:sz w:val="1"/>
                <w:szCs w:val="1"/>
                <w:color w:val="auto"/>
              </w:rPr>
            </w:pPr>
          </w:p>
        </w:tc>
      </w:tr>
      <w:tr>
        <w:trPr>
          <w:trHeight w:val="20"/>
        </w:trPr>
        <w:tc>
          <w:tcPr>
            <w:tcW w:w="24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5"/>
          </w:tcPr>
          <w:p>
            <w:pPr>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Statements of Stockholders' Equity for the Years Ended December 31, 2021 and 2020</w:t>
              </w:r>
            </w:hyperlink>
          </w:p>
        </w:tc>
        <w:tc>
          <w:tcPr>
            <w:tcW w:w="2120" w:type="dxa"/>
            <w:vAlign w:val="bottom"/>
          </w:tcPr>
          <w:p>
            <w:pPr>
              <w:spacing w:after="0"/>
              <w:rPr>
                <w:sz w:val="18"/>
                <w:szCs w:val="18"/>
                <w:color w:val="auto"/>
              </w:rPr>
            </w:pPr>
          </w:p>
        </w:tc>
        <w:tc>
          <w:tcPr>
            <w:tcW w:w="2240" w:type="dxa"/>
            <w:vAlign w:val="bottom"/>
            <w:gridSpan w:val="3"/>
          </w:tcPr>
          <w:p>
            <w:pPr>
              <w:jc w:val="center"/>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97</w:t>
              </w:r>
            </w:hyperlink>
          </w:p>
        </w:tc>
        <w:tc>
          <w:tcPr>
            <w:tcW w:w="0" w:type="dxa"/>
            <w:vAlign w:val="bottom"/>
          </w:tcPr>
          <w:p>
            <w:pPr>
              <w:spacing w:after="0"/>
              <w:rPr>
                <w:sz w:val="1"/>
                <w:szCs w:val="1"/>
                <w:color w:val="auto"/>
              </w:rPr>
            </w:pPr>
          </w:p>
        </w:tc>
      </w:tr>
      <w:tr>
        <w:trPr>
          <w:trHeight w:val="20"/>
        </w:trPr>
        <w:tc>
          <w:tcPr>
            <w:tcW w:w="24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4"/>
          </w:tcPr>
          <w:p>
            <w:pPr>
              <w:spacing w:after="0"/>
              <w:rPr>
                <w:rFonts w:ascii="Arial" w:cs="Arial" w:eastAsia="Arial" w:hAnsi="Arial"/>
                <w:sz w:val="18"/>
                <w:szCs w:val="18"/>
                <w:color w:val="0000FF"/>
                <w:w w:val="98"/>
              </w:rPr>
            </w:pPr>
            <w:hyperlink w:anchor="page100">
              <w:r>
                <w:rPr>
                  <w:rFonts w:ascii="Arial" w:cs="Arial" w:eastAsia="Arial" w:hAnsi="Arial"/>
                  <w:sz w:val="18"/>
                  <w:szCs w:val="18"/>
                  <w:color w:val="0000FF"/>
                  <w:w w:val="98"/>
                </w:rPr>
                <w:t>Statements of Cash Flows for the Years Ended December 31, 2021 and 2020</w:t>
              </w:r>
            </w:hyperlink>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gridSpan w:val="3"/>
          </w:tcPr>
          <w:p>
            <w:pPr>
              <w:jc w:val="center"/>
              <w:spacing w:after="0"/>
              <w:rPr>
                <w:rFonts w:ascii="Arial" w:cs="Arial" w:eastAsia="Arial" w:hAnsi="Arial"/>
                <w:sz w:val="18"/>
                <w:szCs w:val="18"/>
                <w:color w:val="0000FF"/>
                <w:w w:val="99"/>
              </w:rPr>
            </w:pPr>
            <w:hyperlink w:anchor="page100">
              <w:r>
                <w:rPr>
                  <w:rFonts w:ascii="Arial" w:cs="Arial" w:eastAsia="Arial" w:hAnsi="Arial"/>
                  <w:sz w:val="18"/>
                  <w:szCs w:val="18"/>
                  <w:color w:val="0000FF"/>
                  <w:w w:val="99"/>
                </w:rPr>
                <w:t>98</w:t>
              </w:r>
            </w:hyperlink>
          </w:p>
        </w:tc>
        <w:tc>
          <w:tcPr>
            <w:tcW w:w="0" w:type="dxa"/>
            <w:vAlign w:val="bottom"/>
          </w:tcPr>
          <w:p>
            <w:pPr>
              <w:spacing w:after="0"/>
              <w:rPr>
                <w:sz w:val="1"/>
                <w:szCs w:val="1"/>
                <w:color w:val="auto"/>
              </w:rPr>
            </w:pPr>
          </w:p>
        </w:tc>
      </w:tr>
      <w:tr>
        <w:trPr>
          <w:trHeight w:val="20"/>
        </w:trPr>
        <w:tc>
          <w:tcPr>
            <w:tcW w:w="24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4"/>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Notes to Financial Statements</w:t>
              </w:r>
            </w:hyperlink>
          </w:p>
        </w:tc>
        <w:tc>
          <w:tcPr>
            <w:tcW w:w="2860" w:type="dxa"/>
            <w:vAlign w:val="bottom"/>
            <w:gridSpan w:val="2"/>
          </w:tcPr>
          <w:p>
            <w:pPr>
              <w:spacing w:after="0"/>
              <w:rPr>
                <w:sz w:val="18"/>
                <w:szCs w:val="18"/>
                <w:color w:val="auto"/>
              </w:rPr>
            </w:pPr>
          </w:p>
        </w:tc>
        <w:tc>
          <w:tcPr>
            <w:tcW w:w="2240" w:type="dxa"/>
            <w:vAlign w:val="bottom"/>
            <w:gridSpan w:val="3"/>
          </w:tcPr>
          <w:p>
            <w:pPr>
              <w:jc w:val="center"/>
              <w:spacing w:after="0"/>
              <w:rPr>
                <w:rFonts w:ascii="Arial" w:cs="Arial" w:eastAsia="Arial" w:hAnsi="Arial"/>
                <w:sz w:val="18"/>
                <w:szCs w:val="18"/>
                <w:color w:val="0000FF"/>
                <w:w w:val="99"/>
              </w:rPr>
            </w:pPr>
            <w:hyperlink w:anchor="page101">
              <w:r>
                <w:rPr>
                  <w:rFonts w:ascii="Arial" w:cs="Arial" w:eastAsia="Arial" w:hAnsi="Arial"/>
                  <w:sz w:val="18"/>
                  <w:szCs w:val="18"/>
                  <w:color w:val="0000FF"/>
                  <w:w w:val="99"/>
                </w:rPr>
                <w:t>99</w:t>
              </w:r>
            </w:hyperlink>
          </w:p>
        </w:tc>
        <w:tc>
          <w:tcPr>
            <w:tcW w:w="0" w:type="dxa"/>
            <w:vAlign w:val="bottom"/>
          </w:tcPr>
          <w:p>
            <w:pPr>
              <w:spacing w:after="0"/>
              <w:rPr>
                <w:sz w:val="1"/>
                <w:szCs w:val="1"/>
                <w:color w:val="auto"/>
              </w:rPr>
            </w:pPr>
          </w:p>
        </w:tc>
      </w:tr>
      <w:tr>
        <w:trPr>
          <w:trHeight w:val="20"/>
        </w:trPr>
        <w:tc>
          <w:tcPr>
            <w:tcW w:w="24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96" w:name="page97"/>
    <w:bookmarkEnd w:id="96"/>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4" w:lineRule="auto"/>
        <w:rPr>
          <w:sz w:val="20"/>
          <w:szCs w:val="20"/>
          <w:color w:val="auto"/>
        </w:rPr>
      </w:pPr>
      <w:r>
        <w:rPr>
          <w:rFonts w:ascii="Arial" w:cs="Arial" w:eastAsia="Arial" w:hAnsi="Arial"/>
          <w:sz w:val="18"/>
          <w:szCs w:val="18"/>
          <w:color w:val="auto"/>
        </w:rPr>
        <w:t>Exagen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audited the accompanying balance sheets of Exagen Inc. (“the Company”) as of December 31, 2021 and 2020, the related statements of operations, stockholders’ equity, and cash flows for the years then ended,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the years then ended,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22, 2022</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9" w:right="419" w:bottom="1440" w:gutter="0" w:footer="0" w:header="0"/>
        </w:sectPr>
      </w:pPr>
    </w:p>
    <w:bookmarkStart w:id="97" w:name="page98"/>
    <w:bookmarkEnd w:id="97"/>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99,442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57,448</w:t>
            </w:r>
          </w:p>
        </w:tc>
        <w:tc>
          <w:tcPr>
            <w:tcW w:w="0" w:type="dxa"/>
            <w:vAlign w:val="bottom"/>
          </w:tcPr>
          <w:p>
            <w:pPr>
              <w:spacing w:after="0"/>
              <w:rPr>
                <w:sz w:val="1"/>
                <w:szCs w:val="1"/>
                <w:color w:val="auto"/>
              </w:rPr>
            </w:pPr>
          </w:p>
        </w:tc>
      </w:tr>
      <w:tr>
        <w:trPr>
          <w:trHeight w:val="189"/>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9,654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8,910</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0" w:type="dxa"/>
            <w:vAlign w:val="bottom"/>
          </w:tcPr>
          <w:p>
            <w:pPr>
              <w:spacing w:after="0"/>
              <w:rPr>
                <w:sz w:val="1"/>
                <w:szCs w:val="1"/>
                <w:color w:val="auto"/>
              </w:rPr>
            </w:pPr>
          </w:p>
        </w:tc>
      </w:tr>
      <w:tr>
        <w:trPr>
          <w:trHeight w:val="183"/>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112,734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70,517</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3"/>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189"/>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183"/>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9,318</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8,771</w:t>
            </w: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27,478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26,659</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9"/>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3"/>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36,536</w:t>
            </w: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at December 31, 2021 and</w:t>
            </w:r>
          </w:p>
        </w:tc>
        <w:tc>
          <w:tcPr>
            <w:tcW w:w="2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680" w:type="dxa"/>
            <w:vAlign w:val="bottom"/>
          </w:tcPr>
          <w:p>
            <w:pPr>
              <w:ind w:left="360"/>
              <w:spacing w:after="0"/>
              <w:rPr>
                <w:sz w:val="20"/>
                <w:szCs w:val="20"/>
                <w:color w:val="auto"/>
              </w:rPr>
            </w:pPr>
            <w:r>
              <w:rPr>
                <w:rFonts w:ascii="Arial" w:cs="Arial" w:eastAsia="Arial" w:hAnsi="Arial"/>
                <w:sz w:val="14"/>
                <w:szCs w:val="14"/>
                <w:color w:val="auto"/>
              </w:rPr>
              <w:t>December 31, 2020</w:t>
            </w: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at December 31, 2021 and December 31, 2020; 16,164,994</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12,652,308 shares issued and outstanding at December 31, 2021 and December 31, 2020, respectively</w:t>
            </w:r>
          </w:p>
        </w:tc>
        <w:tc>
          <w:tcPr>
            <w:tcW w:w="2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293,060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223,115</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(208,140)</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0" w:type="dxa"/>
            <w:vAlign w:val="bottom"/>
          </w:tcPr>
          <w:p>
            <w:pPr>
              <w:spacing w:after="0"/>
              <w:rPr>
                <w:sz w:val="1"/>
                <w:szCs w:val="1"/>
                <w:color w:val="auto"/>
              </w:rPr>
            </w:pPr>
          </w:p>
        </w:tc>
      </w:tr>
      <w:tr>
        <w:trPr>
          <w:trHeight w:val="183"/>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84,936</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123,445</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8" w:name="page99"/>
    <w:bookmarkEnd w:id="98"/>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3"/>
        </w:trPr>
        <w:tc>
          <w:tcPr>
            <w:tcW w:w="8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48,299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41,975</w:t>
            </w:r>
          </w:p>
        </w:tc>
        <w:tc>
          <w:tcPr>
            <w:tcW w:w="0" w:type="dxa"/>
            <w:vAlign w:val="bottom"/>
          </w:tcPr>
          <w:p>
            <w:pPr>
              <w:spacing w:after="0"/>
              <w:rPr>
                <w:sz w:val="1"/>
                <w:szCs w:val="1"/>
                <w:color w:val="auto"/>
              </w:rPr>
            </w:pP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16,559</w:t>
            </w:r>
          </w:p>
        </w:tc>
        <w:tc>
          <w:tcPr>
            <w:tcW w:w="0" w:type="dxa"/>
            <w:vAlign w:val="bottom"/>
          </w:tcPr>
          <w:p>
            <w:pPr>
              <w:spacing w:after="0"/>
              <w:rPr>
                <w:sz w:val="1"/>
                <w:szCs w:val="1"/>
                <w:color w:val="auto"/>
              </w:rPr>
            </w:pPr>
          </w:p>
        </w:tc>
      </w:tr>
      <w:tr>
        <w:trPr>
          <w:trHeight w:val="189"/>
        </w:trPr>
        <w:tc>
          <w:tcPr>
            <w:tcW w:w="836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44,541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37,033</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3,568</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72,366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57,160</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(15,185)</w:t>
            </w:r>
          </w:p>
        </w:tc>
        <w:tc>
          <w:tcPr>
            <w:tcW w:w="0" w:type="dxa"/>
            <w:vAlign w:val="bottom"/>
          </w:tcPr>
          <w:p>
            <w:pPr>
              <w:spacing w:after="0"/>
              <w:rPr>
                <w:sz w:val="1"/>
                <w:szCs w:val="1"/>
                <w:color w:val="auto"/>
              </w:rPr>
            </w:pP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(2,565)</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183"/>
        </w:trPr>
        <w:tc>
          <w:tcPr>
            <w:tcW w:w="836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(26,676)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(16,766)</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55"/>
        </w:trPr>
        <w:tc>
          <w:tcPr>
            <w:tcW w:w="8360" w:type="dxa"/>
            <w:vAlign w:val="bottom"/>
          </w:tcPr>
          <w:p>
            <w:pPr>
              <w:ind w:left="20"/>
              <w:spacing w:after="0" w:line="155" w:lineRule="exact"/>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(26,851)</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(16,687)</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Net loss per share, basic and diluted (Note 2)</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 (Note 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60" w:type="dxa"/>
            <w:vAlign w:val="bottom"/>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15,972,256</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12,632,780</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9" w:name="page100"/>
    <w:bookmarkEnd w:id="99"/>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20" w:type="dxa"/>
            <w:vAlign w:val="bottom"/>
          </w:tcPr>
          <w:p>
            <w:pPr>
              <w:spacing w:after="0"/>
              <w:rPr>
                <w:sz w:val="13"/>
                <w:szCs w:val="13"/>
                <w:color w:val="auto"/>
              </w:rPr>
            </w:pPr>
          </w:p>
        </w:tc>
        <w:tc>
          <w:tcPr>
            <w:tcW w:w="19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Common Stock</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center"/>
              <w:ind w:right="15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gridSpan w:val="2"/>
            <w:vMerge w:val="restart"/>
          </w:tcPr>
          <w:p>
            <w:pPr>
              <w:jc w:val="center"/>
              <w:ind w:right="380"/>
              <w:spacing w:after="0" w:line="95" w:lineRule="exact"/>
              <w:rPr>
                <w:sz w:val="20"/>
                <w:szCs w:val="20"/>
                <w:color w:val="auto"/>
              </w:rPr>
            </w:pPr>
            <w:r>
              <w:rPr>
                <w:rFonts w:ascii="Arial" w:cs="Arial" w:eastAsia="Arial" w:hAnsi="Arial"/>
                <w:sz w:val="10"/>
                <w:szCs w:val="10"/>
                <w:b w:val="1"/>
                <w:bCs w:val="1"/>
                <w:color w:val="auto"/>
              </w:rPr>
              <w:t>Paid-In</w:t>
            </w:r>
          </w:p>
        </w:tc>
        <w:tc>
          <w:tcPr>
            <w:tcW w:w="180" w:type="dxa"/>
            <w:vAlign w:val="bottom"/>
          </w:tcPr>
          <w:p>
            <w:pPr>
              <w:spacing w:after="0"/>
              <w:rPr>
                <w:sz w:val="4"/>
                <w:szCs w:val="4"/>
                <w:color w:val="auto"/>
              </w:rPr>
            </w:pPr>
          </w:p>
        </w:tc>
        <w:tc>
          <w:tcPr>
            <w:tcW w:w="122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Accumulated</w:t>
            </w:r>
          </w:p>
        </w:tc>
        <w:tc>
          <w:tcPr>
            <w:tcW w:w="220" w:type="dxa"/>
            <w:vAlign w:val="bottom"/>
          </w:tcPr>
          <w:p>
            <w:pPr>
              <w:spacing w:after="0"/>
              <w:rPr>
                <w:sz w:val="4"/>
                <w:szCs w:val="4"/>
                <w:color w:val="auto"/>
              </w:rPr>
            </w:pPr>
          </w:p>
        </w:tc>
        <w:tc>
          <w:tcPr>
            <w:tcW w:w="1280" w:type="dxa"/>
            <w:vAlign w:val="bottom"/>
            <w:vMerge w:val="restart"/>
          </w:tcPr>
          <w:p>
            <w:pPr>
              <w:jc w:val="center"/>
              <w:ind w:right="150"/>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720" w:type="dxa"/>
            <w:vAlign w:val="bottom"/>
            <w:gridSpan w:val="2"/>
            <w:vMerge w:val="restart"/>
          </w:tcPr>
          <w:p>
            <w:pPr>
              <w:ind w:left="60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line="20" w:lineRule="exact"/>
              <w:rPr>
                <w:sz w:val="1"/>
                <w:szCs w:val="1"/>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4"/>
                <w:szCs w:val="14"/>
                <w:color w:val="auto"/>
              </w:rPr>
            </w:pPr>
          </w:p>
        </w:tc>
        <w:tc>
          <w:tcPr>
            <w:tcW w:w="1280" w:type="dxa"/>
            <w:vAlign w:val="bottom"/>
          </w:tcPr>
          <w:p>
            <w:pPr>
              <w:jc w:val="center"/>
              <w:ind w:right="15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6"/>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6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12,560,990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220,248</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(164,602)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189"/>
        </w:trPr>
        <w:tc>
          <w:tcPr>
            <w:tcW w:w="382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47,549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3"/>
        </w:trPr>
        <w:tc>
          <w:tcPr>
            <w:tcW w:w="382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11,649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71"/>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common stock warrants</w:t>
            </w:r>
          </w:p>
        </w:tc>
        <w:tc>
          <w:tcPr>
            <w:tcW w:w="1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32,120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382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(16,687)</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16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12,652,308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223,115</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53"/>
        </w:trPr>
        <w:tc>
          <w:tcPr>
            <w:tcW w:w="382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in public offering, net of issuance</w:t>
            </w:r>
          </w:p>
        </w:tc>
        <w:tc>
          <w:tcPr>
            <w:tcW w:w="1620" w:type="dxa"/>
            <w:vAlign w:val="bottom"/>
            <w:vMerge w:val="restart"/>
          </w:tcPr>
          <w:p>
            <w:pPr>
              <w:jc w:val="right"/>
              <w:ind w:right="9"/>
              <w:spacing w:after="0"/>
              <w:rPr>
                <w:sz w:val="20"/>
                <w:szCs w:val="20"/>
                <w:color w:val="auto"/>
              </w:rPr>
            </w:pPr>
            <w:r>
              <w:rPr>
                <w:rFonts w:ascii="Arial" w:cs="Arial" w:eastAsia="Arial" w:hAnsi="Arial"/>
                <w:sz w:val="14"/>
                <w:szCs w:val="14"/>
                <w:color w:val="auto"/>
              </w:rPr>
              <w:t>4,255,000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64,705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64,709</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4"/>
                <w:szCs w:val="14"/>
                <w:color w:val="auto"/>
              </w:rPr>
              <w:t>costs of $4,435</w:t>
            </w: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Retirement of common stock in exchange for</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(804,951)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71"/>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stock warrant</w:t>
            </w: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20" w:type="dxa"/>
            <w:vAlign w:val="bottom"/>
          </w:tcPr>
          <w:p>
            <w:pPr>
              <w:ind w:left="360"/>
              <w:spacing w:after="0" w:line="153" w:lineRule="exact"/>
              <w:rPr>
                <w:sz w:val="20"/>
                <w:szCs w:val="20"/>
                <w:color w:val="auto"/>
              </w:rPr>
            </w:pPr>
            <w:r>
              <w:rPr>
                <w:rFonts w:ascii="Arial" w:cs="Arial" w:eastAsia="Arial" w:hAnsi="Arial"/>
                <w:sz w:val="14"/>
                <w:szCs w:val="14"/>
                <w:color w:val="auto"/>
              </w:rPr>
              <w:t>Issuance of common stock warrant in exchange for</w:t>
            </w: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12,775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4"/>
                <w:szCs w:val="14"/>
                <w:color w:val="auto"/>
              </w:rPr>
              <w:t>retirement of common stock</w:t>
            </w:r>
          </w:p>
        </w:tc>
        <w:tc>
          <w:tcPr>
            <w:tcW w:w="1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3"/>
        </w:trPr>
        <w:tc>
          <w:tcPr>
            <w:tcW w:w="382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620" w:type="dxa"/>
            <w:vAlign w:val="bottom"/>
            <w:vMerge w:val="restart"/>
          </w:tcPr>
          <w:p>
            <w:pPr>
              <w:jc w:val="right"/>
              <w:ind w:right="9"/>
              <w:spacing w:after="0"/>
              <w:rPr>
                <w:sz w:val="20"/>
                <w:szCs w:val="20"/>
                <w:color w:val="auto"/>
              </w:rPr>
            </w:pPr>
            <w:r>
              <w:rPr>
                <w:rFonts w:ascii="Arial" w:cs="Arial" w:eastAsia="Arial" w:hAnsi="Arial"/>
                <w:sz w:val="14"/>
                <w:szCs w:val="14"/>
                <w:color w:val="auto"/>
              </w:rPr>
              <w:t>32,968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71"/>
        </w:trPr>
        <w:tc>
          <w:tcPr>
            <w:tcW w:w="3820" w:type="dxa"/>
            <w:vAlign w:val="bottom"/>
          </w:tcPr>
          <w:p>
            <w:pPr>
              <w:ind w:left="360"/>
              <w:spacing w:after="0"/>
              <w:rPr>
                <w:sz w:val="20"/>
                <w:szCs w:val="20"/>
                <w:color w:val="auto"/>
              </w:rPr>
            </w:pPr>
            <w:r>
              <w:rPr>
                <w:rFonts w:ascii="Arial" w:cs="Arial" w:eastAsia="Arial" w:hAnsi="Arial"/>
                <w:sz w:val="14"/>
                <w:szCs w:val="14"/>
                <w:color w:val="auto"/>
              </w:rPr>
              <w:t>Plan</w:t>
            </w: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4,728</w:t>
            </w:r>
          </w:p>
        </w:tc>
        <w:tc>
          <w:tcPr>
            <w:tcW w:w="0" w:type="dxa"/>
            <w:vAlign w:val="bottom"/>
          </w:tcPr>
          <w:p>
            <w:pPr>
              <w:spacing w:after="0"/>
              <w:rPr>
                <w:sz w:val="1"/>
                <w:szCs w:val="1"/>
                <w:color w:val="auto"/>
              </w:rPr>
            </w:pPr>
          </w:p>
        </w:tc>
      </w:tr>
      <w:tr>
        <w:trPr>
          <w:trHeight w:val="189"/>
        </w:trPr>
        <w:tc>
          <w:tcPr>
            <w:tcW w:w="3820" w:type="dxa"/>
            <w:vAlign w:val="bottom"/>
          </w:tcPr>
          <w:p>
            <w:pPr>
              <w:ind w:left="360"/>
              <w:spacing w:after="0"/>
              <w:rPr>
                <w:sz w:val="20"/>
                <w:szCs w:val="20"/>
                <w:color w:val="auto"/>
              </w:rPr>
            </w:pPr>
            <w:r>
              <w:rPr>
                <w:rFonts w:ascii="Arial" w:cs="Arial" w:eastAsia="Arial" w:hAnsi="Arial"/>
                <w:sz w:val="14"/>
                <w:szCs w:val="14"/>
                <w:color w:val="auto"/>
              </w:rPr>
              <w:t>Exercise of common stock warrants</w:t>
            </w: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17,719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(26,851)</w:t>
            </w:r>
          </w:p>
        </w:tc>
        <w:tc>
          <w:tcPr>
            <w:tcW w:w="0" w:type="dxa"/>
            <w:vAlign w:val="bottom"/>
          </w:tcPr>
          <w:p>
            <w:pPr>
              <w:spacing w:after="0"/>
              <w:rPr>
                <w:sz w:val="1"/>
                <w:szCs w:val="1"/>
                <w:color w:val="auto"/>
              </w:rPr>
            </w:pPr>
          </w:p>
        </w:tc>
      </w:tr>
      <w:tr>
        <w:trPr>
          <w:trHeight w:val="183"/>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2021</w:t>
            </w:r>
          </w:p>
        </w:tc>
        <w:tc>
          <w:tcPr>
            <w:tcW w:w="16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16,164,994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293,060</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(208,140)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0" w:name="page101"/>
    <w:bookmarkEnd w:id="100"/>
    <w:p>
      <w:pPr>
        <w:ind w:left="496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Cash Flows</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3"/>
        </w:trPr>
        <w:tc>
          <w:tcPr>
            <w:tcW w:w="8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(26,851)</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(16,687)</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89"/>
        </w:trPr>
        <w:tc>
          <w:tcPr>
            <w:tcW w:w="8420" w:type="dxa"/>
            <w:vAlign w:val="bottom"/>
          </w:tcPr>
          <w:p>
            <w:pPr>
              <w:ind w:left="340"/>
              <w:spacing w:after="0"/>
              <w:rPr>
                <w:sz w:val="20"/>
                <w:szCs w:val="20"/>
                <w:color w:val="auto"/>
              </w:rPr>
            </w:pPr>
            <w:r>
              <w:rPr>
                <w:rFonts w:ascii="Arial" w:cs="Arial" w:eastAsia="Arial" w:hAnsi="Arial"/>
                <w:sz w:val="14"/>
                <w:szCs w:val="14"/>
                <w:color w:val="auto"/>
              </w:rPr>
              <w:t>Non-cash interest expense</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842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assets and liabilities: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20" w:type="dxa"/>
            <w:vAlign w:val="bottom"/>
          </w:tcPr>
          <w:p>
            <w:pPr>
              <w:ind w:left="66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89"/>
        </w:trPr>
        <w:tc>
          <w:tcPr>
            <w:tcW w:w="8420" w:type="dxa"/>
            <w:vAlign w:val="bottom"/>
          </w:tcPr>
          <w:p>
            <w:pPr>
              <w:ind w:left="66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189"/>
        </w:trPr>
        <w:tc>
          <w:tcPr>
            <w:tcW w:w="842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Accrued and other current liabilities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w:t>
            </w:r>
          </w:p>
        </w:tc>
        <w:tc>
          <w:tcPr>
            <w:tcW w:w="0" w:type="dxa"/>
            <w:vAlign w:val="bottom"/>
          </w:tcPr>
          <w:p>
            <w:pPr>
              <w:spacing w:after="0"/>
              <w:rPr>
                <w:sz w:val="1"/>
                <w:szCs w:val="1"/>
                <w:color w:val="auto"/>
              </w:rPr>
            </w:pPr>
          </w:p>
        </w:tc>
      </w:tr>
      <w:tr>
        <w:trPr>
          <w:trHeight w:val="183"/>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(14,084)</w:t>
            </w:r>
          </w:p>
        </w:tc>
        <w:tc>
          <w:tcPr>
            <w:tcW w:w="0" w:type="dxa"/>
            <w:vAlign w:val="bottom"/>
          </w:tcPr>
          <w:p>
            <w:pPr>
              <w:spacing w:after="0"/>
              <w:rPr>
                <w:sz w:val="1"/>
                <w:szCs w:val="1"/>
                <w:color w:val="auto"/>
              </w:rPr>
            </w:pPr>
          </w:p>
        </w:tc>
      </w:tr>
      <w:tr>
        <w:trPr>
          <w:trHeight w:val="189"/>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8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 of other assets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89"/>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8420" w:type="dxa"/>
            <w:vAlign w:val="bottom"/>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8420" w:type="dxa"/>
            <w:vAlign w:val="bottom"/>
          </w:tcPr>
          <w:p>
            <w:pPr>
              <w:ind w:left="20"/>
              <w:spacing w:after="0"/>
              <w:rPr>
                <w:sz w:val="20"/>
                <w:szCs w:val="20"/>
                <w:color w:val="auto"/>
              </w:rPr>
            </w:pPr>
            <w:r>
              <w:rPr>
                <w:rFonts w:ascii="Arial" w:cs="Arial" w:eastAsia="Arial" w:hAnsi="Arial"/>
                <w:sz w:val="14"/>
                <w:szCs w:val="14"/>
                <w:color w:val="auto"/>
              </w:rPr>
              <w:t>Principal payment on capital lease obligations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Paycheck Protection Program loan</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189"/>
        </w:trPr>
        <w:tc>
          <w:tcPr>
            <w:tcW w:w="8420" w:type="dxa"/>
            <w:vAlign w:val="bottom"/>
          </w:tcPr>
          <w:p>
            <w:pPr>
              <w:ind w:left="20"/>
              <w:spacing w:after="0"/>
              <w:rPr>
                <w:sz w:val="20"/>
                <w:szCs w:val="20"/>
                <w:color w:val="auto"/>
              </w:rPr>
            </w:pPr>
            <w:r>
              <w:rPr>
                <w:rFonts w:ascii="Arial" w:cs="Arial" w:eastAsia="Arial" w:hAnsi="Arial"/>
                <w:sz w:val="14"/>
                <w:szCs w:val="14"/>
                <w:color w:val="auto"/>
              </w:rPr>
              <w:t>Repayment of Paycheck Protection Program loan</w:t>
            </w:r>
          </w:p>
        </w:tc>
        <w:tc>
          <w:tcPr>
            <w:tcW w:w="2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issuance of common stock in public offering, gross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69,144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20" w:type="dxa"/>
            <w:vAlign w:val="bottom"/>
          </w:tcPr>
          <w:p>
            <w:pPr>
              <w:ind w:left="20"/>
              <w:spacing w:after="0"/>
              <w:rPr>
                <w:sz w:val="20"/>
                <w:szCs w:val="20"/>
                <w:color w:val="auto"/>
              </w:rPr>
            </w:pPr>
            <w:r>
              <w:rPr>
                <w:rFonts w:ascii="Arial" w:cs="Arial" w:eastAsia="Arial" w:hAnsi="Arial"/>
                <w:sz w:val="14"/>
                <w:szCs w:val="14"/>
                <w:color w:val="auto"/>
              </w:rPr>
              <w:t>Payment of issuance costs related to public offering</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deferred offering costs</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64,683</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41,994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(14,636)</w:t>
            </w:r>
          </w:p>
        </w:tc>
        <w:tc>
          <w:tcPr>
            <w:tcW w:w="0" w:type="dxa"/>
            <w:vAlign w:val="bottom"/>
          </w:tcPr>
          <w:p>
            <w:pPr>
              <w:spacing w:after="0"/>
              <w:rPr>
                <w:sz w:val="1"/>
                <w:szCs w:val="1"/>
                <w:color w:val="auto"/>
              </w:rPr>
            </w:pPr>
          </w:p>
        </w:tc>
      </w:tr>
      <w:tr>
        <w:trPr>
          <w:trHeight w:val="18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57,548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72,184</w:t>
            </w:r>
          </w:p>
        </w:tc>
        <w:tc>
          <w:tcPr>
            <w:tcW w:w="0" w:type="dxa"/>
            <w:vAlign w:val="bottom"/>
          </w:tcPr>
          <w:p>
            <w:pPr>
              <w:spacing w:after="0"/>
              <w:rPr>
                <w:sz w:val="1"/>
                <w:szCs w:val="1"/>
                <w:color w:val="auto"/>
              </w:rPr>
            </w:pPr>
          </w:p>
        </w:tc>
      </w:tr>
      <w:tr>
        <w:trPr>
          <w:trHeight w:val="20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99,542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57,548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4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 expense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w:t>
            </w:r>
          </w:p>
        </w:tc>
        <w:tc>
          <w:tcPr>
            <w:tcW w:w="0" w:type="dxa"/>
            <w:vAlign w:val="bottom"/>
          </w:tcPr>
          <w:p>
            <w:pPr>
              <w:spacing w:after="0"/>
              <w:rPr>
                <w:sz w:val="1"/>
                <w:szCs w:val="1"/>
                <w:color w:val="auto"/>
              </w:rPr>
            </w:pPr>
          </w:p>
        </w:tc>
      </w:tr>
      <w:tr>
        <w:trPr>
          <w:trHeight w:val="189"/>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purchased under capital lease obligations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89"/>
        </w:trPr>
        <w:tc>
          <w:tcPr>
            <w:tcW w:w="8420" w:type="dxa"/>
            <w:vAlign w:val="bottom"/>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offering costs included in accounts payable and accrued and other current liabilities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0"/>
        </w:trPr>
        <w:tc>
          <w:tcPr>
            <w:tcW w:w="8420" w:type="dxa"/>
            <w:vAlign w:val="bottom"/>
          </w:tcPr>
          <w:p>
            <w:pPr>
              <w:ind w:left="20"/>
              <w:spacing w:after="0"/>
              <w:rPr>
                <w:sz w:val="20"/>
                <w:szCs w:val="20"/>
                <w:color w:val="auto"/>
              </w:rPr>
            </w:pPr>
            <w:r>
              <w:rPr>
                <w:rFonts w:ascii="Arial" w:cs="Arial" w:eastAsia="Arial" w:hAnsi="Arial"/>
                <w:sz w:val="14"/>
                <w:szCs w:val="14"/>
                <w:color w:val="auto"/>
              </w:rPr>
              <w:t>Deferred offering costs reclassified to equity</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jc w:val="center"/>
        <w:ind w:right="6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80" w:top="562" w:right="4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9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 is dedicated to transforming the care continuum for patients suffering from debilitating and chronic autoimmune diseases by enabling timely differential diagnosis and optimizing therapeutic intervention.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At December 31, 2021, the Company had cash and cash equivalents of $99.4 million and had an accumulated deficit of $208.1 million. Since inception, the Company has financed its operations primarily through a combination of equity financings of common stock and private placements of preferred securities,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financial statements.</w:t>
      </w:r>
    </w:p>
    <w:p>
      <w:pPr>
        <w:spacing w:after="0" w:line="15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Company's financial statements are prepared in accordance with accounting principles generally accepted in the United States of America (GAAP). The preparation of the accompanying financial statements requires management to make estimates and assumptions that affect the reported amounts of assets and liabilities, the disclosure of contingent assets and liabilities as of the date of the financial statements, and the reported amounts of revenue and expenses during the reporting period. Actual results could materially differ from those estimates.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Significant estimates and assumptions made in the accompanying financial statements include, but are not limited to revenue recognition, the fair value of financial instruments measured at fair value, the recoverability of its long-lived assets (including goodwill)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19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02" w:name="page103"/>
    <w:bookmarkEnd w:id="102"/>
    <w:p>
      <w:pPr>
        <w:ind w:right="120"/>
        <w:spacing w:after="0" w:line="256"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Revenue</w:t>
            </w:r>
          </w:p>
        </w:tc>
        <w:tc>
          <w:tcPr>
            <w:tcW w:w="500" w:type="dxa"/>
            <w:vAlign w:val="bottom"/>
            <w:tcBorders>
              <w:bottom w:val="single" w:sz="8" w:color="auto"/>
            </w:tcBorders>
          </w:tcPr>
          <w:p>
            <w:pPr>
              <w:spacing w:after="0"/>
              <w:rPr>
                <w:sz w:val="16"/>
                <w:szCs w:val="16"/>
                <w:color w:val="auto"/>
              </w:rPr>
            </w:pPr>
          </w:p>
        </w:tc>
      </w:tr>
      <w:tr>
        <w:trPr>
          <w:trHeight w:val="165"/>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r>
      <w:tr>
        <w:trPr>
          <w:trHeight w:val="169"/>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4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4"/>
                <w:szCs w:val="14"/>
                <w:color w:val="auto"/>
              </w:rPr>
            </w:pPr>
          </w:p>
        </w:tc>
      </w:tr>
      <w:tr>
        <w:trPr>
          <w:trHeight w:val="227"/>
        </w:trPr>
        <w:tc>
          <w:tcPr>
            <w:tcW w:w="8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8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9260" w:type="dxa"/>
            <w:vAlign w:val="bottom"/>
            <w:gridSpan w:val="3"/>
          </w:tcPr>
          <w:p>
            <w:pPr>
              <w:ind w:left="20"/>
              <w:spacing w:after="0"/>
              <w:rPr>
                <w:sz w:val="20"/>
                <w:szCs w:val="20"/>
                <w:color w:val="auto"/>
              </w:rPr>
            </w:pPr>
            <w:r>
              <w:rPr>
                <w:rFonts w:ascii="Arial" w:cs="Arial" w:eastAsia="Arial" w:hAnsi="Arial"/>
                <w:sz w:val="18"/>
                <w:szCs w:val="18"/>
                <w:color w:val="auto"/>
              </w:rPr>
              <w:t>Medicare Advantage</w:t>
            </w:r>
          </w:p>
        </w:tc>
        <w:tc>
          <w:tcPr>
            <w:tcW w:w="5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9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Blue Shield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301"/>
        </w:trPr>
        <w:tc>
          <w:tcPr>
            <w:tcW w:w="9260" w:type="dxa"/>
            <w:vAlign w:val="bottom"/>
            <w:gridSpan w:val="3"/>
          </w:tcPr>
          <w:p>
            <w:pPr>
              <w:ind w:left="20"/>
              <w:spacing w:after="0"/>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254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94" w:lineRule="exact"/>
        <w:rPr>
          <w:sz w:val="20"/>
          <w:szCs w:val="20"/>
          <w:color w:val="auto"/>
        </w:rPr>
      </w:pPr>
    </w:p>
    <w:p>
      <w:pPr>
        <w:ind w:left="1020" w:hanging="994"/>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130" w:lineRule="exact"/>
        <w:rPr>
          <w:sz w:val="20"/>
          <w:szCs w:val="20"/>
          <w:color w:val="auto"/>
        </w:rPr>
      </w:pPr>
    </w:p>
    <w:p>
      <w:pPr>
        <w:jc w:val="center"/>
        <w:ind w:left="7840"/>
        <w:spacing w:after="0"/>
        <w:rPr>
          <w:sz w:val="20"/>
          <w:szCs w:val="20"/>
          <w:color w:val="auto"/>
        </w:rPr>
      </w:pPr>
      <w:r>
        <w:rPr>
          <w:rFonts w:ascii="Arial" w:cs="Arial" w:eastAsia="Arial" w:hAnsi="Arial"/>
          <w:sz w:val="13"/>
          <w:szCs w:val="13"/>
          <w:b w:val="1"/>
          <w:bCs w:val="1"/>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21590</wp:posOffset>
            </wp:positionV>
            <wp:extent cx="21513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0" w:lineRule="exact"/>
        <w:rPr>
          <w:sz w:val="20"/>
          <w:szCs w:val="20"/>
          <w:color w:val="auto"/>
        </w:rPr>
      </w:pPr>
    </w:p>
    <w:p>
      <w:pPr>
        <w:jc w:val="center"/>
        <w:ind w:left="7840"/>
        <w:spacing w:after="0"/>
        <w:rPr>
          <w:sz w:val="20"/>
          <w:szCs w:val="20"/>
          <w:color w:val="auto"/>
        </w:rPr>
      </w:pPr>
      <w:r>
        <w:rPr>
          <w:rFonts w:ascii="Arial" w:cs="Arial" w:eastAsia="Arial" w:hAnsi="Arial"/>
          <w:sz w:val="13"/>
          <w:szCs w:val="13"/>
          <w:b w:val="1"/>
          <w:bCs w:val="1"/>
          <w:color w:val="auto"/>
        </w:rPr>
        <w:t>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60" w:type="dxa"/>
            <w:vAlign w:val="bottom"/>
            <w:tcBorders>
              <w:bottom w:val="single" w:sz="8" w:color="CCEEFF"/>
            </w:tcBorders>
            <w:gridSpan w:val="2"/>
          </w:tcPr>
          <w:p>
            <w:pPr>
              <w:spacing w:after="0"/>
              <w:rPr>
                <w:sz w:val="15"/>
                <w:szCs w:val="15"/>
                <w:color w:val="auto"/>
              </w:rPr>
            </w:pP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2020</w:t>
            </w:r>
          </w:p>
        </w:tc>
      </w:tr>
      <w:tr>
        <w:trPr>
          <w:trHeight w:val="22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Blue Shield</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8920" w:type="dxa"/>
            <w:vAlign w:val="bottom"/>
            <w:gridSpan w:val="3"/>
          </w:tcPr>
          <w:p>
            <w:pPr>
              <w:ind w:left="20"/>
              <w:spacing w:after="0"/>
              <w:rPr>
                <w:sz w:val="20"/>
                <w:szCs w:val="20"/>
                <w:color w:val="auto"/>
              </w:rPr>
            </w:pPr>
            <w:r>
              <w:rPr>
                <w:rFonts w:ascii="Arial" w:cs="Arial" w:eastAsia="Arial" w:hAnsi="Arial"/>
                <w:sz w:val="18"/>
                <w:szCs w:val="18"/>
                <w:color w:val="auto"/>
              </w:rPr>
              <w:t>United Healthcare</w:t>
            </w:r>
          </w:p>
        </w:tc>
        <w:tc>
          <w:tcPr>
            <w:tcW w:w="56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2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122"/>
        </w:trPr>
        <w:tc>
          <w:tcPr>
            <w:tcW w:w="1000" w:type="dxa"/>
            <w:vAlign w:val="bottom"/>
            <w:tcBorders>
              <w:bottom w:val="single" w:sz="8" w:color="auto"/>
            </w:tcBorders>
          </w:tcPr>
          <w:p>
            <w:pPr>
              <w:spacing w:after="0"/>
              <w:rPr>
                <w:sz w:val="10"/>
                <w:szCs w:val="10"/>
                <w:color w:val="auto"/>
              </w:rPr>
            </w:pPr>
          </w:p>
        </w:tc>
        <w:tc>
          <w:tcPr>
            <w:tcW w:w="6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r>
    </w:tbl>
    <w:p>
      <w:pPr>
        <w:spacing w:after="0" w:line="150" w:lineRule="exact"/>
        <w:rPr>
          <w:sz w:val="20"/>
          <w:szCs w:val="20"/>
          <w:color w:val="auto"/>
        </w:rPr>
      </w:pPr>
    </w:p>
    <w:p>
      <w:pPr>
        <w:ind w:left="1020" w:hanging="994"/>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316"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For the years ended December 31, 2021 and 2020, approximately 81% and 70%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respectively.</w:t>
      </w:r>
    </w:p>
    <w:p>
      <w:pPr>
        <w:spacing w:after="0" w:line="16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is dependent on key suppliers for certain laboratory materials. For each of the years ended December 31, 2021 and 2020, approximately 97% of the Company's diagnostic testing supplies were purchased from two suppliers. An interruption in the supply of these materials would impact the Company's ability to perform testing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3"/>
                <w:szCs w:val="13"/>
                <w:b w:val="1"/>
                <w:bCs w:val="1"/>
                <w:color w:val="auto"/>
              </w:rPr>
              <w:t>Years Ended December 31,</w:t>
            </w:r>
          </w:p>
        </w:tc>
        <w:tc>
          <w:tcPr>
            <w:tcW w:w="540" w:type="dxa"/>
            <w:vAlign w:val="bottom"/>
            <w:tcBorders>
              <w:bottom w:val="single" w:sz="8" w:color="auto"/>
            </w:tcBorders>
          </w:tcPr>
          <w:p>
            <w:pPr>
              <w:spacing w:after="0"/>
              <w:rPr>
                <w:sz w:val="15"/>
                <w:szCs w:val="15"/>
                <w:color w:val="auto"/>
              </w:rPr>
            </w:pPr>
          </w:p>
        </w:tc>
      </w:tr>
      <w:tr>
        <w:trPr>
          <w:trHeight w:val="172"/>
        </w:trPr>
        <w:tc>
          <w:tcPr>
            <w:tcW w:w="8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r>
      <w:tr>
        <w:trPr>
          <w:trHeight w:val="17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90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27,499</w:t>
            </w:r>
          </w:p>
        </w:tc>
        <w:tc>
          <w:tcPr>
            <w:tcW w:w="120" w:type="dxa"/>
            <w:vAlign w:val="bottom"/>
          </w:tcPr>
          <w:p>
            <w:pPr>
              <w:spacing w:after="0"/>
              <w:rPr>
                <w:sz w:val="16"/>
                <w:szCs w:val="16"/>
                <w:color w:val="auto"/>
              </w:rPr>
            </w:pP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22,456</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8,446</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Client(1)</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9,288</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5,109</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r>
      <w:tr>
        <w:trPr>
          <w:trHeight w:val="189"/>
        </w:trPr>
        <w:tc>
          <w:tcPr>
            <w:tcW w:w="824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5,128</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48,299</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41,975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60" w:hanging="309"/>
        <w:spacing w:after="0"/>
        <w:tabs>
          <w:tab w:leader="none" w:pos="5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11" w:lineRule="exact"/>
        <w:rPr>
          <w:rFonts w:ascii="Arial" w:cs="Arial" w:eastAsia="Arial" w:hAnsi="Arial"/>
          <w:sz w:val="14"/>
          <w:szCs w:val="14"/>
          <w:color w:val="auto"/>
        </w:rPr>
      </w:pPr>
    </w:p>
    <w:p>
      <w:pPr>
        <w:ind w:left="560" w:hanging="309"/>
        <w:spacing w:after="0"/>
        <w:tabs>
          <w:tab w:leader="none" w:pos="5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patient self-pay</w:t>
      </w:r>
      <w:r>
        <w:rPr>
          <w:rFonts w:ascii="Arial" w:cs="Arial" w:eastAsia="Arial" w:hAnsi="Arial"/>
          <w:sz w:val="17"/>
          <w:szCs w:val="17"/>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carrying value of the Company's cash and cash equivalents approximate fair value due to the short-term nature of these items. The estimated fair value of the Company's long-term borrowings are determined by Level 2 inputs and is based primarily on quoted market prices for the same or similar issues. The recorded value of the Company's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3" w:name="page104"/>
    <w:bookmarkEnd w:id="103"/>
    <w:p>
      <w:pPr>
        <w:ind w:right="400"/>
        <w:spacing w:after="0" w:line="261" w:lineRule="auto"/>
        <w:rPr>
          <w:sz w:val="20"/>
          <w:szCs w:val="20"/>
          <w:color w:val="auto"/>
        </w:rPr>
      </w:pPr>
      <w:r>
        <w:rPr>
          <w:rFonts w:ascii="Arial" w:cs="Arial" w:eastAsia="Arial" w:hAnsi="Arial"/>
          <w:sz w:val="18"/>
          <w:szCs w:val="18"/>
          <w:color w:val="auto"/>
        </w:rPr>
        <w:t>long-term borrowings approximates the current fair value as the interest rate and other terms are that which are currently available to the Company.</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100" w:hanging="1295"/>
        <w:spacing w:after="0" w:line="256"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02"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17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presented in the accompanying statements of cash flows consist of the following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57,448</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Property and equipment are stated at cost, net of depreciation and amortization. Depreciation is computed using the straight-line method over the estimated useful lives of the assets, generally between three and five years. Leasehold improvements are amortized on a straight-line basis over the lesser of the estimated useful life or the remaining term of the related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other income or expense in the statements of operations in the period realized.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The Company’s long-lived assets are comprised principally of its property and equipment, finite lived intangible assets, and goodwill.</w:t>
      </w:r>
    </w:p>
    <w:p>
      <w:pPr>
        <w:spacing w:after="0" w:line="17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If the Company identifies a change in the circumstances related to its long-lived assets, such as property and equipment and intangible assets (other than goodwill), that indicates the carrying value of any such asset may not be recoverable, the Company will perform an impairment analysis. A long-lived asset (other than goodwill) is deemed to be impaired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w:t>
      </w:r>
    </w:p>
    <w:p>
      <w:pPr>
        <w:spacing w:after="0" w:line="15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Goodwill is reviewed for impairment annually (during the fourth quarter) or more frequently if indicators of impairment exist. As the Company operates in a single operating segment and reporting unit, the Company first assesses qualitative factors to determine whether it is more likely than not that the fair value of the reporting unit is less than its carrying amount as a basis for determining whether it is necessary to perform a quantitative assessment. If, after assessing qualitative factors, the Company determines it is not more likely than not that the fair value of a reporting unit is less than its carrying amount, then performing a quantitative assessment is unnecessary. If deemed necessary, a quantitative assessment compares the fair value of the reporting unit with its carrying amount, including goodwill. If the fair value of the reporting unit exceeds its carrying amount, goodwill is not considered impaired; otherwise, an impairment loss is recorded. No impairment was recognized for any of the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Studies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From time to time, the Company engages in efforts to scientifically measure and document the application and efficacy of its various testing products. These arrangements typically require the Company to pay a fee to a third-party scientific investigator (usually a physician or research institution) for each subject enrolled in a clinical study, and the Company accrues expenses associated with these efforts as subjects are enrolled in each study. Payments made prior to the completion of clinical study services are capitalized until the services are rendered. Expenses associated with clinical study activities are recorded in research and development expenses in the accompanying statement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payors) consist of healthcare insurers, government payors (primarily Medicare and Medicaid), client payors (i.e., hospitals, other laboratories, etc.), and patient self-pay. The Company's service is a single performance obligation that is completed upon the delivery of test results to the prescribing physician which triggers revenue recognition.</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Payors are billed at the Company's list price.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occur. Further adjustments to the allowances, based on actual receipts, are recorded upon settlement. The transaction price is estimated using an expected value method on a portfolio basis. The Company's portfolios are grouped per payor (i.e. each individual third-party insurance, Medicare, client payors, patient self-pay, etc.) and per test basis.</w:t>
      </w:r>
    </w:p>
    <w:p>
      <w:pPr>
        <w:spacing w:after="0" w:line="15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 Revenue recognized during the years ended December 31, 2021 and 2020 related to performance obligations satisfied in previous periods was approximately $0.7 million and $0.8 million, respectively, which relates to a change in estimate of the transaction price.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color w:val="auto"/>
        </w:rPr>
        <w:t>Janssen Promotion Agreement</w:t>
      </w:r>
    </w:p>
    <w:p>
      <w:pPr>
        <w:spacing w:after="0" w:line="18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December 2018, the Company entered into a co-promotion agreement (as amended from time to time, the Janssen Agreement) with Janssen Biotech, Inc. (Janssen) to co-promote SIMPONI</w:t>
      </w:r>
      <w:r>
        <w:rPr>
          <w:rFonts w:ascii="Arial" w:cs="Arial" w:eastAsia="Arial" w:hAnsi="Arial"/>
          <w:sz w:val="10"/>
          <w:szCs w:val="10"/>
          <w:color w:val="auto"/>
        </w:rPr>
        <w:t>®</w:t>
      </w:r>
      <w:r>
        <w:rPr>
          <w:rFonts w:ascii="Arial" w:cs="Arial" w:eastAsia="Arial" w:hAnsi="Arial"/>
          <w:sz w:val="18"/>
          <w:szCs w:val="18"/>
          <w:color w:val="auto"/>
        </w:rPr>
        <w:t xml:space="preserve"> in the United States. In August 2021, the Company and Janssen mutually agreed to terminate the Janssen Agreement effective on August 31, 2021.</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the Janssen Agreement, the Company was responsible for the costs associated with its sales force over the course of such co-promotion. Janssen was responsible for all other aspects of the commercialization of SIMPONI</w:t>
      </w:r>
      <w:r>
        <w:rPr>
          <w:rFonts w:ascii="Arial" w:cs="Arial" w:eastAsia="Arial" w:hAnsi="Arial"/>
          <w:sz w:val="10"/>
          <w:szCs w:val="10"/>
          <w:color w:val="auto"/>
        </w:rPr>
        <w:t>®</w:t>
      </w:r>
      <w:r>
        <w:rPr>
          <w:rFonts w:ascii="Arial" w:cs="Arial" w:eastAsia="Arial" w:hAnsi="Arial"/>
          <w:sz w:val="18"/>
          <w:szCs w:val="18"/>
          <w:color w:val="auto"/>
        </w:rPr>
        <w:t xml:space="preserve"> under the Janssen Agreement. In exchange for the Company's sales and co-promotional services, the Company was entitled to a quarterly tiered promotion fee based on the incremental increase in total prescribed units of SIMPONI</w:t>
      </w:r>
      <w:r>
        <w:rPr>
          <w:rFonts w:ascii="Arial" w:cs="Arial" w:eastAsia="Arial" w:hAnsi="Arial"/>
          <w:sz w:val="10"/>
          <w:szCs w:val="10"/>
          <w:color w:val="auto"/>
        </w:rPr>
        <w:t>®</w:t>
      </w:r>
      <w:r>
        <w:rPr>
          <w:rFonts w:ascii="Arial" w:cs="Arial" w:eastAsia="Arial" w:hAnsi="Arial"/>
          <w:sz w:val="18"/>
          <w:szCs w:val="18"/>
          <w:color w:val="auto"/>
        </w:rPr>
        <w:t xml:space="preserve"> for that quarter over a predetermined baseline. For the year ended December 31, 2020, the tiered promotion fee ranged from $750 to $1,250 per prescription over a predetermined baseline. Due in part to COVID-19, in June 2020, the Janssen Agreement was amended to adjust the predetermined average baseline for the third and fourth quarters of 2020. The Janssen Agreement was further amended in June 2020 and December 2020 to adjust the predetermined average baseline for prescribed units for the quarters ending December 31, 2020 and March 31, 2021 and was subject to further adjustment under certain circumstances. In June 2021, the Janssen Agreement was again amended to proportionally increase the baseline for prescribed units for the quarter ended June 30, 2021 to reflect the addition of certain geographies to the sales territories covered by the Janssen Agreement. For the first and second quarters of 2021, the Company earned the minimum promotion fee of $0.3 million.</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termination of the Janssen Agreement on August 31, 2021, the Company became entitled to receive an aggregate of $0.6 million in consideration, which was earned in the year ended December 31, 2021. Pursuant to the terms of the termination, the Company is restricted from promoting any other biologic or Janus kinase inhibitor used for treatment of indications covered by the Janssen Agreement without first obtaining Janssen's written consent until May 31, 2022.</w:t>
      </w:r>
    </w:p>
    <w:p>
      <w:pPr>
        <w:spacing w:after="0" w:line="15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Company's obligations relating to sales and co-promotion services for SIMPONI</w:t>
      </w:r>
      <w:r>
        <w:rPr>
          <w:rFonts w:ascii="Arial" w:cs="Arial" w:eastAsia="Arial" w:hAnsi="Arial"/>
          <w:sz w:val="10"/>
          <w:szCs w:val="10"/>
          <w:color w:val="auto"/>
        </w:rPr>
        <w:t>®</w:t>
      </w:r>
      <w:r>
        <w:rPr>
          <w:rFonts w:ascii="Arial" w:cs="Arial" w:eastAsia="Arial" w:hAnsi="Arial"/>
          <w:sz w:val="18"/>
          <w:szCs w:val="18"/>
          <w:color w:val="auto"/>
        </w:rPr>
        <w:t xml:space="preserve"> were a series of single performance obligations since Janssen simultaneously received and consumed benefits provided by the Company's sales and co-promotional services. The method for measuring progress towards satisfying the performance obligations was based on prescribed units in excess of the contractual baseline at the contractual rate earned per unit since the Amended Janssen Agreement was cancelable. The Company recognized co-promotion revenue of approximately $1.2 million and $5.1 million during the years ended December 31, 2021 and 2020, respectively. The related expenses for marketing SIMPONI</w:t>
      </w:r>
      <w:r>
        <w:rPr>
          <w:rFonts w:ascii="Arial" w:cs="Arial" w:eastAsia="Arial" w:hAnsi="Arial"/>
          <w:sz w:val="10"/>
          <w:szCs w:val="10"/>
          <w:color w:val="auto"/>
        </w:rPr>
        <w:t>®</w:t>
      </w:r>
      <w:r>
        <w:rPr>
          <w:rFonts w:ascii="Arial" w:cs="Arial" w:eastAsia="Arial" w:hAnsi="Arial"/>
          <w:sz w:val="18"/>
          <w:szCs w:val="18"/>
          <w:color w:val="auto"/>
        </w:rPr>
        <w:t xml:space="preserve"> are included in selling, general and administrative expenses and are expensed as incurred.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193"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$1.7 million and $1.3 million for the years ended December 31, 2021 and 2020, respectively, and are included in selling, general and administrative expenses in the accompanying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93"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Costs incurred for shipping and handling are included in costs of revenue in the accompanying statements of operations and totaled approximately $2.1 million and $1.4 million, for the years ended December 31, 2021 and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106" w:name="page107"/>
    <w:bookmarkEnd w:id="106"/>
    <w:p>
      <w:pPr>
        <w:jc w:val="both"/>
        <w:spacing w:after="0" w:line="256" w:lineRule="auto"/>
        <w:rPr>
          <w:sz w:val="20"/>
          <w:szCs w:val="20"/>
          <w:color w:val="auto"/>
        </w:rPr>
      </w:pPr>
      <w:r>
        <w:rPr>
          <w:rFonts w:ascii="Arial" w:cs="Arial" w:eastAsia="Arial" w:hAnsi="Arial"/>
          <w:sz w:val="18"/>
          <w:szCs w:val="18"/>
          <w:color w:val="auto"/>
        </w:rPr>
        <w:t>straight-line basis. The fair value of stock options and purchases under the Company's 2019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The risk-free interest rate for periods within the contractual term of the option is based on the U.S. Treasury yield in effect at the time of grant. The dividend yield was zero, as the Company has never declared or paid dividends and has no plans to do so in the foreseeable future.</w:t>
      </w:r>
    </w:p>
    <w:p>
      <w:pPr>
        <w:spacing w:after="0" w:line="20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fair value of each restricted stock unit is determined on the grant date using the closing price of the Company's common stock on the grant date and generally vest from the grant date in four equal annual installments subject to the holder's continued service with the Company. The Company issues new shares to satisfy restricted stock units upon vesting.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common stock is determined by using the closing price of its common stock on the corresponding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9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5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adjust the deferred tax asset valuation allowance, which would reduce the provision for income taxes.</w:t>
      </w:r>
    </w:p>
    <w:p>
      <w:pPr>
        <w:spacing w:after="0" w:line="1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3"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in 2021 used to compute basic and diluted shares includes shares issuable upon the exercise of pre-funded warrants at a nominal price. Potentially dilutive common stock equivalents are comprised of warrants for the purchase of common stock, options and restricted stock units outstanding under the Company's 2019 Incentive Award Plan (the 2019 Plan) and shares of the Company's common stock pursuant to the ESPP. For the years ended December 31, 2021 and 2020,</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07" w:name="page108"/>
    <w:bookmarkEnd w:id="107"/>
    <w:p>
      <w:pPr>
        <w:ind w:right="600"/>
        <w:spacing w:after="0" w:line="261" w:lineRule="auto"/>
        <w:rPr>
          <w:sz w:val="20"/>
          <w:szCs w:val="20"/>
          <w:color w:val="auto"/>
        </w:rPr>
      </w:pPr>
      <w:r>
        <w:rPr>
          <w:rFonts w:ascii="Arial" w:cs="Arial" w:eastAsia="Arial" w:hAnsi="Arial"/>
          <w:sz w:val="18"/>
          <w:szCs w:val="18"/>
          <w:color w:val="auto"/>
        </w:rPr>
        <w:t>there is no difference in the number of shares used to calculate basic and diluted shares outstanding as the inclusion of the potentially dilutive securities would be antidilutive.</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782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409,108</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426,827</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2,014,330</w:t>
            </w: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1,975,761</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415,325</w:t>
            </w: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20,193</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11,640</w:t>
            </w:r>
          </w:p>
        </w:tc>
      </w:tr>
      <w:tr>
        <w:trPr>
          <w:trHeight w:val="20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2,858,956</w:t>
            </w:r>
          </w:p>
        </w:tc>
        <w:tc>
          <w:tcPr>
            <w:tcW w:w="1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2,414,228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Assistance Grant Income</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Absent authoritative accounting standards, interpretive guidance issued and commonly applied by financial statement preparers allows for the selection of accounting policies amongst acceptable alternatives. Based on the facts and circumstances of the government assistance received by the Company as discussed in Note 11, the Company determined it most appropriate to account for the transaction by analogy to International Accounting Standards 20 (IAS 20), </w:t>
      </w:r>
      <w:r>
        <w:rPr>
          <w:rFonts w:ascii="Arial" w:cs="Arial" w:eastAsia="Arial" w:hAnsi="Arial"/>
          <w:sz w:val="18"/>
          <w:szCs w:val="18"/>
          <w:i w:val="1"/>
          <w:iCs w:val="1"/>
          <w:color w:val="auto"/>
        </w:rPr>
        <w:t>Accounting for Government Grants and Disclosure of Government Assistance</w:t>
      </w:r>
      <w:r>
        <w:rPr>
          <w:rFonts w:ascii="Arial" w:cs="Arial" w:eastAsia="Arial" w:hAnsi="Arial"/>
          <w:sz w:val="18"/>
          <w:szCs w:val="18"/>
          <w:color w:val="auto"/>
        </w:rPr>
        <w:t>. IAS 20 permits for the recognition in earnings either separately under a general heading such as other income, or as a reduction of the related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93"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13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new topic supersedes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 Topic 842</w:t>
      </w:r>
      <w:r>
        <w:rPr>
          <w:rFonts w:ascii="Arial" w:cs="Arial" w:eastAsia="Arial" w:hAnsi="Arial"/>
          <w:sz w:val="18"/>
          <w:szCs w:val="18"/>
          <w:color w:val="auto"/>
        </w:rPr>
        <w:t>, which provides narrow amendments to clarify how to apply certain aspects of the new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 and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which was issued to provide relief to companies from restating comparative periods. Pursuant to this ASU, in the period of adoption the Company will not restate comparative periods presented in its financial statements. The effective date of this guidance for public companies is for reporting periods beginning after December 15, 2018. In June 2020, the FASB issued ASU 2020-05, which delays the adoption of ASU 2016-02 for non-public entities to fiscal years beginning after December 15, 2021, and interim periods beginning after December 15, 2022. As an emerging growth company as defined in the JOBS Act, the Company has elected to early adopt this ASU as of January 1, 2022. Topic 842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in the process of completing its evaluation of the effect that the adoption of this ASU will have on its financial statements. The Company currently believes the most significant change will be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8" w:name="page109"/>
    <w:bookmarkEnd w:id="108"/>
    <w:p>
      <w:pPr>
        <w:ind w:right="140"/>
        <w:spacing w:after="0" w:line="261" w:lineRule="auto"/>
        <w:rPr>
          <w:sz w:val="20"/>
          <w:szCs w:val="20"/>
          <w:color w:val="auto"/>
        </w:rPr>
      </w:pPr>
      <w:r>
        <w:rPr>
          <w:rFonts w:ascii="Arial" w:cs="Arial" w:eastAsia="Arial" w:hAnsi="Arial"/>
          <w:sz w:val="18"/>
          <w:szCs w:val="18"/>
          <w:color w:val="auto"/>
        </w:rPr>
        <w:t>related to the recognition of a new right-of-use asset and lease liability at January 1, 2022 on the Company's balance sheet for its office and laboratory space operating leases.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The new guidance removes certain exceptions to the general principles of ASC 740 in order to simplify the complexities of its application. These changes include eliminations to the exceptions for intraperiod tax allocation, recognizing deferred tax liabilities related to outside basis differences, and year-to-date losses in interim periods, among others. The effective date of this guidance for public companies is for fiscal years, and interim period within those fiscal years, beginning after December 15, 2020. The Company adopted this guidance on January 1, 2021, and the adoption did not have a material impact on its financial statements.</w:t>
      </w:r>
    </w:p>
    <w:p>
      <w:pPr>
        <w:spacing w:after="0" w:line="13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w:t>
      </w:r>
      <w:r>
        <w:rPr>
          <w:rFonts w:ascii="Arial" w:cs="Arial" w:eastAsia="Arial" w:hAnsi="Arial"/>
          <w:sz w:val="18"/>
          <w:szCs w:val="18"/>
          <w:color w:val="auto"/>
        </w:rPr>
        <w:t xml:space="preserve"> (Topic 832). The update requires certain annual disclosures about transactions with a government that are accounted for by applying a grant or contribution model by analogy. The amendments in this update are effective for fiscal years beginning after December 15, 2021. Early application of the amendments is permitted. The Company early adopted these disclosure requirements and applied them to its disclosure of the funding received as part of the Coronavirus Aid, Relief, and Economic Security Act (CARES Act) in 2020.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6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Prepaid product royalties</w:t>
            </w: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1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w:t>
            </w:r>
          </w:p>
        </w:tc>
      </w:tr>
      <w:tr>
        <w:trPr>
          <w:trHeight w:val="18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and other current assets</w:t>
            </w:r>
          </w:p>
        </w:tc>
        <w:tc>
          <w:tcPr>
            <w:tcW w:w="1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w:t>
            </w:r>
          </w:p>
        </w:tc>
      </w:tr>
      <w:tr>
        <w:trPr>
          <w:trHeight w:val="20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and other current assets</w:t>
            </w: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6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1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4,361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2,679</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1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1,072</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1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8,656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5,043</w:t>
            </w:r>
          </w:p>
        </w:tc>
      </w:tr>
      <w:tr>
        <w:trPr>
          <w:trHeight w:val="189"/>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1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(3,884)</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(2,941)</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4,772</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w:t>
            </w:r>
          </w:p>
        </w:tc>
      </w:tr>
      <w:tr>
        <w:trPr>
          <w:trHeight w:val="20"/>
        </w:trPr>
        <w:tc>
          <w:tcPr>
            <w:tcW w:w="7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Depreciation and amortization expense for the years ended December 31, 2021 and 2020, was approximately $0.9 million and $0.5 million, respectively. At December 31, 2021 and December 31, 2020, the gross book value of assets under capital lease was $ 2.5 million and $1.2 million, respectively, and is classified in "Laboratory equipment" in the table above. At December 31, 2021, $1.5 million relates to leasehold improvements in connection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9" w:name="page110"/>
    <w:bookmarkEnd w:id="109"/>
    <w:p>
      <w:pPr>
        <w:ind w:right="580"/>
        <w:spacing w:after="0" w:line="261" w:lineRule="auto"/>
        <w:rPr>
          <w:sz w:val="20"/>
          <w:szCs w:val="20"/>
          <w:color w:val="auto"/>
        </w:rPr>
      </w:pPr>
      <w:r>
        <w:rPr>
          <w:rFonts w:ascii="Arial" w:cs="Arial" w:eastAsia="Arial" w:hAnsi="Arial"/>
          <w:sz w:val="18"/>
          <w:szCs w:val="18"/>
          <w:color w:val="auto"/>
        </w:rPr>
        <w:t>with the conversion of the Company's warehouse space into additional clinical laboratory space and research and development facility space, which is expected to be placed in service in calendar year 2022.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6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3,589</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purchases of goods and services</w:t>
            </w:r>
          </w:p>
        </w:tc>
        <w:tc>
          <w:tcPr>
            <w:tcW w:w="1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Accrued royalties</w:t>
            </w: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clinical study activity</w:t>
            </w:r>
          </w:p>
        </w:tc>
        <w:tc>
          <w:tcPr>
            <w:tcW w:w="1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Capital lease obligations, current portion</w:t>
            </w: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liabilities</w:t>
            </w:r>
          </w:p>
        </w:tc>
        <w:tc>
          <w:tcPr>
            <w:tcW w:w="12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Accrued and other current liabilities</w:t>
            </w: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w:t>
            </w:r>
          </w:p>
        </w:tc>
      </w:tr>
      <w:tr>
        <w:trPr>
          <w:trHeight w:val="21"/>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The 2017 Term Loan was subsequently amended in November 2019 and November 2021. At December 31, 2021, no additional amounts remain available to borrow under the 2017 Term Loan.</w:t>
      </w:r>
    </w:p>
    <w:p>
      <w:pPr>
        <w:spacing w:after="0" w:line="15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November 2021, the Company executed the Second Amendment to the Loan and Security Agreement (the 2017 Loan Amendment). The interest rate on all borrowings under the 2017 Loan Amendment is 8.0%, of which 2.0% is paid in-kind in the form of additional term loans (PIK Loans) until December of 2024, after which interest accrues at an annual rate of 8.0%. The Company has estimated the effective interest rate of this loan to be approximately 8.5%. Accrued interest is due and payable monthly, unless the Company elects to pay paid-in-kind interest. The outstanding principal and accrued interest on the 2017 Loan Amendment will be repaid in twenty-four equal monthly installments commencing in December 2024. Upon repayment of the final installment under the 2017 Loan Amendment, the Company is required to pay an additional fee of $1.0 million. This obligation is being accreted into interest expense over the term of Loan Amendment using the effective interest method. For each of the years ended December 31, 2021 and 2020, the Company issued PIK Loans totaling $0.5 million.</w:t>
      </w:r>
    </w:p>
    <w:p>
      <w:pPr>
        <w:spacing w:after="0" w:line="158"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2017 Loan Amendment requires a prepayment premium of 3% of the aggregate outstanding principal. The prepayment premium decreases by 1% on November 1, 2022, 2023 and 2024.</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2017 Loan Amendment is collateralized by a first priority security interest in substantially all of the Company's assets, including intellectual property. The affirmative covenants of the 2017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and commencing with the quarter ending December 31, 2022. The consequences of failing to achieve the performance covenant may be cured if, within sixty days of failing to achieve the performance covenant, the Company issues additional equity securities or subordinated debt with net proceeds sufficient to fund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0" w:name="page111"/>
    <w:bookmarkEnd w:id="110"/>
    <w:p>
      <w:pPr>
        <w:ind w:right="380"/>
        <w:spacing w:after="0" w:line="261" w:lineRule="auto"/>
        <w:rPr>
          <w:sz w:val="20"/>
          <w:szCs w:val="20"/>
          <w:color w:val="auto"/>
        </w:rPr>
      </w:pPr>
      <w:r>
        <w:rPr>
          <w:rFonts w:ascii="Arial" w:cs="Arial" w:eastAsia="Arial" w:hAnsi="Arial"/>
          <w:sz w:val="18"/>
          <w:szCs w:val="18"/>
          <w:color w:val="auto"/>
        </w:rPr>
        <w:t>any cash flow deficiency generated from operations, as defined. The 2017 Loan Amendment requires that the Company maintain certain levels of minimum liquidity and maintains an unrestricted cash balance of $2.0 million.</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Loan Amendment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the Company was in compliance with all covenants of the 2017 Loan Amendment.</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Upon an event of default in any of the 2017 Loan Amendment covenants, the repayment of the 2017 Loan Amendment may be accelerated, and the applicable interest rate will be increased by 4.0% until the default is cured. Although repayment of the 2017 Loan Amendment can be accelerated under certain circumstances, the Company believes acceleration of this loan is not probable as of the date of these financial statements. Accordingly, the Company has reflected the amounts of the 2017 Loan Amendment due beyond twelve months of the balance sheet date as non-current.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18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December 31, 2021, future minimum aggregate payments, including interest, for outstanding borrowings under the Loan Amendment are as follows (in thousands):</w:t>
      </w:r>
    </w:p>
    <w:p>
      <w:pPr>
        <w:spacing w:after="0" w:line="258" w:lineRule="exact"/>
        <w:rPr>
          <w:sz w:val="20"/>
          <w:szCs w:val="20"/>
          <w:color w:val="auto"/>
        </w:rPr>
      </w:pPr>
    </w:p>
    <w:p>
      <w:pPr>
        <w:ind w:left="9520"/>
        <w:spacing w:after="0"/>
        <w:rPr>
          <w:sz w:val="20"/>
          <w:szCs w:val="20"/>
          <w:color w:val="auto"/>
        </w:rPr>
      </w:pPr>
      <w:r>
        <w:rPr>
          <w:rFonts w:ascii="Arial" w:cs="Arial" w:eastAsia="Arial" w:hAnsi="Arial"/>
          <w:sz w:val="13"/>
          <w:szCs w:val="13"/>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2022</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2023</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-473075</wp:posOffset>
            </wp:positionV>
            <wp:extent cx="713232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-233045</wp:posOffset>
            </wp:positionV>
            <wp:extent cx="713232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14605</wp:posOffset>
            </wp:positionV>
            <wp:extent cx="713232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Less:</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Unamortized debt discount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6350</wp:posOffset>
            </wp:positionV>
            <wp:extent cx="713232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Interest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Total borrowings, net of discounts and debt issuance costs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360" w:hanging="1358"/>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1,653</w:t>
      </w:r>
    </w:p>
    <w:p>
      <w:pPr>
        <w:spacing w:after="0" w:line="28" w:lineRule="exact"/>
        <w:rPr>
          <w:rFonts w:ascii="Arial" w:cs="Arial" w:eastAsia="Arial" w:hAnsi="Arial"/>
          <w:sz w:val="14"/>
          <w:szCs w:val="14"/>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1,686</w:t>
      </w:r>
    </w:p>
    <w:p>
      <w:pPr>
        <w:spacing w:after="0" w:line="28" w:lineRule="exact"/>
        <w:rPr>
          <w:rFonts w:ascii="Arial" w:cs="Arial" w:eastAsia="Arial" w:hAnsi="Arial"/>
          <w:sz w:val="14"/>
          <w:szCs w:val="14"/>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2,980</w:t>
      </w:r>
    </w:p>
    <w:p>
      <w:pPr>
        <w:spacing w:after="0" w:line="2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16,152</w:t>
      </w:r>
    </w:p>
    <w:p>
      <w:pPr>
        <w:spacing w:after="0" w:line="2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14,786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6350</wp:posOffset>
            </wp:positionV>
            <wp:extent cx="11398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37,257</w:t>
      </w:r>
    </w:p>
    <w:p>
      <w:pPr>
        <w:spacing w:after="0" w:line="217"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(208)</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(9,571)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6350</wp:posOffset>
            </wp:positionV>
            <wp:extent cx="11398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2" w:lineRule="exact"/>
        <w:rPr>
          <w:sz w:val="20"/>
          <w:szCs w:val="20"/>
          <w:color w:val="auto"/>
        </w:rPr>
      </w:pPr>
    </w:p>
    <w:p>
      <w:pPr>
        <w:ind w:left="1280" w:hanging="1278"/>
        <w:spacing w:after="0"/>
        <w:tabs>
          <w:tab w:leader="none" w:pos="12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27,478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6350</wp:posOffset>
            </wp:positionV>
            <wp:extent cx="11398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31750</wp:posOffset>
            </wp:positionV>
            <wp:extent cx="11398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0" w:space="20"/>
            <w:col w:w="8380" w:space="720"/>
            <w:col w:w="1780"/>
          </w:cols>
          <w:pgMar w:left="320" w:top="1070" w:right="3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December 31, 2021, the Company leases office and laboratory space in Vista, California, under leases that expire in April 2027, with an option to extend a portion of the lease for an additional 5-year period. The Company also leases additional office space in Vista, California, under a lease that expires in April 2027 with an option to extend the lease for an additional 5-year period. The Company's lease payments under each of these leases are subject to escalation clauses. In addition, effective on August 23, 2021, the Company entered into a sub-lease agreement for an additional office space in Carlsbad, California. The sub-lease commended in October 2021 and expires in April 2027.</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color w:val="auto"/>
        </w:rPr>
        <w:t>Minimum annual lease payments under non-cancelable lease arrangements at December 31, 2021 are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Capital Leases</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189"/>
        </w:trPr>
        <w:tc>
          <w:tcPr>
            <w:tcW w:w="6280" w:type="dxa"/>
            <w:vAlign w:val="bottom"/>
          </w:tcPr>
          <w:p>
            <w:pPr>
              <w:ind w:left="20"/>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566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189"/>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189"/>
        </w:trPr>
        <w:tc>
          <w:tcPr>
            <w:tcW w:w="6280" w:type="dxa"/>
            <w:vAlign w:val="bottom"/>
          </w:tcPr>
          <w:p>
            <w:pPr>
              <w:ind w:left="20"/>
              <w:spacing w:after="0"/>
              <w:rPr>
                <w:sz w:val="20"/>
                <w:szCs w:val="20"/>
                <w:color w:val="auto"/>
              </w:rPr>
            </w:pPr>
            <w:r>
              <w:rPr>
                <w:rFonts w:ascii="Arial" w:cs="Arial" w:eastAsia="Arial" w:hAnsi="Arial"/>
                <w:sz w:val="14"/>
                <w:szCs w:val="14"/>
                <w:color w:val="auto"/>
              </w:rPr>
              <w:t>2025</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89"/>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minimum lease payments</w:t>
            </w:r>
          </w:p>
        </w:tc>
        <w:tc>
          <w:tcPr>
            <w:tcW w:w="36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1,586</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4"/>
                <w:szCs w:val="14"/>
                <w:color w:val="auto"/>
              </w:rPr>
              <w:t>Less: amount representing interest</w:t>
            </w:r>
          </w:p>
        </w:tc>
        <w:tc>
          <w:tcPr>
            <w:tcW w:w="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(116)</w:t>
            </w: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520" w:type="dxa"/>
            <w:vAlign w:val="bottom"/>
            <w:tcBorders>
              <w:bottom w:val="single" w:sz="8" w:color="CCEEFF"/>
            </w:tcBorders>
            <w:gridSpan w:val="2"/>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9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Present value of future minimum lease payments</w:t>
            </w:r>
          </w:p>
        </w:tc>
        <w:tc>
          <w:tcPr>
            <w:tcW w:w="360" w:type="dxa"/>
            <w:vAlign w:val="bottom"/>
            <w:shd w:val="clear" w:color="auto" w:fill="CCEEFF"/>
          </w:tcPr>
          <w:p>
            <w:pPr>
              <w:spacing w:after="0"/>
              <w:rPr>
                <w:sz w:val="15"/>
                <w:szCs w:val="15"/>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1,470</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Less: current portion</w:t>
            </w: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Long-term capital lease obligations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883</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2021 and 2020, rent expense was $0.9 million and $0.6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acquisition of the medical diagnostics division of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One such license agreement, the license agreement, dated September 13, 2007, between the Company and Prometheus Laboratories, Inc. (the Prometheus License), was terminated by mutual agreement on September 28, 2021. In consideration for terminating the Prometheus License, including with respect to the remaining potential milestone payments thereunder, the Company agreed to pay Prometheus Laboratories, Inc. a fee of approximately $0.1 million and acquired the intellectual property previously licensed to the Company pursuant to the Prometheus Agreement.</w:t>
      </w:r>
    </w:p>
    <w:p>
      <w:pPr>
        <w:spacing w:after="0" w:line="15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has ongoing royalty payment obligations of 2.5% on net sales of products which incorporate certain acquired technologies. Future royalties payable under these arrangements are limited to the lesser of (i) an aggregate of $1.2 million (including an upfront payment of $100,000) and (ii) the total royalties earned through January 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ranging from 1.5% to 7.0% on net sales of products which incorporate licensed technology, as defined in such agreements. Royalties are accrued when earned and recorded in costs of revenue in the accompanying statement of operations.</w:t>
      </w:r>
    </w:p>
    <w:p>
      <w:pPr>
        <w:spacing w:after="0" w:line="1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May 2021, the Company entered into an exclusive license agreement with Allegheny Health Network Research Institute, or AHN, to obtain an exclusive license to AHN's patent rights in certain inventions, pursuant to which the Company paid AHN an initial license fee of $0.4 million. In addition, under the terms of the exclusive license agreement, the Company is required to pay the greater of royalties in the low single digits on net sales of diagnostic tests using the assigned patents or a flat annual minimum royalty amount, pending approvals and commercialization.</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November 2021, the Company entered into an exclusive license agreement with Queen Mary University of London, or QMUL, to obtain an exclusive license to QMUL's patent rights in certain inventions, pursuant to which the Company is required to pay QMUL an initial license fee of $0.4 million. The Company is obligated to make a one-time payment of $0.1 million relating to the first commercial sale of the licensed products. In addition, after the first 18 months of commercial sales under the terms of the exclusive license agreement, the Company is required to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pay royalties in the high single-digits on net sales of testing products using the assigned patents, pending approvals and commercialization.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December 2021, the Company entered into an amended supply agreement with one supplier for reagents which includes minimum annual purchase commitments of $3.7 million and $6.0 million for the years ended December 31, 2021 and 2022, respectively, with a 15% annual increase thereafter for unconditional minimum purchase commitments through the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May 2021, the Company entered into a master research collaboration agreement with AHN, pursuant to which the Company is required to pay AHN a collaboration fee of $0.4 million for each year during the initial term of the agreement. Collaboration expenses under the master research collaboration agreement were $0.3 million for the year ended December 31, 2021. Collaboration expenses under the AHN collaboration are included in research and development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subpoenas and other civil investigative demands, from governmental agencies, Medicare or Medicaid payors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71" w:lineRule="exact"/>
        <w:rPr>
          <w:sz w:val="20"/>
          <w:szCs w:val="20"/>
          <w:color w:val="auto"/>
        </w:rPr>
      </w:pPr>
    </w:p>
    <w:p>
      <w:pPr>
        <w:ind w:left="8140"/>
        <w:spacing w:after="0"/>
        <w:rPr>
          <w:sz w:val="20"/>
          <w:szCs w:val="20"/>
          <w:color w:val="auto"/>
        </w:rPr>
      </w:pPr>
      <w:r>
        <w:rPr>
          <w:rFonts w:ascii="Arial" w:cs="Arial" w:eastAsia="Arial" w:hAnsi="Arial"/>
          <w:sz w:val="13"/>
          <w:szCs w:val="13"/>
          <w:b w:val="1"/>
          <w:bCs w:val="1"/>
          <w:color w:val="auto"/>
        </w:rPr>
        <w:t>December 31,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300" w:type="dxa"/>
            <w:vAlign w:val="bottom"/>
            <w:tcBorders>
              <w:top w:val="single" w:sz="8" w:color="auto"/>
            </w:tcBorders>
            <w:gridSpan w:val="3"/>
          </w:tcPr>
          <w:p>
            <w:pPr>
              <w:ind w:left="380"/>
              <w:spacing w:after="0"/>
              <w:rPr>
                <w:sz w:val="20"/>
                <w:szCs w:val="20"/>
                <w:color w:val="auto"/>
              </w:rPr>
            </w:pPr>
            <w:r>
              <w:rPr>
                <w:rFonts w:ascii="Arial" w:cs="Arial" w:eastAsia="Arial" w:hAnsi="Arial"/>
                <w:sz w:val="13"/>
                <w:szCs w:val="13"/>
                <w:b w:val="1"/>
                <w:bCs w:val="1"/>
                <w:color w:val="auto"/>
              </w:rPr>
              <w:t>Level 1</w:t>
            </w: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Level 2</w:t>
            </w: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8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7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7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ind w:left="400"/>
              <w:spacing w:after="0"/>
              <w:rPr>
                <w:sz w:val="20"/>
                <w:szCs w:val="20"/>
                <w:color w:val="auto"/>
              </w:rPr>
            </w:pPr>
            <w:r>
              <w:rPr>
                <w:rFonts w:ascii="Arial" w:cs="Arial" w:eastAsia="Arial" w:hAnsi="Arial"/>
                <w:sz w:val="14"/>
                <w:szCs w:val="14"/>
                <w:color w:val="auto"/>
              </w:rPr>
              <w:t>95,761</w:t>
            </w:r>
          </w:p>
        </w:tc>
        <w:tc>
          <w:tcPr>
            <w:tcW w:w="10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95,761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7"/>
        </w:trPr>
        <w:tc>
          <w:tcPr>
            <w:tcW w:w="46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w w:val="95"/>
              </w:rPr>
              <w:t>December 31, 2020</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Total</w:t>
            </w:r>
          </w:p>
        </w:tc>
        <w:tc>
          <w:tcPr>
            <w:tcW w:w="1600" w:type="dxa"/>
            <w:vAlign w:val="bottom"/>
            <w:gridSpan w:val="3"/>
          </w:tcPr>
          <w:p>
            <w:pPr>
              <w:ind w:left="760"/>
              <w:spacing w:after="0"/>
              <w:rPr>
                <w:sz w:val="20"/>
                <w:szCs w:val="20"/>
                <w:color w:val="auto"/>
              </w:rPr>
            </w:pPr>
            <w:r>
              <w:rPr>
                <w:rFonts w:ascii="Arial" w:cs="Arial" w:eastAsia="Arial" w:hAnsi="Arial"/>
                <w:sz w:val="13"/>
                <w:szCs w:val="13"/>
                <w:b w:val="1"/>
                <w:bCs w:val="1"/>
                <w:color w:val="auto"/>
              </w:rPr>
              <w:t>Level 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2</w:t>
            </w:r>
          </w:p>
        </w:tc>
        <w:tc>
          <w:tcPr>
            <w:tcW w:w="30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93"/>
        </w:trPr>
        <w:tc>
          <w:tcPr>
            <w:tcW w:w="468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Assets:</w:t>
            </w: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680" w:type="dxa"/>
            <w:vAlign w:val="bottom"/>
          </w:tcPr>
          <w:p>
            <w:pPr>
              <w:ind w:left="800"/>
              <w:spacing w:after="0" w:line="153" w:lineRule="exact"/>
              <w:rPr>
                <w:sz w:val="20"/>
                <w:szCs w:val="20"/>
                <w:color w:val="auto"/>
              </w:rPr>
            </w:pPr>
            <w:r>
              <w:rPr>
                <w:rFonts w:ascii="Arial" w:cs="Arial" w:eastAsia="Arial" w:hAnsi="Arial"/>
                <w:sz w:val="14"/>
                <w:szCs w:val="14"/>
                <w:color w:val="auto"/>
              </w:rPr>
              <w:t>Money market funds, included in cash and cash</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34,507</w:t>
            </w:r>
          </w:p>
        </w:tc>
        <w:tc>
          <w:tcPr>
            <w:tcW w:w="9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auto"/>
              </w:rPr>
              <w:t>34,507</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4680" w:type="dxa"/>
            <w:vAlign w:val="bottom"/>
          </w:tcPr>
          <w:p>
            <w:pPr>
              <w:ind w:left="360"/>
              <w:spacing w:after="0"/>
              <w:rPr>
                <w:sz w:val="20"/>
                <w:szCs w:val="20"/>
                <w:color w:val="auto"/>
              </w:rPr>
            </w:pPr>
            <w:r>
              <w:rPr>
                <w:rFonts w:ascii="Arial" w:cs="Arial" w:eastAsia="Arial" w:hAnsi="Arial"/>
                <w:sz w:val="14"/>
                <w:szCs w:val="14"/>
                <w:color w:val="auto"/>
              </w:rPr>
              <w:t>equivalents</w:t>
            </w:r>
          </w:p>
        </w:tc>
        <w:tc>
          <w:tcPr>
            <w:tcW w:w="72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3" w:name="page114"/>
    <w:bookmarkEnd w:id="113"/>
    <w:p>
      <w:pPr>
        <w:ind w:right="300"/>
        <w:spacing w:after="0" w:line="256" w:lineRule="auto"/>
        <w:rPr>
          <w:sz w:val="20"/>
          <w:szCs w:val="20"/>
          <w:color w:val="auto"/>
        </w:rPr>
      </w:pPr>
      <w:r>
        <w:rPr>
          <w:rFonts w:ascii="Arial" w:cs="Arial" w:eastAsia="Arial" w:hAnsi="Arial"/>
          <w:sz w:val="18"/>
          <w:szCs w:val="18"/>
          <w:color w:val="auto"/>
        </w:rPr>
        <w:t>On November 10, 2020, the Company filed a registration statement on Form S-3 (the Shelf Registration Statement), covering the offering, from time to time, of up to $150.0 million of common stock, preferred stock, debt securities, warrants and units, which Shelf Registration Statement became effective on November 19, 2020.</w:t>
      </w:r>
    </w:p>
    <w:p>
      <w:pPr>
        <w:spacing w:after="0" w:line="148"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On March 25, 2021, the Company completed a public offering of 4,255,000 shares of its common stock at a public offering price of $16.25 per share. Net proceeds from the offering were approximately $64.7 million, after deducting underwriting discounts, commissions and other offering expenses of $4.4 million. The shares were registered pursuant to the Company's Shelf Registration Statement discussed above.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9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On June 22, 2021, the Company entered into an exchange agreement (the Exchange Agreement) with an Investor and its affiliates (the Exchanging Stockholders), pursuant to which the Company exchanged an aggregate of 804,951 shares of the Company's common stock owned by the Exchanging Stockholders for pre-funded warrants (the Exchange Warrants) to purchase an aggregate of 804,951 shares of common stock (subject to adjustment in the event of any stock dividends and splits, reverse stock split, recapitalization, reorganization or similar transaction, as described in the Exchange Warrants), with an exercise price of $0.001 per share. The Exchange Warrants do not expire and are exercisable at any time except that the Exchange Warrants cannot be exercised by the Exchanging Stockholders if, after giving effect thereto, the Exchanging Stockholders would beneficially own more than 4.99% of the Company's common stock, which percentage may change at the Exchanging Stockholder's election to any other percentage upon 61 days' notice to the Company. The Company recorded the retirement of common stock exchanged as a reduction of common shares outstanding and additional paid-in-capital at the fair value of the Exchange Warrants on the issuance date. The Exchange Warrants are classified as equity and the fair value of the Exchange Warrants was recorded as an increase to additional paid-in-capital and is not subject to remeasurement. The Company determined that the fair value of the Exchange Warrants is substantially similar to the fair value of the retired shares on the issuance date due to the negligible exercise price for the Exchange Warrants. As of December 31, 2021, none of the Exchange Warrants have been exercised.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December 31,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8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67,086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83,778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6"/>
                <w:szCs w:val="16"/>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8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 (Exchange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804,951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0.001</w:t>
            </w:r>
          </w:p>
        </w:tc>
        <w:tc>
          <w:tcPr>
            <w:tcW w:w="120" w:type="dxa"/>
            <w:vAlign w:val="bottom"/>
            <w:tcBorders>
              <w:bottom w:val="single" w:sz="8" w:color="CCEEFF"/>
            </w:tcBorders>
          </w:tcPr>
          <w:p>
            <w:pPr>
              <w:spacing w:after="0"/>
              <w:rPr>
                <w:sz w:val="16"/>
                <w:szCs w:val="16"/>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None</w:t>
            </w:r>
          </w:p>
        </w:tc>
      </w:tr>
      <w:tr>
        <w:trPr>
          <w:trHeight w:val="183"/>
        </w:trPr>
        <w:tc>
          <w:tcPr>
            <w:tcW w:w="32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year ended December 31, 2021, warrants to purchase common stock were exercised resulting in the issuance of 17,719 shares of the Company's common stock and cash proceeds of an immaterial amount.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Plan. Under the 2019 Plan, which expires in September 2029, the Company may grant stock options, stock appreciation rights, restricted stock, restricted stock units and other awards to individuals who are then employees, officers, non-employee directors or consultants of the Company or its subsidiaries. The options generally expire ten years after the date of grant and are exercisable to the extent vested. Vesting is established by the Board of Directors and is generally four years from the date of grant. The 2019 Plan contains an "evergreen provision" that allows annual increases in the number of shares available for issuance on the first day of each calendar year through January 1, 2029 in an amount equal to the lesser of: (i) 4% of the outstanding capital stock on each</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4" w:name="page115"/>
    <w:bookmarkEnd w:id="114"/>
    <w:p>
      <w:pPr>
        <w:ind w:right="80"/>
        <w:spacing w:after="0" w:line="256" w:lineRule="auto"/>
        <w:rPr>
          <w:sz w:val="20"/>
          <w:szCs w:val="20"/>
          <w:color w:val="auto"/>
        </w:rPr>
      </w:pPr>
      <w:r>
        <w:rPr>
          <w:rFonts w:ascii="Arial" w:cs="Arial" w:eastAsia="Arial" w:hAnsi="Arial"/>
          <w:sz w:val="18"/>
          <w:szCs w:val="18"/>
          <w:color w:val="auto"/>
        </w:rPr>
        <w:t>December 31st, or (ii) such lesser amount determined by the Board of Directors. As of December 31, 2021, 1,179,571 shares remained available for future awards. Under the evergreen provision, on January 1, 2022, an additional 646,599 shares became available for issuance under the 2019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September 2019, the Board of Directors adopted, and the Company's stockholders approved, the ESPP. The ESPP became effective on the day the ESPP was adopted by the Company's Board of Directors. The ESPP permits participants to purchase common stock through payroll deductions of up to 20% of their eligible compensation. The number of shares of common stock available for issuance under the ESPP will be annually increased on the first day of each calendar year during the term of the ESPP through January 1, 2029 in an amount equal to the lesser of (i) 1% of the outstanding capital stock on each December 31st, or (ii) such lesser amount determined by the Board of Directors. As of December 31, 2021, 327,516 shares of common stock remained available for issuance under the ESPP. Under the evergreen provision, on January 1, 2022, an additional 161,649 shares became available for issuances under the ESPP.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2019 Plan is set forth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Weighted-</w:t>
            </w: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0"/>
                <w:szCs w:val="10"/>
                <w:color w:val="auto"/>
              </w:rPr>
            </w:pPr>
          </w:p>
        </w:tc>
        <w:tc>
          <w:tcPr>
            <w:tcW w:w="1060" w:type="dxa"/>
            <w:vAlign w:val="bottom"/>
            <w:vMerge w:val="restart"/>
          </w:tcPr>
          <w:p>
            <w:pPr>
              <w:jc w:val="center"/>
              <w:ind w:right="132"/>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460" w:type="dxa"/>
            <w:vAlign w:val="bottom"/>
            <w:vMerge w:val="restart"/>
          </w:tcPr>
          <w:p>
            <w:pPr>
              <w:jc w:val="right"/>
              <w:ind w:right="35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Remaining</w:t>
            </w: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Average</w:t>
            </w:r>
          </w:p>
        </w:tc>
        <w:tc>
          <w:tcPr>
            <w:tcW w:w="16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0"/>
                <w:szCs w:val="10"/>
                <w:color w:val="auto"/>
              </w:rPr>
            </w:pPr>
          </w:p>
        </w:tc>
        <w:tc>
          <w:tcPr>
            <w:tcW w:w="1060" w:type="dxa"/>
            <w:vAlign w:val="bottom"/>
          </w:tcPr>
          <w:p>
            <w:pPr>
              <w:jc w:val="center"/>
              <w:ind w:right="132"/>
              <w:spacing w:after="0" w:line="122"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2"/>
        </w:trPr>
        <w:tc>
          <w:tcPr>
            <w:tcW w:w="54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Options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6"/>
              </w:rPr>
              <w:t>Exercise Price</w:t>
            </w: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Term (Years)</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2020</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1,975,761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89"/>
        </w:trPr>
        <w:tc>
          <w:tcPr>
            <w:tcW w:w="54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ind w:right="10"/>
              <w:spacing w:after="0"/>
              <w:rPr>
                <w:sz w:val="20"/>
                <w:szCs w:val="20"/>
                <w:color w:val="auto"/>
              </w:rPr>
            </w:pPr>
            <w:r>
              <w:rPr>
                <w:rFonts w:ascii="Arial" w:cs="Arial" w:eastAsia="Arial" w:hAnsi="Arial"/>
                <w:sz w:val="14"/>
                <w:szCs w:val="14"/>
                <w:color w:val="auto"/>
              </w:rPr>
              <w:t>229,850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16.79</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(128,665)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Outstanding, December 31, 2021</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2,014,330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12.10</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5,428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December 31, 2021</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2,014,330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December 31, 2021</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0" w:type="dxa"/>
            <w:vAlign w:val="bottom"/>
            <w:vMerge w:val="continue"/>
          </w:tcPr>
          <w:p>
            <w:pPr>
              <w:spacing w:after="0"/>
              <w:rPr>
                <w:sz w:val="14"/>
                <w:szCs w:val="1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1,050,036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4,262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weighted-average grant date fair value per share of employee options granted to employees during the years ended December 31, 2021 and 2020 was $8.83 and $7.55, respectively. The intrinsic value is calculated as the difference between the fair value of the Company's common stock and the exercise price of the stock options. The fair value of the Company's common stock is $11.63 and $13.20 per share at December 31, 2021 and 2020, respectively. The intrinsic value of options exercised for the years ended December 31, 2021 and 2020 was $0.1 million and $1.0 million, respectively. As of December 31, 2021, total unrecognized compensation cost related to option awards was $6.3 million, which is expected to be recognized over a remaining weighted-average vesting period of 2.0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under the Company's 2019 Plan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1620" w:type="dxa"/>
            <w:vAlign w:val="bottom"/>
            <w:vMerge w:val="restart"/>
          </w:tcPr>
          <w:p>
            <w:pPr>
              <w:jc w:val="right"/>
              <w:ind w:right="431"/>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Weighted-</w:t>
            </w:r>
          </w:p>
        </w:tc>
        <w:tc>
          <w:tcPr>
            <w:tcW w:w="300" w:type="dxa"/>
            <w:vAlign w:val="bottom"/>
          </w:tcPr>
          <w:p>
            <w:pPr>
              <w:spacing w:after="0"/>
              <w:rPr>
                <w:sz w:val="12"/>
                <w:szCs w:val="12"/>
                <w:color w:val="auto"/>
              </w:rPr>
            </w:pPr>
          </w:p>
        </w:tc>
        <w:tc>
          <w:tcPr>
            <w:tcW w:w="1340" w:type="dxa"/>
            <w:vAlign w:val="bottom"/>
          </w:tcPr>
          <w:p>
            <w:pPr>
              <w:jc w:val="center"/>
              <w:ind w:right="213"/>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2"/>
        </w:trPr>
        <w:tc>
          <w:tcPr>
            <w:tcW w:w="624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Average</w:t>
            </w:r>
          </w:p>
        </w:tc>
        <w:tc>
          <w:tcPr>
            <w:tcW w:w="300" w:type="dxa"/>
            <w:vAlign w:val="bottom"/>
          </w:tcPr>
          <w:p>
            <w:pPr>
              <w:spacing w:after="0"/>
              <w:rPr>
                <w:sz w:val="10"/>
                <w:szCs w:val="10"/>
                <w:color w:val="auto"/>
              </w:rPr>
            </w:pPr>
          </w:p>
        </w:tc>
        <w:tc>
          <w:tcPr>
            <w:tcW w:w="1340" w:type="dxa"/>
            <w:vAlign w:val="bottom"/>
          </w:tcPr>
          <w:p>
            <w:pPr>
              <w:jc w:val="center"/>
              <w:ind w:right="233"/>
              <w:spacing w:after="0" w:line="122"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72"/>
        </w:trPr>
        <w:tc>
          <w:tcPr>
            <w:tcW w:w="624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6"/>
              </w:rPr>
              <w:t>Grant Date Fair Value</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33"/>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8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2020</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24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20" w:type="dxa"/>
            <w:vAlign w:val="bottom"/>
          </w:tcPr>
          <w:p>
            <w:pPr>
              <w:jc w:val="right"/>
              <w:spacing w:after="0"/>
              <w:rPr>
                <w:sz w:val="20"/>
                <w:szCs w:val="20"/>
                <w:color w:val="auto"/>
              </w:rPr>
            </w:pPr>
            <w:r>
              <w:rPr>
                <w:rFonts w:ascii="Arial" w:cs="Arial" w:eastAsia="Arial" w:hAnsi="Arial"/>
                <w:sz w:val="14"/>
                <w:szCs w:val="14"/>
                <w:color w:val="auto"/>
              </w:rPr>
              <w:t>449,000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16.51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(33,675)</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16.24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415,325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December 31, 2021, all of the outstanding restricted stock units are unvested. As of December 31, 2021, total unrecognized compensation cost related to restricted stock units was $5.6 million, which is expected to be recognized over a remaining weighted-average vesting period of 3.3 years.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88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Years Ended December 31,</w:t>
            </w:r>
          </w:p>
        </w:tc>
      </w:tr>
      <w:tr>
        <w:trPr>
          <w:trHeight w:val="172"/>
        </w:trPr>
        <w:tc>
          <w:tcPr>
            <w:tcW w:w="83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8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56%-60%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47%-53%</w:t>
            </w: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0.8%-1.1%</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0.4%-1.7%</w:t>
            </w: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5.50-6.08</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5.5-6.08</w:t>
            </w: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stock-based compensation for each stock purchase right granted under the ESPP:</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88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Years Ended December 31,</w:t>
            </w:r>
          </w:p>
        </w:tc>
      </w:tr>
      <w:tr>
        <w:trPr>
          <w:trHeight w:val="172"/>
        </w:trPr>
        <w:tc>
          <w:tcPr>
            <w:tcW w:w="83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8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45%-60%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58.0%-83.0%</w:t>
            </w: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0.1%-1.1%</w:t>
            </w: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related to the ESPP for the years ended December 31, 2021 and 2020 was $0.2 million and less than</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$0.1 million, respectively. As of December 31, 2021, total unrecognized compensation cost related to stock purchase rights granted under the ESPP was less than $0.1 million, which is expected to be recognized over a remaining weighted-average vesting period of 0.2 years.</w:t>
      </w:r>
    </w:p>
    <w:p>
      <w:pPr>
        <w:spacing w:after="0" w:line="19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Total non-cash stock-based compensation expense recorded related to options granted, restricted stock units granted and stock purchase rights granted under the ESPP in the statement of operations is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4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3"/>
                <w:szCs w:val="13"/>
                <w:b w:val="1"/>
                <w:bCs w:val="1"/>
                <w:color w:val="auto"/>
              </w:rPr>
              <w:t>Years Ended December 31,</w:t>
            </w:r>
          </w:p>
        </w:tc>
        <w:tc>
          <w:tcPr>
            <w:tcW w:w="540" w:type="dxa"/>
            <w:vAlign w:val="bottom"/>
            <w:tcBorders>
              <w:bottom w:val="single" w:sz="8" w:color="auto"/>
            </w:tcBorders>
          </w:tcPr>
          <w:p>
            <w:pPr>
              <w:spacing w:after="0"/>
              <w:rPr>
                <w:sz w:val="15"/>
                <w:szCs w:val="15"/>
                <w:color w:val="auto"/>
              </w:rPr>
            </w:pPr>
          </w:p>
        </w:tc>
      </w:tr>
      <w:tr>
        <w:trPr>
          <w:trHeight w:val="172"/>
        </w:trPr>
        <w:tc>
          <w:tcPr>
            <w:tcW w:w="79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r>
      <w:tr>
        <w:trPr>
          <w:trHeight w:val="18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60" w:type="dxa"/>
            <w:vAlign w:val="bottom"/>
            <w:shd w:val="clear" w:color="auto" w:fill="CCEEFF"/>
          </w:tcPr>
          <w:p>
            <w:pPr>
              <w:jc w:val="right"/>
              <w:ind w:right="89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91"/>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3,943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2,419</w:t>
            </w:r>
          </w:p>
        </w:tc>
      </w:tr>
      <w:tr>
        <w:trPr>
          <w:trHeight w:val="18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4,728</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2,694</w:t>
            </w:r>
          </w:p>
        </w:tc>
      </w:tr>
      <w:tr>
        <w:trPr>
          <w:trHeight w:val="20"/>
        </w:trPr>
        <w:tc>
          <w:tcPr>
            <w:tcW w:w="7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future issuance consists of the following at December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r>
      <w:tr>
        <w:trPr>
          <w:trHeight w:val="189"/>
        </w:trPr>
        <w:tc>
          <w:tcPr>
            <w:tcW w:w="9000" w:type="dxa"/>
            <w:vAlign w:val="bottom"/>
          </w:tcPr>
          <w:p>
            <w:pPr>
              <w:ind w:left="20"/>
              <w:spacing w:after="0"/>
              <w:rPr>
                <w:sz w:val="20"/>
                <w:szCs w:val="20"/>
                <w:color w:val="auto"/>
              </w:rPr>
            </w:pPr>
            <w:r>
              <w:rPr>
                <w:rFonts w:ascii="Arial" w:cs="Arial" w:eastAsia="Arial" w:hAnsi="Arial"/>
                <w:sz w:val="14"/>
                <w:szCs w:val="14"/>
                <w:color w:val="auto"/>
              </w:rPr>
              <w:t>Common stock option grants issued and outstanding</w:t>
            </w:r>
          </w:p>
        </w:tc>
        <w:tc>
          <w:tcPr>
            <w:tcW w:w="2240" w:type="dxa"/>
            <w:vAlign w:val="bottom"/>
          </w:tcPr>
          <w:p>
            <w:pPr>
              <w:jc w:val="right"/>
              <w:spacing w:after="0"/>
              <w:rPr>
                <w:sz w:val="20"/>
                <w:szCs w:val="20"/>
                <w:color w:val="auto"/>
              </w:rPr>
            </w:pPr>
            <w:r>
              <w:rPr>
                <w:rFonts w:ascii="Arial" w:cs="Arial" w:eastAsia="Arial" w:hAnsi="Arial"/>
                <w:sz w:val="14"/>
                <w:szCs w:val="14"/>
                <w:color w:val="auto"/>
              </w:rPr>
              <w:t>2,014,330</w:t>
            </w:r>
          </w:p>
        </w:tc>
      </w:tr>
      <w:tr>
        <w:trPr>
          <w:trHeight w:val="189"/>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reserved for issuance upon vesting of outstanding restricted stock units</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415,325</w:t>
            </w:r>
          </w:p>
        </w:tc>
      </w:tr>
      <w:tr>
        <w:trPr>
          <w:trHeight w:val="189"/>
        </w:trPr>
        <w:tc>
          <w:tcPr>
            <w:tcW w:w="9000" w:type="dxa"/>
            <w:vAlign w:val="bottom"/>
          </w:tcPr>
          <w:p>
            <w:pPr>
              <w:ind w:left="20"/>
              <w:spacing w:after="0"/>
              <w:rPr>
                <w:sz w:val="20"/>
                <w:szCs w:val="20"/>
                <w:color w:val="auto"/>
              </w:rPr>
            </w:pPr>
            <w:r>
              <w:rPr>
                <w:rFonts w:ascii="Arial" w:cs="Arial" w:eastAsia="Arial" w:hAnsi="Arial"/>
                <w:sz w:val="14"/>
                <w:szCs w:val="14"/>
                <w:color w:val="auto"/>
              </w:rPr>
              <w:t>Common shares available for grant under the 2019 Plan</w:t>
            </w:r>
          </w:p>
        </w:tc>
        <w:tc>
          <w:tcPr>
            <w:tcW w:w="2240" w:type="dxa"/>
            <w:vAlign w:val="bottom"/>
          </w:tcPr>
          <w:p>
            <w:pPr>
              <w:jc w:val="right"/>
              <w:spacing w:after="0"/>
              <w:rPr>
                <w:sz w:val="20"/>
                <w:szCs w:val="20"/>
                <w:color w:val="auto"/>
              </w:rPr>
            </w:pPr>
            <w:r>
              <w:rPr>
                <w:rFonts w:ascii="Arial" w:cs="Arial" w:eastAsia="Arial" w:hAnsi="Arial"/>
                <w:sz w:val="14"/>
                <w:szCs w:val="14"/>
                <w:color w:val="auto"/>
              </w:rPr>
              <w:t>1,179,571</w:t>
            </w:r>
          </w:p>
        </w:tc>
      </w:tr>
      <w:tr>
        <w:trPr>
          <w:trHeight w:val="189"/>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available for future issuance under ESPP</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327,516</w:t>
            </w:r>
          </w:p>
        </w:tc>
      </w:tr>
      <w:tr>
        <w:trPr>
          <w:trHeight w:val="183"/>
        </w:trPr>
        <w:tc>
          <w:tcPr>
            <w:tcW w:w="9000" w:type="dxa"/>
            <w:vAlign w:val="bottom"/>
          </w:tcPr>
          <w:p>
            <w:pPr>
              <w:ind w:left="240"/>
              <w:spacing w:after="0"/>
              <w:rPr>
                <w:sz w:val="20"/>
                <w:szCs w:val="20"/>
                <w:color w:val="auto"/>
              </w:rPr>
            </w:pPr>
            <w:r>
              <w:rPr>
                <w:rFonts w:ascii="Arial" w:cs="Arial" w:eastAsia="Arial" w:hAnsi="Arial"/>
                <w:sz w:val="14"/>
                <w:szCs w:val="14"/>
                <w:color w:val="auto"/>
              </w:rPr>
              <w:t>Total</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5,150,801</w:t>
            </w:r>
          </w:p>
        </w:tc>
      </w:tr>
      <w:tr>
        <w:trPr>
          <w:trHeight w:val="21"/>
        </w:trPr>
        <w:tc>
          <w:tcPr>
            <w:tcW w:w="90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6"/>
                <w:szCs w:val="16"/>
                <w:color w:val="auto"/>
              </w:rPr>
            </w:pPr>
          </w:p>
        </w:tc>
      </w:tr>
      <w:tr>
        <w:trPr>
          <w:trHeight w:val="183"/>
        </w:trPr>
        <w:tc>
          <w:tcPr>
            <w:tcW w:w="75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r>
      <w:tr>
        <w:trPr>
          <w:trHeight w:val="16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9"/>
        </w:trPr>
        <w:tc>
          <w:tcPr>
            <w:tcW w:w="7580" w:type="dxa"/>
            <w:vAlign w:val="bottom"/>
          </w:tcPr>
          <w:p>
            <w:pPr>
              <w:ind w:left="240"/>
              <w:spacing w:after="0"/>
              <w:rPr>
                <w:sz w:val="20"/>
                <w:szCs w:val="20"/>
                <w:color w:val="auto"/>
              </w:rPr>
            </w:pPr>
            <w:r>
              <w:rPr>
                <w:rFonts w:ascii="Arial" w:cs="Arial" w:eastAsia="Arial" w:hAnsi="Arial"/>
                <w:sz w:val="14"/>
                <w:szCs w:val="14"/>
                <w:color w:val="auto"/>
              </w:rPr>
              <w:t>Federal</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6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w:t>
            </w:r>
          </w:p>
        </w:tc>
        <w:tc>
          <w:tcPr>
            <w:tcW w:w="12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3"/>
        </w:trPr>
        <w:tc>
          <w:tcPr>
            <w:tcW w:w="7580" w:type="dxa"/>
            <w:vAlign w:val="bottom"/>
          </w:tcPr>
          <w:p>
            <w:pPr>
              <w:ind w:left="460"/>
              <w:spacing w:after="0"/>
              <w:rPr>
                <w:sz w:val="20"/>
                <w:szCs w:val="20"/>
                <w:color w:val="auto"/>
              </w:rPr>
            </w:pPr>
            <w:r>
              <w:rPr>
                <w:rFonts w:ascii="Arial" w:cs="Arial" w:eastAsia="Arial" w:hAnsi="Arial"/>
                <w:sz w:val="14"/>
                <w:szCs w:val="14"/>
                <w:color w:val="auto"/>
              </w:rPr>
              <w:t>Total current</w:t>
            </w:r>
          </w:p>
        </w:tc>
        <w:tc>
          <w:tcPr>
            <w:tcW w:w="1240" w:type="dxa"/>
            <w:vAlign w:val="bottom"/>
          </w:tcPr>
          <w:p>
            <w:pPr>
              <w:spacing w:after="0"/>
              <w:rPr>
                <w:sz w:val="15"/>
                <w:szCs w:val="15"/>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9"/>
        </w:trPr>
        <w:tc>
          <w:tcPr>
            <w:tcW w:w="7580" w:type="dxa"/>
            <w:vAlign w:val="bottom"/>
          </w:tcPr>
          <w:p>
            <w:pPr>
              <w:ind w:left="240"/>
              <w:spacing w:after="0"/>
              <w:rPr>
                <w:sz w:val="20"/>
                <w:szCs w:val="20"/>
                <w:color w:val="auto"/>
              </w:rPr>
            </w:pPr>
            <w:r>
              <w:rPr>
                <w:rFonts w:ascii="Arial" w:cs="Arial" w:eastAsia="Arial" w:hAnsi="Arial"/>
                <w:sz w:val="14"/>
                <w:szCs w:val="14"/>
                <w:color w:val="auto"/>
              </w:rPr>
              <w:t>Federal</w:t>
            </w:r>
          </w:p>
        </w:tc>
        <w:tc>
          <w:tcPr>
            <w:tcW w:w="124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w:t>
            </w:r>
          </w:p>
        </w:tc>
        <w:tc>
          <w:tcPr>
            <w:tcW w:w="12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3"/>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deferred</w:t>
            </w:r>
          </w:p>
        </w:tc>
        <w:tc>
          <w:tcPr>
            <w:tcW w:w="1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w:t>
            </w:r>
          </w:p>
        </w:tc>
        <w:tc>
          <w:tcPr>
            <w:tcW w:w="1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r>
      <w:tr>
        <w:trPr>
          <w:trHeight w:val="20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(benefit) for income tax</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145"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6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89"/>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tax benefits</w:t>
            </w:r>
          </w:p>
        </w:tc>
        <w:tc>
          <w:tcPr>
            <w:tcW w:w="58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89"/>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 tax credits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9"/>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Stock compensation</w:t>
            </w:r>
          </w:p>
        </w:tc>
        <w:tc>
          <w:tcPr>
            <w:tcW w:w="580" w:type="dxa"/>
            <w:vAlign w:val="bottom"/>
          </w:tcPr>
          <w:p>
            <w:pPr>
              <w:jc w:val="right"/>
              <w:spacing w:after="0"/>
              <w:rPr>
                <w:sz w:val="20"/>
                <w:szCs w:val="20"/>
                <w:color w:val="auto"/>
              </w:rPr>
            </w:pPr>
            <w:r>
              <w:rPr>
                <w:rFonts w:ascii="Arial" w:cs="Arial" w:eastAsia="Arial" w:hAnsi="Arial"/>
                <w:sz w:val="14"/>
                <w:szCs w:val="14"/>
                <w:color w:val="auto"/>
              </w:rPr>
              <w:t>0.9 %</w:t>
            </w:r>
          </w:p>
        </w:tc>
        <w:tc>
          <w:tcPr>
            <w:tcW w:w="1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189"/>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Non-deductible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189"/>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580" w:type="dxa"/>
            <w:vAlign w:val="bottom"/>
          </w:tcPr>
          <w:p>
            <w:pPr>
              <w:jc w:val="right"/>
              <w:spacing w:after="0"/>
              <w:rPr>
                <w:sz w:val="20"/>
                <w:szCs w:val="20"/>
                <w:color w:val="auto"/>
              </w:rPr>
            </w:pPr>
            <w:r>
              <w:rPr>
                <w:rFonts w:ascii="Arial" w:cs="Arial" w:eastAsia="Arial" w:hAnsi="Arial"/>
                <w:sz w:val="14"/>
                <w:szCs w:val="14"/>
                <w:color w:val="auto"/>
              </w:rPr>
              <w:t>24.6 %</w:t>
            </w:r>
          </w:p>
        </w:tc>
        <w:tc>
          <w:tcPr>
            <w:tcW w:w="1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22.6 %</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0.2 %</w:t>
            </w:r>
          </w:p>
        </w:tc>
      </w:tr>
      <w:tr>
        <w:trPr>
          <w:trHeight w:val="183"/>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tcPr>
          <w:p>
            <w:pPr>
              <w:jc w:val="right"/>
              <w:spacing w:after="0"/>
              <w:rPr>
                <w:sz w:val="20"/>
                <w:szCs w:val="20"/>
                <w:color w:val="auto"/>
              </w:rPr>
            </w:pPr>
            <w:r>
              <w:rPr>
                <w:rFonts w:ascii="Arial" w:cs="Arial" w:eastAsia="Arial" w:hAnsi="Arial"/>
                <w:sz w:val="14"/>
                <w:szCs w:val="14"/>
                <w:color w:val="auto"/>
              </w:rPr>
              <w:t>0.6 %</w:t>
            </w: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1"/>
        </w:trPr>
        <w:tc>
          <w:tcPr>
            <w:tcW w:w="7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Significant components of the Company’s deferred tax assets at December 31, 2021 and 2020 are shown below. A valuation allowance has been established as realization of the Company’s deferred tax assets has not met the more likely-than-not threshold requirement. If the Company’s judgment changes and it is determined that the Company will be able to realize these deferred tax assets, the tax benefits relating to any reversal of the valuation allowance on deferred tax assets will be accounted for as a reduction to income tax expense (in thousands).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5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6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9"/>
        </w:trPr>
        <w:tc>
          <w:tcPr>
            <w:tcW w:w="7580" w:type="dxa"/>
            <w:vAlign w:val="bottom"/>
          </w:tcPr>
          <w:p>
            <w:pPr>
              <w:ind w:left="240"/>
              <w:spacing w:after="0"/>
              <w:rPr>
                <w:sz w:val="20"/>
                <w:szCs w:val="20"/>
                <w:color w:val="auto"/>
              </w:rPr>
            </w:pPr>
            <w:r>
              <w:rPr>
                <w:rFonts w:ascii="Arial" w:cs="Arial" w:eastAsia="Arial" w:hAnsi="Arial"/>
                <w:sz w:val="14"/>
                <w:szCs w:val="14"/>
                <w:color w:val="auto"/>
              </w:rPr>
              <w:t>Net operating loss carryforwards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22,365</w:t>
            </w:r>
          </w:p>
        </w:tc>
        <w:tc>
          <w:tcPr>
            <w:tcW w:w="14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17,733</w:t>
            </w: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Research and development tax credits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1,102</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r>
      <w:tr>
        <w:trPr>
          <w:trHeight w:val="189"/>
        </w:trPr>
        <w:tc>
          <w:tcPr>
            <w:tcW w:w="7580" w:type="dxa"/>
            <w:vAlign w:val="bottom"/>
          </w:tcPr>
          <w:p>
            <w:pPr>
              <w:ind w:left="240"/>
              <w:spacing w:after="0"/>
              <w:rPr>
                <w:sz w:val="20"/>
                <w:szCs w:val="20"/>
                <w:color w:val="auto"/>
              </w:rPr>
            </w:pPr>
            <w:r>
              <w:rPr>
                <w:rFonts w:ascii="Arial" w:cs="Arial" w:eastAsia="Arial" w:hAnsi="Arial"/>
                <w:sz w:val="14"/>
                <w:szCs w:val="14"/>
                <w:color w:val="auto"/>
              </w:rPr>
              <w:t>Accruals, reserves and other</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1,055</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920</w:t>
            </w: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r>
      <w:tr>
        <w:trPr>
          <w:trHeight w:val="189"/>
        </w:trPr>
        <w:tc>
          <w:tcPr>
            <w:tcW w:w="7580" w:type="dxa"/>
            <w:vAlign w:val="bottom"/>
          </w:tcPr>
          <w:p>
            <w:pPr>
              <w:ind w:left="240"/>
              <w:spacing w:after="0"/>
              <w:rPr>
                <w:sz w:val="20"/>
                <w:szCs w:val="20"/>
                <w:color w:val="auto"/>
              </w:rPr>
            </w:pPr>
            <w:r>
              <w:rPr>
                <w:rFonts w:ascii="Arial" w:cs="Arial" w:eastAsia="Arial" w:hAnsi="Arial"/>
                <w:sz w:val="14"/>
                <w:szCs w:val="14"/>
                <w:color w:val="auto"/>
              </w:rPr>
              <w:t>Basis differences in fixed and intangible assets</w:t>
            </w:r>
          </w:p>
        </w:tc>
        <w:tc>
          <w:tcPr>
            <w:tcW w:w="1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 compensation</w:t>
            </w:r>
          </w:p>
        </w:tc>
        <w:tc>
          <w:tcPr>
            <w:tcW w:w="1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1,407</w:t>
            </w:r>
          </w:p>
        </w:tc>
        <w:tc>
          <w:tcPr>
            <w:tcW w:w="14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r>
      <w:tr>
        <w:trPr>
          <w:trHeight w:val="183"/>
        </w:trPr>
        <w:tc>
          <w:tcPr>
            <w:tcW w:w="7580" w:type="dxa"/>
            <w:vAlign w:val="bottom"/>
          </w:tcPr>
          <w:p>
            <w:pPr>
              <w:ind w:left="460"/>
              <w:spacing w:after="0"/>
              <w:rPr>
                <w:sz w:val="20"/>
                <w:szCs w:val="20"/>
                <w:color w:val="auto"/>
              </w:rPr>
            </w:pPr>
            <w:r>
              <w:rPr>
                <w:rFonts w:ascii="Arial" w:cs="Arial" w:eastAsia="Arial" w:hAnsi="Arial"/>
                <w:sz w:val="14"/>
                <w:szCs w:val="14"/>
                <w:color w:val="auto"/>
              </w:rPr>
              <w:t>Total gross deferred tax assets</w:t>
            </w:r>
          </w:p>
        </w:tc>
        <w:tc>
          <w:tcPr>
            <w:tcW w:w="112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27,882</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21,233</w:t>
            </w: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valuation allowance</w:t>
            </w:r>
          </w:p>
        </w:tc>
        <w:tc>
          <w:tcPr>
            <w:tcW w:w="1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(27,158)</w:t>
            </w:r>
          </w:p>
        </w:tc>
        <w:tc>
          <w:tcPr>
            <w:tcW w:w="14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(20,596)</w:t>
            </w:r>
          </w:p>
        </w:tc>
      </w:tr>
      <w:tr>
        <w:trPr>
          <w:trHeight w:val="18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assets, net</w:t>
            </w: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724</w:t>
            </w: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w:t>
            </w:r>
          </w:p>
        </w:tc>
      </w:tr>
      <w:tr>
        <w:trPr>
          <w:trHeight w:val="16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9"/>
        </w:trPr>
        <w:tc>
          <w:tcPr>
            <w:tcW w:w="7580" w:type="dxa"/>
            <w:vAlign w:val="bottom"/>
          </w:tcPr>
          <w:p>
            <w:pPr>
              <w:ind w:left="240"/>
              <w:spacing w:after="0"/>
              <w:rPr>
                <w:sz w:val="20"/>
                <w:szCs w:val="20"/>
                <w:color w:val="auto"/>
              </w:rPr>
            </w:pPr>
            <w:r>
              <w:rPr>
                <w:rFonts w:ascii="Arial" w:cs="Arial" w:eastAsia="Arial" w:hAnsi="Arial"/>
                <w:sz w:val="14"/>
                <w:szCs w:val="14"/>
                <w:color w:val="auto"/>
              </w:rPr>
              <w:t>Financing and acquisition-related liabilities</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(335)</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(336)</w:t>
            </w: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Indefinite lived assets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r>
      <w:tr>
        <w:trPr>
          <w:trHeight w:val="189"/>
        </w:trPr>
        <w:tc>
          <w:tcPr>
            <w:tcW w:w="75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Basis differences in fixed and intangible assets</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 net</w:t>
            </w: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1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w:t>
            </w:r>
          </w:p>
        </w:tc>
      </w:tr>
      <w:tr>
        <w:trPr>
          <w:trHeight w:val="183"/>
        </w:trPr>
        <w:tc>
          <w:tcPr>
            <w:tcW w:w="7580" w:type="dxa"/>
            <w:vAlign w:val="bottom"/>
          </w:tcPr>
          <w:p>
            <w:pPr>
              <w:ind w:left="20"/>
              <w:spacing w:after="0"/>
              <w:rPr>
                <w:sz w:val="20"/>
                <w:szCs w:val="20"/>
                <w:color w:val="auto"/>
              </w:rPr>
            </w:pPr>
            <w:r>
              <w:rPr>
                <w:rFonts w:ascii="Arial" w:cs="Arial" w:eastAsia="Arial" w:hAnsi="Arial"/>
                <w:sz w:val="14"/>
                <w:szCs w:val="14"/>
                <w:color w:val="auto"/>
              </w:rPr>
              <w:t>Net deferred tax liabilities</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40" w:type="dxa"/>
            <w:vAlign w:val="bottom"/>
          </w:tcPr>
          <w:p>
            <w:pPr>
              <w:spacing w:after="0"/>
              <w:rPr>
                <w:sz w:val="15"/>
                <w:szCs w:val="15"/>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r>
      <w:tr>
        <w:trPr>
          <w:trHeight w:val="21"/>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Changes in the valuation allowance for deferred tax assets during the years ended December 31, 2021 and 2020, which related primarily to increases in net operating loss (NOL) carryforwards, accrued revenue and accruals and reserves were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5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the beginning of the year</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20,596</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16,797</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Decreases recorded as benefits to income tax provision</w:t>
            </w:r>
          </w:p>
        </w:tc>
        <w:tc>
          <w:tcPr>
            <w:tcW w:w="1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Increases recorded to income tax provision</w:t>
            </w:r>
          </w:p>
        </w:tc>
        <w:tc>
          <w:tcPr>
            <w:tcW w:w="1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6,562</w:t>
            </w:r>
          </w:p>
        </w:tc>
        <w:tc>
          <w:tcPr>
            <w:tcW w:w="14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3,799</w:t>
            </w:r>
          </w:p>
        </w:tc>
      </w:tr>
      <w:tr>
        <w:trPr>
          <w:trHeight w:val="183"/>
        </w:trPr>
        <w:tc>
          <w:tcPr>
            <w:tcW w:w="7580" w:type="dxa"/>
            <w:vAlign w:val="bottom"/>
          </w:tcPr>
          <w:p>
            <w:pPr>
              <w:ind w:left="20"/>
              <w:spacing w:after="0"/>
              <w:rPr>
                <w:sz w:val="20"/>
                <w:szCs w:val="20"/>
                <w:color w:val="auto"/>
              </w:rPr>
            </w:pPr>
            <w:r>
              <w:rPr>
                <w:rFonts w:ascii="Arial" w:cs="Arial" w:eastAsia="Arial" w:hAnsi="Arial"/>
                <w:sz w:val="14"/>
                <w:szCs w:val="14"/>
                <w:color w:val="auto"/>
              </w:rPr>
              <w:t>Valuation allowance at the end of the year</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27,158</w:t>
            </w:r>
          </w:p>
        </w:tc>
        <w:tc>
          <w:tcPr>
            <w:tcW w:w="140" w:type="dxa"/>
            <w:vAlign w:val="bottom"/>
          </w:tcPr>
          <w:p>
            <w:pPr>
              <w:spacing w:after="0"/>
              <w:rPr>
                <w:sz w:val="15"/>
                <w:szCs w:val="15"/>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20,596</w:t>
            </w:r>
          </w:p>
        </w:tc>
      </w:tr>
      <w:tr>
        <w:trPr>
          <w:trHeight w:val="21"/>
        </w:trPr>
        <w:tc>
          <w:tcPr>
            <w:tcW w:w="7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December 31, 2021 and 2020, the Company had federal NOL carryforwards of approximately $89.4 million and $70.6 million, respectively. At December 31, 2021 and 2020, the Company had state NOL carryforwards of $61.0 million and $48.9 million, respectively. Approximately $43.5 million of the federal tax loss carryforwards will begin to expire in 2022, unless previously utilized. The federal NOL carryforwards generated in after December 31, 2017 of $45.9 million will carryforward indefinitely. The Company’s state tax loss carryforwards will expire in 2032, unless previously utilized.</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December 31, 2019, the Company's deferred tax assets are primarily comprised of federal and state tax NOL carryforwards. The Company completed a formal study through the year ended December 31, 2019 and determined ownership changes within the meaning of Internal Revenue Code (IRC), Section 382 had occurred in 2003, 2008, 2012, 2017 and 2019. Based on the analysis, $61.8 million of the Company's tax attribute carryforwards through December 31, 2017 cannot be utilized under IRC Section 382. The Company's ability to utilize NOL carryforwards generated after December 31, 2017 will not expire under the Tax Cuts and Jobs Act of 2017. The Company adjusted tax attribute carry forwards and deferred tax assets accordingly. As the deferred tax assets associated with the tax attribute carry forwards were fully offset by a valuation allowance, a corresponding reduction in the Company's valuation allowance was also recorded, resulting in no income tax impact.</w:t>
      </w:r>
    </w:p>
    <w:p>
      <w:pPr>
        <w:spacing w:after="0" w:line="15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Company is subject to taxation in the U.S. and in various state jurisdictions. The Company’s tax years for 2002 and forward are subject to examination by the U.S. and state tax authorities due to the carryforward of unutilized net operating losses and research and development credits.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18" w:name="page119"/>
    <w:bookmarkEnd w:id="118"/>
    <w:p>
      <w:pPr>
        <w:ind w:right="300"/>
        <w:spacing w:after="0" w:line="261" w:lineRule="auto"/>
        <w:rPr>
          <w:sz w:val="20"/>
          <w:szCs w:val="20"/>
          <w:color w:val="auto"/>
        </w:rPr>
      </w:pPr>
      <w:r>
        <w:rPr>
          <w:rFonts w:ascii="Arial" w:cs="Arial" w:eastAsia="Arial" w:hAnsi="Arial"/>
          <w:sz w:val="18"/>
          <w:szCs w:val="18"/>
          <w:color w:val="auto"/>
        </w:rPr>
        <w:t>The Company recognizes interest and/or penalties related to income tax matters in its provision for income taxes. The Company does not have any accruals for, and did not recognize any, interest or penalties in these financial statements in any period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and 2020, the Company had no unrecognized tax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believe that the balance of unrecognized tax benefits will materially change within the next twelve months.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401(k) Plan</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sponsors an employee savings plan that qualifies as a deferred salary arrangement under Section 401(k) of the Code. Participating employees may defer up to the Internal Revenue Service annual contribution limit. Additionally, the Company may elect to make contributions into the savings plan at its sole discretion. For each of the years ended December 31, 2021 and 2020, the Company made contributions to the Plan at 3% of qualified employee compensation, which totaled approximately $0.5 million. Effective January 1, 2022, the Company will make contributions to the Plan at 4% of qualified employee compensation.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COVID-19</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During 2020, due to the worldwide COVID-19 pandemic, the Company experienced a reduction in patient test volumes, delays in patient enrollment in ongoing and planned clinical studies, and delays in the procurement of its testing supplies. In response to the pandemic, the Company has curtailed non-essential employee travel, equipped employees with the ability to work remotely with the exception of clinical laboratory employees, and reduced marketing spend and employee headcount. The full extent to which the COVID-19 pandemic will directly or indirectly continue to impact the Company's business, results of operations and financial condition, will depend on future developments that are highly uncertain, including as a result of new information that may emerge concerning COVID-19 and the actions taken to contain or treat COVID-19, including, the success of ongoing vaccination efforts, the emergence and prevalence of variant strains of COVID-19, the institution or reinstitution of shutdowns, "stay-at-home-orders" and other public health measures as well as the related economic impact of these matters on local, regional and international markets.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March 27, 2020, the CARES Act was enacted in response to the COVID-19 pandemic. The CARES Act, among other things, permits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NOL carryovers and carrybacks to offset 100% of taxable income for taxable years beginning before 2021. The CARES Act did not have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impact on the Company's effective tax rate or income tax provision for the year ended December 31, 2020. Under the Tax Cuts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Jobs Act (TCJA), NOLs generated post TCJA were allowed to be carried forward indefinitely but were only allowed to offset 80% of taxable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As a result of the CARES Act and the change to permit NOLs generated in taxable years 2018, 2019 and 2020 to offset 100%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taxable income, the Company released valuation allowance against its deferred tax assets in the amount of $0.1 million. The release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 resulted in a discrete tax benefit of $0.1 million for the year ended December 31, 2020. As of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some tax benefits under the CARES Act have expired including the ability to use certain NOLs to offset 100% of taxable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Accordingly, the Company increased its valuation allowance that resulted in a tax expense of $0.1 million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April 2020, the Company received $0.7 million of funding under the CARES Act Provider Relief Fund, subject to the Company's agreement to comply with the Department of Health &amp; Human Services' (HHS) standard terms and conditions. The CARES Act Provider Relief Fund is a federal fund allocated for general distributions to Medicare facilities and providers impacted by the COVID-19 pandemic and is intended to support COVID-related expenses or lost revenue attributable to COVID-19. The funding received is considered a government grant which is recognized when there is reasonable assurance that the grant will be received and that conditions attached to the grant have been met. The Company accepted the terms and conditions of the grant in May 2020. For the year ended December 31, 2020, the Company recognized $0.7 million due to lost revenue attributable to COVID-19, which is reflected in other income, net, on its statements of operations and as an operating activity in the statement of cash flows.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19" w:name="page120"/>
    <w:bookmarkEnd w:id="119"/>
    <w:p>
      <w:pPr>
        <w:spacing w:after="0" w:line="252" w:lineRule="auto"/>
        <w:rPr>
          <w:sz w:val="20"/>
          <w:szCs w:val="20"/>
          <w:color w:val="auto"/>
        </w:rPr>
      </w:pPr>
      <w:r>
        <w:rPr>
          <w:rFonts w:ascii="Arial" w:cs="Arial" w:eastAsia="Arial" w:hAnsi="Arial"/>
          <w:sz w:val="18"/>
          <w:szCs w:val="18"/>
          <w:color w:val="auto"/>
        </w:rPr>
        <w:t>On April 16, 2020, the Company entered into a promissory note (the Note) with BOKF, NA dba Bank of Oklahoma (BofO), the lender, evidencing an unsecured loan pursuant to the U.S. Small Business Administration (SBA) Paycheck Protection Program (PPP) of the CARES Act of approximately $2.9 million (the PPP Loan). The Company applied for and received the PPP Loan pursuant to the then published PPP qualification and certification requirements. On April 23, 2020, the SBA, in consultation with the Department of Treasury, issued new guidance that created uncertainty regarding the qualification requirements for the PPP Loan (the New Guidance). In light of the New Guidance, on May 11, 2020, the Company paid off in full the principal and interest on the PPP Loan, resulting in the termination of the Note.</w:t>
      </w:r>
    </w:p>
    <w:p>
      <w:pPr>
        <w:spacing w:after="0" w:line="15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On December 27, 2020, the Consolidated Appropriations Act, 2021 was signed into law. It provides additional COVID-19 focused relief and extends certain provisions of the CARES Act. The Consolidated Appropriations Act, 2021 did not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3200" w:type="dxa"/>
            <w:vAlign w:val="bottom"/>
            <w:gridSpan w:val="4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76"/>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200" w:type="dxa"/>
            <w:vAlign w:val="bottom"/>
            <w:tcBorders>
              <w:bottom w:val="single" w:sz="8" w:color="auto"/>
            </w:tcBorders>
            <w:gridSpan w:val="42"/>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w:t>
            </w:r>
          </w:p>
        </w:tc>
        <w:tc>
          <w:tcPr>
            <w:tcW w:w="3200" w:type="dxa"/>
            <w:vAlign w:val="bottom"/>
            <w:gridSpan w:val="42"/>
          </w:tcPr>
          <w:p>
            <w:pPr>
              <w:spacing w:after="0" w:line="155" w:lineRule="exact"/>
              <w:rPr>
                <w:rFonts w:ascii="Arial" w:cs="Arial" w:eastAsia="Arial" w:hAnsi="Arial"/>
                <w:sz w:val="14"/>
                <w:szCs w:val="14"/>
                <w:color w:val="0000FF"/>
              </w:rPr>
            </w:pPr>
            <w:hyperlink r:id="rId145">
              <w:r>
                <w:rPr>
                  <w:rFonts w:ascii="Arial" w:cs="Arial" w:eastAsia="Arial" w:hAnsi="Arial"/>
                  <w:sz w:val="14"/>
                  <w:szCs w:val="14"/>
                  <w:color w:val="0000FF"/>
                </w:rPr>
                <w:t>Amended and Restated Certificate of</w:t>
              </w:r>
            </w:hyperlink>
          </w:p>
        </w:tc>
        <w:tc>
          <w:tcPr>
            <w:tcW w:w="740" w:type="dxa"/>
            <w:vAlign w:val="bottom"/>
            <w:vMerge w:val="restart"/>
          </w:tcPr>
          <w:p>
            <w:pPr>
              <w:jc w:val="center"/>
              <w:ind w:left="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145">
              <w:r>
                <w:rPr>
                  <w:rFonts w:ascii="Arial" w:cs="Arial" w:eastAsia="Arial" w:hAnsi="Arial"/>
                  <w:sz w:val="13"/>
                  <w:szCs w:val="13"/>
                  <w:color w:val="0000FF"/>
                </w:rPr>
                <w:t>Incorporation.</w:t>
              </w:r>
            </w:hyperlink>
          </w:p>
        </w:tc>
        <w:tc>
          <w:tcPr>
            <w:tcW w:w="1480" w:type="dxa"/>
            <w:vAlign w:val="bottom"/>
            <w:tcBorders>
              <w:top w:val="single" w:sz="8" w:color="0000FF"/>
            </w:tcBorders>
            <w:gridSpan w:val="9"/>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200" w:type="dxa"/>
            <w:vAlign w:val="bottom"/>
            <w:gridSpan w:val="42"/>
          </w:tcPr>
          <w:p>
            <w:pPr>
              <w:spacing w:after="0"/>
              <w:rPr>
                <w:rFonts w:ascii="Arial" w:cs="Arial" w:eastAsia="Arial" w:hAnsi="Arial"/>
                <w:sz w:val="14"/>
                <w:szCs w:val="14"/>
                <w:color w:val="0000FF"/>
              </w:rPr>
            </w:pPr>
            <w:hyperlink r:id="rId146">
              <w:r>
                <w:rPr>
                  <w:rFonts w:ascii="Arial" w:cs="Arial" w:eastAsia="Arial" w:hAnsi="Arial"/>
                  <w:sz w:val="14"/>
                  <w:szCs w:val="14"/>
                  <w:color w:val="0000FF"/>
                </w:rPr>
                <w:t>Amended and Restated Bylaws.</w:t>
              </w:r>
            </w:hyperlink>
          </w:p>
        </w:tc>
        <w:tc>
          <w:tcPr>
            <w:tcW w:w="740" w:type="dxa"/>
            <w:vAlign w:val="bottom"/>
          </w:tcPr>
          <w:p>
            <w:pPr>
              <w:jc w:val="center"/>
              <w:ind w:left="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4.1</w:t>
            </w:r>
          </w:p>
        </w:tc>
        <w:tc>
          <w:tcPr>
            <w:tcW w:w="3200" w:type="dxa"/>
            <w:vAlign w:val="bottom"/>
            <w:tcBorders>
              <w:bottom w:val="single" w:sz="8" w:color="0000FF"/>
            </w:tcBorders>
            <w:gridSpan w:val="42"/>
          </w:tcPr>
          <w:p>
            <w:pPr>
              <w:spacing w:after="0"/>
              <w:rPr>
                <w:rFonts w:ascii="Arial" w:cs="Arial" w:eastAsia="Arial" w:hAnsi="Arial"/>
                <w:sz w:val="14"/>
                <w:szCs w:val="14"/>
                <w:color w:val="0000FF"/>
              </w:rPr>
            </w:pPr>
            <w:hyperlink r:id="rId147">
              <w:r>
                <w:rPr>
                  <w:rFonts w:ascii="Arial" w:cs="Arial" w:eastAsia="Arial" w:hAnsi="Arial"/>
                  <w:sz w:val="14"/>
                  <w:szCs w:val="14"/>
                  <w:color w:val="0000FF"/>
                </w:rPr>
                <w:t>Specimen stock certificate evidencing the shares</w:t>
              </w:r>
            </w:hyperlink>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200" w:type="dxa"/>
            <w:vAlign w:val="bottom"/>
            <w:gridSpan w:val="42"/>
          </w:tcPr>
          <w:p>
            <w:pPr>
              <w:spacing w:after="0" w:line="115" w:lineRule="exact"/>
              <w:rPr>
                <w:rFonts w:ascii="Arial" w:cs="Arial" w:eastAsia="Arial" w:hAnsi="Arial"/>
                <w:sz w:val="13"/>
                <w:szCs w:val="13"/>
                <w:color w:val="0000FF"/>
              </w:rPr>
            </w:pPr>
            <w:hyperlink r:id="rId147">
              <w:r>
                <w:rPr>
                  <w:rFonts w:ascii="Arial" w:cs="Arial" w:eastAsia="Arial" w:hAnsi="Arial"/>
                  <w:sz w:val="13"/>
                  <w:szCs w:val="13"/>
                  <w:color w:val="0000FF"/>
                </w:rPr>
                <w:t>of common stock.</w:t>
              </w:r>
            </w:hyperlink>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 w:type="dxa"/>
            <w:vAlign w:val="bottom"/>
          </w:tcPr>
          <w:p>
            <w:pPr>
              <w:spacing w:after="0"/>
              <w:rPr>
                <w:sz w:val="14"/>
                <w:szCs w:val="14"/>
                <w:color w:val="auto"/>
              </w:rPr>
            </w:pPr>
          </w:p>
        </w:tc>
        <w:tc>
          <w:tcPr>
            <w:tcW w:w="3200" w:type="dxa"/>
            <w:vAlign w:val="bottom"/>
            <w:gridSpan w:val="42"/>
          </w:tcPr>
          <w:p>
            <w:pPr>
              <w:spacing w:after="0"/>
              <w:rPr>
                <w:rFonts w:ascii="Arial" w:cs="Arial" w:eastAsia="Arial" w:hAnsi="Arial"/>
                <w:sz w:val="14"/>
                <w:szCs w:val="14"/>
                <w:color w:val="0000FF"/>
              </w:rPr>
            </w:pPr>
            <w:hyperlink r:id="rId148">
              <w:r>
                <w:rPr>
                  <w:rFonts w:ascii="Arial" w:cs="Arial" w:eastAsia="Arial" w:hAnsi="Arial"/>
                  <w:sz w:val="14"/>
                  <w:szCs w:val="14"/>
                  <w:color w:val="0000FF"/>
                </w:rPr>
                <w:t>Amended and Restated Investors’ Rights</w:t>
              </w:r>
            </w:hyperlink>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2600" w:type="dxa"/>
            <w:vAlign w:val="bottom"/>
            <w:tcBorders>
              <w:top w:val="single" w:sz="8" w:color="0000FF"/>
            </w:tcBorders>
            <w:gridSpan w:val="18"/>
          </w:tcPr>
          <w:p>
            <w:pPr>
              <w:spacing w:after="0" w:line="122" w:lineRule="exact"/>
              <w:rPr>
                <w:rFonts w:ascii="Arial" w:cs="Arial" w:eastAsia="Arial" w:hAnsi="Arial"/>
                <w:sz w:val="14"/>
                <w:szCs w:val="14"/>
                <w:color w:val="0000FF"/>
              </w:rPr>
            </w:pPr>
            <w:hyperlink r:id="rId148">
              <w:r>
                <w:rPr>
                  <w:rFonts w:ascii="Arial" w:cs="Arial" w:eastAsia="Arial" w:hAnsi="Arial"/>
                  <w:sz w:val="14"/>
                  <w:szCs w:val="14"/>
                  <w:color w:val="0000FF"/>
                </w:rPr>
                <w:t>Agreement, dated July 12, 2019, by and</w:t>
              </w:r>
            </w:hyperlink>
          </w:p>
        </w:tc>
        <w:tc>
          <w:tcPr>
            <w:tcW w:w="600" w:type="dxa"/>
            <w:vAlign w:val="bottom"/>
            <w:gridSpan w:val="24"/>
          </w:tcPr>
          <w:p>
            <w:pPr>
              <w:spacing w:after="0" w:line="122" w:lineRule="exact"/>
              <w:rPr>
                <w:rFonts w:ascii="Arial" w:cs="Arial" w:eastAsia="Arial" w:hAnsi="Arial"/>
                <w:sz w:val="14"/>
                <w:szCs w:val="14"/>
                <w:color w:val="0000FF"/>
              </w:rPr>
            </w:pPr>
            <w:hyperlink r:id="rId148">
              <w:r>
                <w:rPr>
                  <w:rFonts w:ascii="Arial" w:cs="Arial" w:eastAsia="Arial" w:hAnsi="Arial"/>
                  <w:sz w:val="14"/>
                  <w:szCs w:val="14"/>
                  <w:color w:val="0000FF"/>
                </w:rPr>
                <w:t>among</w:t>
              </w:r>
            </w:hyperlink>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40" w:type="dxa"/>
            <w:vAlign w:val="bottom"/>
            <w:tcBorders>
              <w:top w:val="single" w:sz="8" w:color="0000FF"/>
              <w:bottom w:val="single" w:sz="8" w:color="0000FF"/>
            </w:tcBorders>
            <w:gridSpan w:val="24"/>
          </w:tcPr>
          <w:p>
            <w:pPr>
              <w:spacing w:after="0" w:line="115" w:lineRule="exact"/>
              <w:rPr>
                <w:rFonts w:ascii="Arial" w:cs="Arial" w:eastAsia="Arial" w:hAnsi="Arial"/>
                <w:sz w:val="13"/>
                <w:szCs w:val="13"/>
                <w:color w:val="0000FF"/>
              </w:rPr>
            </w:pPr>
            <w:hyperlink r:id="rId148">
              <w:r>
                <w:rPr>
                  <w:rFonts w:ascii="Arial" w:cs="Arial" w:eastAsia="Arial" w:hAnsi="Arial"/>
                  <w:sz w:val="13"/>
                  <w:szCs w:val="13"/>
                  <w:color w:val="0000FF"/>
                </w:rPr>
                <w:t>the Company and certain of its stockholders.</w:t>
              </w:r>
            </w:hyperlink>
          </w:p>
        </w:tc>
        <w:tc>
          <w:tcPr>
            <w:tcW w:w="26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420" w:type="dxa"/>
            <w:vAlign w:val="bottom"/>
            <w:tcBorders>
              <w:bottom w:val="single" w:sz="8" w:color="0000FF"/>
            </w:tcBorders>
            <w:gridSpan w:val="14"/>
          </w:tcPr>
          <w:p>
            <w:pPr>
              <w:spacing w:after="0"/>
              <w:rPr>
                <w:rFonts w:ascii="Arial" w:cs="Arial" w:eastAsia="Arial" w:hAnsi="Arial"/>
                <w:sz w:val="14"/>
                <w:szCs w:val="14"/>
                <w:color w:val="0000FF"/>
              </w:rPr>
            </w:pPr>
            <w:hyperlink r:id="rId149">
              <w:r>
                <w:rPr>
                  <w:rFonts w:ascii="Arial" w:cs="Arial" w:eastAsia="Arial" w:hAnsi="Arial"/>
                  <w:sz w:val="14"/>
                  <w:szCs w:val="14"/>
                  <w:color w:val="0000FF"/>
                </w:rPr>
                <w:t>Amended and Restated Stockholders'</w:t>
              </w:r>
            </w:hyperlink>
          </w:p>
        </w:tc>
        <w:tc>
          <w:tcPr>
            <w:tcW w:w="780" w:type="dxa"/>
            <w:vAlign w:val="bottom"/>
            <w:gridSpan w:val="28"/>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4.3</w:t>
            </w:r>
          </w:p>
        </w:tc>
        <w:tc>
          <w:tcPr>
            <w:tcW w:w="3200" w:type="dxa"/>
            <w:vAlign w:val="bottom"/>
            <w:gridSpan w:val="42"/>
          </w:tcPr>
          <w:p>
            <w:pPr>
              <w:spacing w:after="0" w:line="115" w:lineRule="exact"/>
              <w:rPr>
                <w:rFonts w:ascii="Arial" w:cs="Arial" w:eastAsia="Arial" w:hAnsi="Arial"/>
                <w:sz w:val="13"/>
                <w:szCs w:val="13"/>
                <w:color w:val="0000FF"/>
              </w:rPr>
            </w:pPr>
            <w:hyperlink r:id="rId149">
              <w:r>
                <w:rPr>
                  <w:rFonts w:ascii="Arial" w:cs="Arial" w:eastAsia="Arial" w:hAnsi="Arial"/>
                  <w:sz w:val="13"/>
                  <w:szCs w:val="13"/>
                  <w:color w:val="0000FF"/>
                </w:rPr>
                <w:t>Agreement, dated July 12, 2019, by and among</w:t>
              </w:r>
            </w:hyperlink>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40" w:type="dxa"/>
            <w:vAlign w:val="bottom"/>
            <w:tcBorders>
              <w:top w:val="single" w:sz="8" w:color="0000FF"/>
              <w:bottom w:val="single" w:sz="8" w:color="0000FF"/>
            </w:tcBorders>
            <w:gridSpan w:val="24"/>
          </w:tcPr>
          <w:p>
            <w:pPr>
              <w:spacing w:after="0" w:line="115" w:lineRule="exact"/>
              <w:rPr>
                <w:rFonts w:ascii="Arial" w:cs="Arial" w:eastAsia="Arial" w:hAnsi="Arial"/>
                <w:sz w:val="13"/>
                <w:szCs w:val="13"/>
                <w:color w:val="0000FF"/>
              </w:rPr>
            </w:pPr>
            <w:hyperlink r:id="rId149">
              <w:r>
                <w:rPr>
                  <w:rFonts w:ascii="Arial" w:cs="Arial" w:eastAsia="Arial" w:hAnsi="Arial"/>
                  <w:sz w:val="13"/>
                  <w:szCs w:val="13"/>
                  <w:color w:val="0000FF"/>
                </w:rPr>
                <w:t>the Company and certain of its stockholders.</w:t>
              </w:r>
            </w:hyperlink>
          </w:p>
        </w:tc>
        <w:tc>
          <w:tcPr>
            <w:tcW w:w="26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200" w:type="dxa"/>
            <w:vAlign w:val="bottom"/>
            <w:gridSpan w:val="42"/>
          </w:tcPr>
          <w:p>
            <w:pPr>
              <w:spacing w:after="0"/>
              <w:rPr>
                <w:rFonts w:ascii="Arial" w:cs="Arial" w:eastAsia="Arial" w:hAnsi="Arial"/>
                <w:sz w:val="14"/>
                <w:szCs w:val="14"/>
                <w:color w:val="0000FF"/>
              </w:rPr>
            </w:pPr>
            <w:hyperlink r:id="rId150">
              <w:r>
                <w:rPr>
                  <w:rFonts w:ascii="Arial" w:cs="Arial" w:eastAsia="Arial" w:hAnsi="Arial"/>
                  <w:sz w:val="14"/>
                  <w:szCs w:val="14"/>
                  <w:color w:val="0000FF"/>
                </w:rPr>
                <w:t>Form of Common Stock Purchase Warrant</w:t>
              </w:r>
            </w:hyperlink>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4.4</w:t>
            </w:r>
          </w:p>
        </w:tc>
        <w:tc>
          <w:tcPr>
            <w:tcW w:w="270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150">
              <w:r>
                <w:rPr>
                  <w:rFonts w:ascii="Arial" w:cs="Arial" w:eastAsia="Arial" w:hAnsi="Arial"/>
                  <w:sz w:val="13"/>
                  <w:szCs w:val="13"/>
                  <w:color w:val="0000FF"/>
                </w:rPr>
                <w:t>issued to investors by the Company in</w:t>
              </w:r>
            </w:hyperlink>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00" w:type="dxa"/>
            <w:vAlign w:val="bottom"/>
            <w:tcBorders>
              <w:bottom w:val="single" w:sz="8" w:color="0000FF"/>
            </w:tcBorders>
            <w:gridSpan w:val="27"/>
          </w:tcPr>
          <w:p>
            <w:pPr>
              <w:spacing w:after="0" w:line="115" w:lineRule="exact"/>
              <w:rPr>
                <w:rFonts w:ascii="Arial" w:cs="Arial" w:eastAsia="Arial" w:hAnsi="Arial"/>
                <w:sz w:val="13"/>
                <w:szCs w:val="13"/>
                <w:color w:val="0000FF"/>
              </w:rPr>
            </w:pPr>
            <w:hyperlink r:id="rId150">
              <w:r>
                <w:rPr>
                  <w:rFonts w:ascii="Arial" w:cs="Arial" w:eastAsia="Arial" w:hAnsi="Arial"/>
                  <w:sz w:val="13"/>
                  <w:szCs w:val="13"/>
                  <w:color w:val="0000FF"/>
                </w:rPr>
                <w:t>connection with private placement financings.</w:t>
              </w:r>
            </w:hyperlink>
          </w:p>
        </w:tc>
        <w:tc>
          <w:tcPr>
            <w:tcW w:w="300" w:type="dxa"/>
            <w:vAlign w:val="bottom"/>
            <w:gridSpan w:val="15"/>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880" w:type="dxa"/>
            <w:vAlign w:val="bottom"/>
            <w:tcBorders>
              <w:bottom w:val="single" w:sz="8" w:color="0000FF"/>
            </w:tcBorders>
            <w:gridSpan w:val="26"/>
          </w:tcPr>
          <w:p>
            <w:pPr>
              <w:spacing w:after="0"/>
              <w:rPr>
                <w:rFonts w:ascii="Arial" w:cs="Arial" w:eastAsia="Arial" w:hAnsi="Arial"/>
                <w:sz w:val="14"/>
                <w:szCs w:val="14"/>
                <w:color w:val="0000FF"/>
              </w:rPr>
            </w:pPr>
            <w:hyperlink r:id="rId151">
              <w:r>
                <w:rPr>
                  <w:rFonts w:ascii="Arial" w:cs="Arial" w:eastAsia="Arial" w:hAnsi="Arial"/>
                  <w:sz w:val="14"/>
                  <w:szCs w:val="14"/>
                  <w:color w:val="0000FF"/>
                </w:rPr>
                <w:t>Form of Common Stock Purchase Warrant to</w:t>
              </w:r>
            </w:hyperlink>
          </w:p>
        </w:tc>
        <w:tc>
          <w:tcPr>
            <w:tcW w:w="320" w:type="dxa"/>
            <w:vAlign w:val="bottom"/>
            <w:gridSpan w:val="16"/>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4.5</w:t>
            </w:r>
          </w:p>
        </w:tc>
        <w:tc>
          <w:tcPr>
            <w:tcW w:w="3200" w:type="dxa"/>
            <w:vAlign w:val="bottom"/>
            <w:gridSpan w:val="42"/>
          </w:tcPr>
          <w:p>
            <w:pPr>
              <w:spacing w:after="0" w:line="115" w:lineRule="exact"/>
              <w:rPr>
                <w:rFonts w:ascii="Arial" w:cs="Arial" w:eastAsia="Arial" w:hAnsi="Arial"/>
                <w:sz w:val="13"/>
                <w:szCs w:val="13"/>
                <w:color w:val="0000FF"/>
              </w:rPr>
            </w:pPr>
            <w:hyperlink r:id="rId151">
              <w:r>
                <w:rPr>
                  <w:rFonts w:ascii="Arial" w:cs="Arial" w:eastAsia="Arial" w:hAnsi="Arial"/>
                  <w:sz w:val="13"/>
                  <w:szCs w:val="13"/>
                  <w:color w:val="0000FF"/>
                </w:rPr>
                <w:t>purchase common stock issued to investors by</w:t>
              </w:r>
            </w:hyperlink>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4.8</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20" w:type="dxa"/>
            <w:vAlign w:val="bottom"/>
            <w:tcBorders>
              <w:top w:val="single" w:sz="8" w:color="0000FF"/>
            </w:tcBorders>
            <w:gridSpan w:val="33"/>
          </w:tcPr>
          <w:p>
            <w:pPr>
              <w:spacing w:after="0" w:line="115" w:lineRule="exact"/>
              <w:rPr>
                <w:rFonts w:ascii="Arial" w:cs="Arial" w:eastAsia="Arial" w:hAnsi="Arial"/>
                <w:sz w:val="13"/>
                <w:szCs w:val="13"/>
                <w:color w:val="0000FF"/>
              </w:rPr>
            </w:pPr>
            <w:hyperlink r:id="rId151">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2860" w:type="dxa"/>
            <w:vAlign w:val="bottom"/>
            <w:tcBorders>
              <w:bottom w:val="single" w:sz="8" w:color="0000FF"/>
            </w:tcBorders>
            <w:gridSpan w:val="25"/>
          </w:tcPr>
          <w:p>
            <w:pPr>
              <w:spacing w:after="0"/>
              <w:rPr>
                <w:rFonts w:ascii="Arial" w:cs="Arial" w:eastAsia="Arial" w:hAnsi="Arial"/>
                <w:sz w:val="14"/>
                <w:szCs w:val="14"/>
                <w:color w:val="0000FF"/>
              </w:rPr>
            </w:pPr>
            <w:hyperlink r:id="rId152">
              <w:r>
                <w:rPr>
                  <w:rFonts w:ascii="Arial" w:cs="Arial" w:eastAsia="Arial" w:hAnsi="Arial"/>
                  <w:sz w:val="14"/>
                  <w:szCs w:val="14"/>
                  <w:color w:val="0000FF"/>
                </w:rPr>
                <w:t>Form of Warrant to Purchase Stock issued to</w:t>
              </w:r>
            </w:hyperlink>
          </w:p>
        </w:tc>
        <w:tc>
          <w:tcPr>
            <w:tcW w:w="340" w:type="dxa"/>
            <w:vAlign w:val="bottom"/>
            <w:gridSpan w:val="17"/>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200" w:type="dxa"/>
            <w:vAlign w:val="bottom"/>
            <w:gridSpan w:val="42"/>
          </w:tcPr>
          <w:p>
            <w:pPr>
              <w:spacing w:after="0" w:line="115" w:lineRule="exact"/>
              <w:rPr>
                <w:rFonts w:ascii="Arial" w:cs="Arial" w:eastAsia="Arial" w:hAnsi="Arial"/>
                <w:sz w:val="13"/>
                <w:szCs w:val="13"/>
                <w:color w:val="0000FF"/>
              </w:rPr>
            </w:pPr>
            <w:hyperlink r:id="rId152">
              <w:r>
                <w:rPr>
                  <w:rFonts w:ascii="Arial" w:cs="Arial" w:eastAsia="Arial" w:hAnsi="Arial"/>
                  <w:sz w:val="13"/>
                  <w:szCs w:val="13"/>
                  <w:color w:val="0000FF"/>
                </w:rPr>
                <w:t>Innovatus Life Sciences Lending Fund I, LP in</w:t>
              </w:r>
            </w:hyperlink>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4.6</w:t>
            </w:r>
          </w:p>
        </w:tc>
        <w:tc>
          <w:tcPr>
            <w:tcW w:w="294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152">
              <w:r>
                <w:rPr>
                  <w:rFonts w:ascii="Arial" w:cs="Arial" w:eastAsia="Arial" w:hAnsi="Arial"/>
                  <w:sz w:val="13"/>
                  <w:szCs w:val="13"/>
                  <w:color w:val="0000FF"/>
                </w:rPr>
                <w:t>connection with the Company's 2018 loan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4.9</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66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152">
              <w:r>
                <w:rPr>
                  <w:rFonts w:ascii="Arial" w:cs="Arial" w:eastAsia="Arial" w:hAnsi="Arial"/>
                  <w:sz w:val="13"/>
                  <w:szCs w:val="13"/>
                  <w:color w:val="0000FF"/>
                </w:rPr>
                <w:t>agreement.</w:t>
              </w:r>
            </w:hyperlink>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4.7</w:t>
            </w:r>
          </w:p>
        </w:tc>
        <w:tc>
          <w:tcPr>
            <w:tcW w:w="1760" w:type="dxa"/>
            <w:vAlign w:val="bottom"/>
            <w:tcBorders>
              <w:bottom w:val="single" w:sz="8" w:color="0000FF"/>
            </w:tcBorders>
            <w:gridSpan w:val="11"/>
          </w:tcPr>
          <w:p>
            <w:pPr>
              <w:spacing w:after="0"/>
              <w:rPr>
                <w:rFonts w:ascii="Arial" w:cs="Arial" w:eastAsia="Arial" w:hAnsi="Arial"/>
                <w:sz w:val="14"/>
                <w:szCs w:val="14"/>
                <w:color w:val="0000FF"/>
              </w:rPr>
            </w:pPr>
            <w:hyperlink r:id="rId153">
              <w:r>
                <w:rPr>
                  <w:rFonts w:ascii="Arial" w:cs="Arial" w:eastAsia="Arial" w:hAnsi="Arial"/>
                  <w:sz w:val="14"/>
                  <w:szCs w:val="14"/>
                  <w:color w:val="0000FF"/>
                </w:rPr>
                <w:t>Form of Exchange Warrant.</w:t>
              </w:r>
            </w:hyperlink>
          </w:p>
        </w:tc>
        <w:tc>
          <w:tcPr>
            <w:tcW w:w="1440" w:type="dxa"/>
            <w:vAlign w:val="bottom"/>
            <w:gridSpan w:val="31"/>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200" w:type="dxa"/>
            <w:vAlign w:val="bottom"/>
            <w:gridSpan w:val="42"/>
          </w:tcPr>
          <w:p>
            <w:pPr>
              <w:spacing w:after="0"/>
              <w:rPr>
                <w:rFonts w:ascii="Arial" w:cs="Arial" w:eastAsia="Arial" w:hAnsi="Arial"/>
                <w:sz w:val="14"/>
                <w:szCs w:val="14"/>
                <w:color w:val="0000FF"/>
              </w:rPr>
            </w:pPr>
            <w:hyperlink r:id="rId154">
              <w:r>
                <w:rPr>
                  <w:rFonts w:ascii="Arial" w:cs="Arial" w:eastAsia="Arial" w:hAnsi="Arial"/>
                  <w:sz w:val="14"/>
                  <w:szCs w:val="14"/>
                  <w:color w:val="0000FF"/>
                </w:rPr>
                <w:t>Exagen Corporation 2002 Stock Option Plan, as</w:t>
              </w:r>
            </w:hyperlink>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w:t>
            </w:r>
          </w:p>
        </w:tc>
        <w:tc>
          <w:tcPr>
            <w:tcW w:w="312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r:id="rId154">
              <w:r>
                <w:rPr>
                  <w:rFonts w:ascii="Arial" w:cs="Arial" w:eastAsia="Arial" w:hAnsi="Arial"/>
                  <w:sz w:val="13"/>
                  <w:szCs w:val="13"/>
                  <w:color w:val="0000FF"/>
                </w:rPr>
                <w:t>amended, and form of option agreement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580" w:type="dxa"/>
            <w:vAlign w:val="bottom"/>
            <w:tcBorders>
              <w:top w:val="single" w:sz="8" w:color="0000FF"/>
            </w:tcBorders>
            <w:gridSpan w:val="17"/>
          </w:tcPr>
          <w:p>
            <w:pPr>
              <w:spacing w:after="0" w:line="115" w:lineRule="exact"/>
              <w:rPr>
                <w:rFonts w:ascii="Arial" w:cs="Arial" w:eastAsia="Arial" w:hAnsi="Arial"/>
                <w:sz w:val="13"/>
                <w:szCs w:val="13"/>
                <w:color w:val="0000FF"/>
              </w:rPr>
            </w:pPr>
            <w:hyperlink r:id="rId154">
              <w:r>
                <w:rPr>
                  <w:rFonts w:ascii="Arial" w:cs="Arial" w:eastAsia="Arial" w:hAnsi="Arial"/>
                  <w:sz w:val="13"/>
                  <w:szCs w:val="13"/>
                  <w:color w:val="0000FF"/>
                </w:rPr>
                <w:t>thereunder.</w:t>
              </w:r>
            </w:hyperlink>
          </w:p>
        </w:tc>
        <w:tc>
          <w:tcPr>
            <w:tcW w:w="100" w:type="dxa"/>
            <w:vAlign w:val="bottom"/>
            <w:gridSpan w:val="3"/>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200" w:type="dxa"/>
            <w:vAlign w:val="bottom"/>
            <w:gridSpan w:val="42"/>
          </w:tcPr>
          <w:p>
            <w:pPr>
              <w:spacing w:after="0"/>
              <w:rPr>
                <w:rFonts w:ascii="Arial" w:cs="Arial" w:eastAsia="Arial" w:hAnsi="Arial"/>
                <w:sz w:val="14"/>
                <w:szCs w:val="14"/>
                <w:color w:val="0000FF"/>
              </w:rPr>
            </w:pPr>
            <w:hyperlink r:id="rId155">
              <w:r>
                <w:rPr>
                  <w:rFonts w:ascii="Arial" w:cs="Arial" w:eastAsia="Arial" w:hAnsi="Arial"/>
                  <w:sz w:val="14"/>
                  <w:szCs w:val="14"/>
                  <w:color w:val="0000FF"/>
                </w:rPr>
                <w:t>Exagen Diagnostics, Inc. 2013 Stock Option</w:t>
              </w:r>
            </w:hyperlink>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10.2#</w:t>
            </w:r>
          </w:p>
        </w:tc>
        <w:tc>
          <w:tcPr>
            <w:tcW w:w="280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155">
              <w:r>
                <w:rPr>
                  <w:rFonts w:ascii="Arial" w:cs="Arial" w:eastAsia="Arial" w:hAnsi="Arial"/>
                  <w:sz w:val="13"/>
                  <w:szCs w:val="13"/>
                  <w:color w:val="0000FF"/>
                </w:rPr>
                <w:t>Plan, as amended, and form of option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42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r:id="rId155">
              <w:r>
                <w:rPr>
                  <w:rFonts w:ascii="Arial" w:cs="Arial" w:eastAsia="Arial" w:hAnsi="Arial"/>
                  <w:sz w:val="13"/>
                  <w:szCs w:val="13"/>
                  <w:color w:val="0000FF"/>
                </w:rPr>
                <w:t>agreement thereunder.</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1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10.3#</w:t>
            </w:r>
          </w:p>
        </w:tc>
        <w:tc>
          <w:tcPr>
            <w:tcW w:w="3200" w:type="dxa"/>
            <w:vAlign w:val="bottom"/>
            <w:gridSpan w:val="42"/>
          </w:tcPr>
          <w:p>
            <w:pPr>
              <w:spacing w:after="0"/>
              <w:rPr>
                <w:rFonts w:ascii="Arial" w:cs="Arial" w:eastAsia="Arial" w:hAnsi="Arial"/>
                <w:sz w:val="14"/>
                <w:szCs w:val="14"/>
                <w:color w:val="0000FF"/>
              </w:rPr>
            </w:pPr>
            <w:hyperlink r:id="rId156">
              <w:r>
                <w:rPr>
                  <w:rFonts w:ascii="Arial" w:cs="Arial" w:eastAsia="Arial" w:hAnsi="Arial"/>
                  <w:sz w:val="14"/>
                  <w:szCs w:val="14"/>
                  <w:color w:val="0000FF"/>
                </w:rPr>
                <w:t>Exagen Inc. 2019 Incentive Award Plan.</w:t>
              </w:r>
            </w:hyperlink>
          </w:p>
        </w:tc>
        <w:tc>
          <w:tcPr>
            <w:tcW w:w="740" w:type="dxa"/>
            <w:vAlign w:val="bottom"/>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10.3</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3200" w:type="dxa"/>
            <w:vAlign w:val="bottom"/>
            <w:gridSpan w:val="42"/>
          </w:tcPr>
          <w:p>
            <w:pPr>
              <w:spacing w:after="0"/>
              <w:rPr>
                <w:rFonts w:ascii="Arial" w:cs="Arial" w:eastAsia="Arial" w:hAnsi="Arial"/>
                <w:sz w:val="14"/>
                <w:szCs w:val="14"/>
                <w:color w:val="0000FF"/>
              </w:rPr>
            </w:pPr>
            <w:hyperlink r:id="rId157">
              <w:r>
                <w:rPr>
                  <w:rFonts w:ascii="Arial" w:cs="Arial" w:eastAsia="Arial" w:hAnsi="Arial"/>
                  <w:sz w:val="14"/>
                  <w:szCs w:val="14"/>
                  <w:color w:val="0000FF"/>
                </w:rPr>
                <w:t>Form of Option Agreement under Exagen Inc.</w:t>
              </w:r>
            </w:hyperlink>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20" w:type="dxa"/>
            <w:vAlign w:val="bottom"/>
            <w:tcBorders>
              <w:top w:val="single" w:sz="8" w:color="0000FF"/>
            </w:tcBorders>
            <w:gridSpan w:val="28"/>
          </w:tcPr>
          <w:p>
            <w:pPr>
              <w:spacing w:after="0" w:line="115" w:lineRule="exact"/>
              <w:rPr>
                <w:rFonts w:ascii="Arial" w:cs="Arial" w:eastAsia="Arial" w:hAnsi="Arial"/>
                <w:sz w:val="13"/>
                <w:szCs w:val="13"/>
                <w:color w:val="0000FF"/>
              </w:rPr>
            </w:pPr>
            <w:hyperlink r:id="rId157">
              <w:r>
                <w:rPr>
                  <w:rFonts w:ascii="Arial" w:cs="Arial" w:eastAsia="Arial" w:hAnsi="Arial"/>
                  <w:sz w:val="13"/>
                  <w:szCs w:val="13"/>
                  <w:color w:val="0000FF"/>
                </w:rPr>
                <w:t>2019 Incentive Award Plan.</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10.5#</w:t>
            </w:r>
          </w:p>
        </w:tc>
        <w:tc>
          <w:tcPr>
            <w:tcW w:w="3200" w:type="dxa"/>
            <w:vAlign w:val="bottom"/>
            <w:gridSpan w:val="42"/>
          </w:tcPr>
          <w:p>
            <w:pPr>
              <w:spacing w:after="0"/>
              <w:rPr>
                <w:rFonts w:ascii="Arial" w:cs="Arial" w:eastAsia="Arial" w:hAnsi="Arial"/>
                <w:sz w:val="14"/>
                <w:szCs w:val="14"/>
                <w:color w:val="0000FF"/>
              </w:rPr>
            </w:pPr>
            <w:hyperlink r:id="rId158">
              <w:r>
                <w:rPr>
                  <w:rFonts w:ascii="Arial" w:cs="Arial" w:eastAsia="Arial" w:hAnsi="Arial"/>
                  <w:sz w:val="14"/>
                  <w:szCs w:val="14"/>
                  <w:color w:val="0000FF"/>
                </w:rPr>
                <w:t>Form of Restricted Stock Unit Agreement under</w:t>
              </w:r>
            </w:hyperlink>
          </w:p>
        </w:tc>
        <w:tc>
          <w:tcPr>
            <w:tcW w:w="740" w:type="dxa"/>
            <w:vAlign w:val="bottom"/>
            <w:vMerge w:val="restart"/>
          </w:tcPr>
          <w:p>
            <w:pPr>
              <w:jc w:val="center"/>
              <w:ind w:left="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3/16/2021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8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158">
              <w:r>
                <w:rPr>
                  <w:rFonts w:ascii="Arial" w:cs="Arial" w:eastAsia="Arial" w:hAnsi="Arial"/>
                  <w:sz w:val="13"/>
                  <w:szCs w:val="13"/>
                  <w:color w:val="0000FF"/>
                </w:rPr>
                <w:t>Exagen Inc. 2019 Incentive Award Plan.</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10.6#</w:t>
            </w:r>
          </w:p>
        </w:tc>
        <w:tc>
          <w:tcPr>
            <w:tcW w:w="3200" w:type="dxa"/>
            <w:vAlign w:val="bottom"/>
            <w:gridSpan w:val="42"/>
          </w:tcPr>
          <w:p>
            <w:pPr>
              <w:spacing w:after="0"/>
              <w:rPr>
                <w:rFonts w:ascii="Arial" w:cs="Arial" w:eastAsia="Arial" w:hAnsi="Arial"/>
                <w:sz w:val="14"/>
                <w:szCs w:val="14"/>
                <w:color w:val="0000FF"/>
              </w:rPr>
            </w:pPr>
            <w:hyperlink r:id="rId159">
              <w:r>
                <w:rPr>
                  <w:rFonts w:ascii="Arial" w:cs="Arial" w:eastAsia="Arial" w:hAnsi="Arial"/>
                  <w:sz w:val="14"/>
                  <w:szCs w:val="14"/>
                  <w:color w:val="0000FF"/>
                </w:rPr>
                <w:t>Exagen Inc. 2019 Employee Stock Purchase</w:t>
              </w:r>
            </w:hyperlink>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159">
              <w:r>
                <w:rPr>
                  <w:rFonts w:ascii="Arial" w:cs="Arial" w:eastAsia="Arial" w:hAnsi="Arial"/>
                  <w:sz w:val="13"/>
                  <w:szCs w:val="13"/>
                  <w:color w:val="0000FF"/>
                </w:rPr>
                <w:t>Plan.</w:t>
              </w:r>
            </w:hyperlink>
          </w:p>
        </w:tc>
        <w:tc>
          <w:tcPr>
            <w:tcW w:w="2500" w:type="dxa"/>
            <w:vAlign w:val="bottom"/>
            <w:tcBorders>
              <w:top w:val="single" w:sz="8" w:color="0000FF"/>
            </w:tcBorders>
            <w:gridSpan w:val="2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200" w:type="dxa"/>
            <w:vAlign w:val="bottom"/>
            <w:gridSpan w:val="42"/>
          </w:tcPr>
          <w:p>
            <w:pPr>
              <w:spacing w:after="0"/>
              <w:rPr>
                <w:rFonts w:ascii="Arial" w:cs="Arial" w:eastAsia="Arial" w:hAnsi="Arial"/>
                <w:sz w:val="14"/>
                <w:szCs w:val="14"/>
                <w:color w:val="0000FF"/>
              </w:rPr>
            </w:pPr>
            <w:hyperlink r:id="rId160">
              <w:r>
                <w:rPr>
                  <w:rFonts w:ascii="Arial" w:cs="Arial" w:eastAsia="Arial" w:hAnsi="Arial"/>
                  <w:sz w:val="14"/>
                  <w:szCs w:val="14"/>
                  <w:color w:val="0000FF"/>
                </w:rPr>
                <w:t>License Agreement, dated September 13, 2007,</w:t>
              </w:r>
            </w:hyperlink>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14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r:id="rId160">
              <w:r>
                <w:rPr>
                  <w:rFonts w:ascii="Arial" w:cs="Arial" w:eastAsia="Arial" w:hAnsi="Arial"/>
                  <w:sz w:val="13"/>
                  <w:szCs w:val="13"/>
                  <w:color w:val="0000FF"/>
                </w:rPr>
                <w:t>by and between Prometheus Laboratories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10.7†</w:t>
            </w:r>
          </w:p>
        </w:tc>
        <w:tc>
          <w:tcPr>
            <w:tcW w:w="298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r:id="rId160">
              <w:r>
                <w:rPr>
                  <w:rFonts w:ascii="Arial" w:cs="Arial" w:eastAsia="Arial" w:hAnsi="Arial"/>
                  <w:sz w:val="13"/>
                  <w:szCs w:val="13"/>
                  <w:color w:val="0000FF"/>
                </w:rPr>
                <w:t>and the Company (as successor in interest to</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10.6</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8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60">
              <w:r>
                <w:rPr>
                  <w:rFonts w:ascii="Arial" w:cs="Arial" w:eastAsia="Arial" w:hAnsi="Arial"/>
                  <w:sz w:val="13"/>
                  <w:szCs w:val="13"/>
                  <w:color w:val="0000FF"/>
                </w:rPr>
                <w:t>Proprius, Inc.).</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200" w:type="dxa"/>
            <w:vAlign w:val="bottom"/>
            <w:gridSpan w:val="42"/>
          </w:tcPr>
          <w:p>
            <w:pPr>
              <w:spacing w:after="0"/>
              <w:rPr>
                <w:rFonts w:ascii="Arial" w:cs="Arial" w:eastAsia="Arial" w:hAnsi="Arial"/>
                <w:sz w:val="14"/>
                <w:szCs w:val="14"/>
                <w:color w:val="0000FF"/>
              </w:rPr>
            </w:pPr>
            <w:hyperlink r:id="rId161">
              <w:r>
                <w:rPr>
                  <w:rFonts w:ascii="Arial" w:cs="Arial" w:eastAsia="Arial" w:hAnsi="Arial"/>
                  <w:sz w:val="14"/>
                  <w:szCs w:val="14"/>
                  <w:color w:val="0000FF"/>
                </w:rPr>
                <w:t>First Amendment to License Agreement, dated</w:t>
              </w:r>
            </w:hyperlink>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000" w:type="dxa"/>
            <w:vAlign w:val="bottom"/>
            <w:tcBorders>
              <w:top w:val="single" w:sz="8" w:color="0000FF"/>
              <w:bottom w:val="single" w:sz="8" w:color="0000FF"/>
            </w:tcBorders>
            <w:gridSpan w:val="32"/>
          </w:tcPr>
          <w:p>
            <w:pPr>
              <w:spacing w:after="0" w:line="115" w:lineRule="exact"/>
              <w:rPr>
                <w:rFonts w:ascii="Arial" w:cs="Arial" w:eastAsia="Arial" w:hAnsi="Arial"/>
                <w:sz w:val="13"/>
                <w:szCs w:val="13"/>
                <w:color w:val="0000FF"/>
              </w:rPr>
            </w:pPr>
            <w:hyperlink r:id="rId161">
              <w:r>
                <w:rPr>
                  <w:rFonts w:ascii="Arial" w:cs="Arial" w:eastAsia="Arial" w:hAnsi="Arial"/>
                  <w:sz w:val="13"/>
                  <w:szCs w:val="13"/>
                  <w:color w:val="0000FF"/>
                </w:rPr>
                <w:t>October 23, 2013, by and between Prometheus</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540" w:type="dxa"/>
            <w:vAlign w:val="bottom"/>
            <w:tcBorders>
              <w:bottom w:val="single" w:sz="8" w:color="0000FF"/>
            </w:tcBorders>
            <w:gridSpan w:val="15"/>
          </w:tcPr>
          <w:p>
            <w:pPr>
              <w:spacing w:after="0" w:line="115" w:lineRule="exact"/>
              <w:rPr>
                <w:rFonts w:ascii="Arial" w:cs="Arial" w:eastAsia="Arial" w:hAnsi="Arial"/>
                <w:sz w:val="13"/>
                <w:szCs w:val="13"/>
                <w:color w:val="0000FF"/>
              </w:rPr>
            </w:pPr>
            <w:hyperlink r:id="rId161">
              <w:r>
                <w:rPr>
                  <w:rFonts w:ascii="Arial" w:cs="Arial" w:eastAsia="Arial" w:hAnsi="Arial"/>
                  <w:sz w:val="13"/>
                  <w:szCs w:val="13"/>
                  <w:color w:val="0000FF"/>
                </w:rPr>
                <w:t>Laboratories Inc. and the Company (as</w:t>
              </w:r>
            </w:hyperlink>
          </w:p>
        </w:tc>
        <w:tc>
          <w:tcPr>
            <w:tcW w:w="520" w:type="dxa"/>
            <w:vAlign w:val="bottom"/>
            <w:gridSpan w:val="20"/>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10.8†</w:t>
            </w:r>
          </w:p>
        </w:tc>
        <w:tc>
          <w:tcPr>
            <w:tcW w:w="3200" w:type="dxa"/>
            <w:vAlign w:val="bottom"/>
            <w:gridSpan w:val="42"/>
          </w:tcPr>
          <w:p>
            <w:pPr>
              <w:spacing w:after="0" w:line="115" w:lineRule="exact"/>
              <w:rPr>
                <w:rFonts w:ascii="Arial" w:cs="Arial" w:eastAsia="Arial" w:hAnsi="Arial"/>
                <w:sz w:val="13"/>
                <w:szCs w:val="13"/>
                <w:color w:val="0000FF"/>
              </w:rPr>
            </w:pPr>
            <w:hyperlink r:id="rId161">
              <w:r>
                <w:rPr>
                  <w:rFonts w:ascii="Arial" w:cs="Arial" w:eastAsia="Arial" w:hAnsi="Arial"/>
                  <w:sz w:val="13"/>
                  <w:szCs w:val="13"/>
                  <w:color w:val="0000FF"/>
                </w:rPr>
                <w:t>successor in interest to Cypress Bioscience,</w:t>
              </w:r>
            </w:hyperlink>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10.7</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2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161">
              <w:r>
                <w:rPr>
                  <w:rFonts w:ascii="Arial" w:cs="Arial" w:eastAsia="Arial" w:hAnsi="Arial"/>
                  <w:sz w:val="13"/>
                  <w:szCs w:val="13"/>
                  <w:color w:val="0000FF"/>
                </w:rPr>
                <w:t>Inc.).</w:t>
              </w:r>
            </w:hyperlink>
          </w:p>
        </w:tc>
        <w:tc>
          <w:tcPr>
            <w:tcW w:w="2500" w:type="dxa"/>
            <w:vAlign w:val="bottom"/>
            <w:tcBorders>
              <w:top w:val="single" w:sz="8" w:color="0000FF"/>
            </w:tcBorders>
            <w:gridSpan w:val="22"/>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200" w:type="dxa"/>
            <w:vAlign w:val="bottom"/>
            <w:gridSpan w:val="42"/>
          </w:tcPr>
          <w:p>
            <w:pPr>
              <w:spacing w:after="0"/>
              <w:rPr>
                <w:rFonts w:ascii="Arial" w:cs="Arial" w:eastAsia="Arial" w:hAnsi="Arial"/>
                <w:sz w:val="14"/>
                <w:szCs w:val="14"/>
                <w:color w:val="0000FF"/>
              </w:rPr>
            </w:pPr>
            <w:hyperlink r:id="rId162">
              <w:r>
                <w:rPr>
                  <w:rFonts w:ascii="Arial" w:cs="Arial" w:eastAsia="Arial" w:hAnsi="Arial"/>
                  <w:sz w:val="14"/>
                  <w:szCs w:val="14"/>
                  <w:color w:val="0000FF"/>
                </w:rPr>
                <w:t>Letter Agreement, dated September 28, 2021,</w:t>
              </w:r>
            </w:hyperlink>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10.9</w:t>
            </w:r>
          </w:p>
        </w:tc>
        <w:tc>
          <w:tcPr>
            <w:tcW w:w="2960" w:type="dxa"/>
            <w:vAlign w:val="bottom"/>
            <w:tcBorders>
              <w:top w:val="single" w:sz="8" w:color="0000FF"/>
              <w:bottom w:val="single" w:sz="8" w:color="0000FF"/>
            </w:tcBorders>
            <w:gridSpan w:val="30"/>
          </w:tcPr>
          <w:p>
            <w:pPr>
              <w:spacing w:after="0" w:line="115" w:lineRule="exact"/>
              <w:rPr>
                <w:rFonts w:ascii="Arial" w:cs="Arial" w:eastAsia="Arial" w:hAnsi="Arial"/>
                <w:sz w:val="13"/>
                <w:szCs w:val="13"/>
                <w:color w:val="0000FF"/>
              </w:rPr>
            </w:pPr>
            <w:hyperlink r:id="rId162">
              <w:r>
                <w:rPr>
                  <w:rFonts w:ascii="Arial" w:cs="Arial" w:eastAsia="Arial" w:hAnsi="Arial"/>
                  <w:sz w:val="13"/>
                  <w:szCs w:val="13"/>
                  <w:color w:val="0000FF"/>
                </w:rPr>
                <w:t>by and between the Company and Prometheus</w:t>
              </w:r>
            </w:hyperlink>
          </w:p>
        </w:tc>
        <w:tc>
          <w:tcPr>
            <w:tcW w:w="80" w:type="dxa"/>
            <w:vAlign w:val="bottom"/>
            <w:tcBorders>
              <w:bottom w:val="single" w:sz="8" w:color="0000FF"/>
            </w:tcBorders>
            <w:gridSpan w:val="4"/>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10.6</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11/10/2021</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40" w:type="dxa"/>
            <w:vAlign w:val="bottom"/>
            <w:gridSpan w:val="34"/>
          </w:tcPr>
          <w:p>
            <w:pPr>
              <w:spacing w:after="0" w:line="115" w:lineRule="exact"/>
              <w:rPr>
                <w:rFonts w:ascii="Arial" w:cs="Arial" w:eastAsia="Arial" w:hAnsi="Arial"/>
                <w:sz w:val="13"/>
                <w:szCs w:val="13"/>
                <w:color w:val="0000FF"/>
              </w:rPr>
            </w:pPr>
            <w:hyperlink r:id="rId162">
              <w:r>
                <w:rPr>
                  <w:rFonts w:ascii="Arial" w:cs="Arial" w:eastAsia="Arial" w:hAnsi="Arial"/>
                  <w:sz w:val="13"/>
                  <w:szCs w:val="13"/>
                  <w:color w:val="0000FF"/>
                </w:rPr>
                <w:t>Laboratories Inc.</w:t>
              </w:r>
            </w:hyperlink>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2900" w:type="dxa"/>
            <w:vAlign w:val="bottom"/>
            <w:tcBorders>
              <w:bottom w:val="single" w:sz="8" w:color="0000FF"/>
            </w:tcBorders>
            <w:gridSpan w:val="27"/>
          </w:tcPr>
          <w:p>
            <w:pPr>
              <w:spacing w:after="0"/>
              <w:rPr>
                <w:rFonts w:ascii="Arial" w:cs="Arial" w:eastAsia="Arial" w:hAnsi="Arial"/>
                <w:sz w:val="14"/>
                <w:szCs w:val="14"/>
                <w:color w:val="0000FF"/>
              </w:rPr>
            </w:pPr>
            <w:hyperlink r:id="rId163">
              <w:r>
                <w:rPr>
                  <w:rFonts w:ascii="Arial" w:cs="Arial" w:eastAsia="Arial" w:hAnsi="Arial"/>
                  <w:sz w:val="14"/>
                  <w:szCs w:val="14"/>
                  <w:color w:val="0000FF"/>
                </w:rPr>
                <w:t>Asset Purchase Agreement, dated October 8,</w:t>
              </w:r>
            </w:hyperlink>
          </w:p>
        </w:tc>
        <w:tc>
          <w:tcPr>
            <w:tcW w:w="300" w:type="dxa"/>
            <w:vAlign w:val="bottom"/>
            <w:gridSpan w:val="15"/>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10.10†</w:t>
            </w:r>
          </w:p>
        </w:tc>
        <w:tc>
          <w:tcPr>
            <w:tcW w:w="3200" w:type="dxa"/>
            <w:vAlign w:val="bottom"/>
            <w:gridSpan w:val="42"/>
          </w:tcPr>
          <w:p>
            <w:pPr>
              <w:spacing w:after="0" w:line="115" w:lineRule="exact"/>
              <w:rPr>
                <w:rFonts w:ascii="Arial" w:cs="Arial" w:eastAsia="Arial" w:hAnsi="Arial"/>
                <w:sz w:val="13"/>
                <w:szCs w:val="13"/>
                <w:color w:val="0000FF"/>
              </w:rPr>
            </w:pPr>
            <w:hyperlink r:id="rId163">
              <w:r>
                <w:rPr>
                  <w:rFonts w:ascii="Arial" w:cs="Arial" w:eastAsia="Arial" w:hAnsi="Arial"/>
                  <w:sz w:val="13"/>
                  <w:szCs w:val="13"/>
                  <w:color w:val="0000FF"/>
                </w:rPr>
                <w:t>2010, by and between Cypress Bioscience, Inc.,</w:t>
              </w:r>
            </w:hyperlink>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6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r:id="rId163">
              <w:r>
                <w:rPr>
                  <w:rFonts w:ascii="Arial" w:cs="Arial" w:eastAsia="Arial" w:hAnsi="Arial"/>
                  <w:sz w:val="13"/>
                  <w:szCs w:val="13"/>
                  <w:color w:val="0000FF"/>
                </w:rPr>
                <w:t>Proprius, Inc. and the Company.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7"/>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0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2560" w:type="dxa"/>
            <w:vAlign w:val="bottom"/>
            <w:tcBorders>
              <w:bottom w:val="single" w:sz="8" w:color="0000FF"/>
            </w:tcBorders>
            <w:gridSpan w:val="16"/>
          </w:tcPr>
          <w:p>
            <w:pPr>
              <w:spacing w:after="0"/>
              <w:rPr>
                <w:rFonts w:ascii="Arial" w:cs="Arial" w:eastAsia="Arial" w:hAnsi="Arial"/>
                <w:sz w:val="14"/>
                <w:szCs w:val="14"/>
                <w:color w:val="0000FF"/>
              </w:rPr>
            </w:pPr>
            <w:hyperlink r:id="rId164">
              <w:r>
                <w:rPr>
                  <w:rFonts w:ascii="Arial" w:cs="Arial" w:eastAsia="Arial" w:hAnsi="Arial"/>
                  <w:sz w:val="14"/>
                  <w:szCs w:val="14"/>
                  <w:color w:val="0000FF"/>
                </w:rPr>
                <w:t>Amendment No. One to Asset Purchase</w:t>
              </w:r>
            </w:hyperlink>
          </w:p>
        </w:tc>
        <w:tc>
          <w:tcPr>
            <w:tcW w:w="640" w:type="dxa"/>
            <w:vAlign w:val="bottom"/>
            <w:gridSpan w:val="26"/>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3200" w:type="dxa"/>
            <w:vAlign w:val="bottom"/>
            <w:gridSpan w:val="42"/>
          </w:tcPr>
          <w:p>
            <w:pPr>
              <w:spacing w:after="0" w:line="106" w:lineRule="exact"/>
              <w:rPr>
                <w:rFonts w:ascii="Arial" w:cs="Arial" w:eastAsia="Arial" w:hAnsi="Arial"/>
                <w:sz w:val="12"/>
                <w:szCs w:val="12"/>
                <w:color w:val="0000FF"/>
              </w:rPr>
            </w:pPr>
            <w:hyperlink r:id="rId164">
              <w:r>
                <w:rPr>
                  <w:rFonts w:ascii="Arial" w:cs="Arial" w:eastAsia="Arial" w:hAnsi="Arial"/>
                  <w:sz w:val="12"/>
                  <w:szCs w:val="12"/>
                  <w:color w:val="0000FF"/>
                </w:rPr>
                <w:t>Agreement, dated March 10, 2011, by and</w:t>
              </w:r>
            </w:hyperlink>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10.11†</w:t>
            </w:r>
          </w:p>
        </w:tc>
        <w:tc>
          <w:tcPr>
            <w:tcW w:w="2680" w:type="dxa"/>
            <w:vAlign w:val="bottom"/>
            <w:tcBorders>
              <w:top w:val="single" w:sz="8" w:color="0000FF"/>
            </w:tcBorders>
            <w:gridSpan w:val="20"/>
          </w:tcPr>
          <w:p>
            <w:pPr>
              <w:spacing w:after="0" w:line="122" w:lineRule="exact"/>
              <w:rPr>
                <w:rFonts w:ascii="Arial" w:cs="Arial" w:eastAsia="Arial" w:hAnsi="Arial"/>
                <w:sz w:val="14"/>
                <w:szCs w:val="14"/>
                <w:color w:val="0000FF"/>
                <w:w w:val="97"/>
              </w:rPr>
            </w:pPr>
            <w:hyperlink r:id="rId164">
              <w:r>
                <w:rPr>
                  <w:rFonts w:ascii="Arial" w:cs="Arial" w:eastAsia="Arial" w:hAnsi="Arial"/>
                  <w:sz w:val="14"/>
                  <w:szCs w:val="14"/>
                  <w:color w:val="0000FF"/>
                  <w:w w:val="97"/>
                </w:rPr>
                <w:t>between Cypress Bioscience, Inc., Proprius,</w:t>
              </w:r>
            </w:hyperlink>
          </w:p>
        </w:tc>
        <w:tc>
          <w:tcPr>
            <w:tcW w:w="520" w:type="dxa"/>
            <w:vAlign w:val="bottom"/>
            <w:gridSpan w:val="22"/>
          </w:tcPr>
          <w:p>
            <w:pPr>
              <w:ind w:left="160"/>
              <w:spacing w:after="0" w:line="122" w:lineRule="exact"/>
              <w:rPr>
                <w:rFonts w:ascii="Arial" w:cs="Arial" w:eastAsia="Arial" w:hAnsi="Arial"/>
                <w:sz w:val="14"/>
                <w:szCs w:val="14"/>
                <w:color w:val="0000FF"/>
              </w:rPr>
            </w:pPr>
            <w:hyperlink r:id="rId164">
              <w:r>
                <w:rPr>
                  <w:rFonts w:ascii="Arial" w:cs="Arial" w:eastAsia="Arial" w:hAnsi="Arial"/>
                  <w:sz w:val="14"/>
                  <w:szCs w:val="14"/>
                  <w:color w:val="0000FF"/>
                </w:rPr>
                <w:t>Inc.</w:t>
              </w:r>
            </w:hyperlink>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160" w:type="dxa"/>
            <w:vAlign w:val="bottom"/>
            <w:tcBorders>
              <w:top w:val="single" w:sz="8" w:color="0000FF"/>
              <w:bottom w:val="single" w:sz="8" w:color="0000FF"/>
            </w:tcBorders>
            <w:gridSpan w:val="7"/>
          </w:tcPr>
          <w:p>
            <w:pPr>
              <w:spacing w:after="0" w:line="115" w:lineRule="exact"/>
              <w:rPr>
                <w:rFonts w:ascii="Arial" w:cs="Arial" w:eastAsia="Arial" w:hAnsi="Arial"/>
                <w:sz w:val="13"/>
                <w:szCs w:val="13"/>
                <w:color w:val="0000FF"/>
              </w:rPr>
            </w:pPr>
            <w:hyperlink r:id="rId164">
              <w:r>
                <w:rPr>
                  <w:rFonts w:ascii="Arial" w:cs="Arial" w:eastAsia="Arial" w:hAnsi="Arial"/>
                  <w:sz w:val="13"/>
                  <w:szCs w:val="13"/>
                  <w:color w:val="0000FF"/>
                </w:rPr>
                <w:t>and the Company.</w:t>
              </w:r>
            </w:hyperlink>
          </w:p>
        </w:tc>
        <w:tc>
          <w:tcPr>
            <w:tcW w:w="2020" w:type="dxa"/>
            <w:vAlign w:val="bottom"/>
            <w:tcBorders>
              <w:top w:val="single" w:sz="8" w:color="0000FF"/>
            </w:tcBorders>
            <w:gridSpan w:val="34"/>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60" w:top="1129" w:right="1179" w:bottom="1440" w:gutter="0" w:footer="0" w:header="0"/>
        </w:sectPr>
      </w:pPr>
    </w:p>
    <w:bookmarkStart w:id="121" w:name="page122"/>
    <w:bookmarkEnd w:id="121"/>
    <w:p>
      <w:pPr>
        <w:ind w:left="820" w:right="360"/>
        <w:spacing w:after="0" w:line="201" w:lineRule="auto"/>
        <w:rPr>
          <w:rFonts w:ascii="Arial" w:cs="Arial" w:eastAsia="Arial" w:hAnsi="Arial"/>
          <w:sz w:val="14"/>
          <w:szCs w:val="14"/>
          <w:u w:val="single" w:color="auto"/>
          <w:color w:val="0000FF"/>
        </w:rPr>
      </w:pPr>
      <w:hyperlink r:id="rId166">
        <w:r>
          <w:rPr>
            <w:rFonts w:ascii="Arial" w:cs="Arial" w:eastAsia="Arial" w:hAnsi="Arial"/>
            <w:sz w:val="14"/>
            <w:szCs w:val="14"/>
            <w:u w:val="single" w:color="auto"/>
            <w:color w:val="0000FF"/>
          </w:rPr>
          <w:t>Amendment No. Two to Asset Purchase</w:t>
        </w:r>
      </w:hyperlink>
      <w:r>
        <w:rPr>
          <w:rFonts w:ascii="Arial" w:cs="Arial" w:eastAsia="Arial" w:hAnsi="Arial"/>
          <w:sz w:val="14"/>
          <w:szCs w:val="14"/>
          <w:u w:val="single" w:color="auto"/>
          <w:color w:val="0000FF"/>
        </w:rPr>
        <w:t xml:space="preserve"> </w:t>
      </w:r>
      <w:hyperlink r:id="rId166">
        <w:r>
          <w:rPr>
            <w:rFonts w:ascii="Arial" w:cs="Arial" w:eastAsia="Arial" w:hAnsi="Arial"/>
            <w:sz w:val="14"/>
            <w:szCs w:val="14"/>
            <w:u w:val="single" w:color="auto"/>
            <w:color w:val="0000FF"/>
          </w:rPr>
          <w:t>Agreement, dated August 21, 2012, by and</w:t>
        </w:r>
      </w:hyperlink>
      <w:r>
        <w:rPr>
          <w:rFonts w:ascii="Arial" w:cs="Arial" w:eastAsia="Arial" w:hAnsi="Arial"/>
          <w:sz w:val="14"/>
          <w:szCs w:val="14"/>
          <w:u w:val="single" w:color="auto"/>
          <w:color w:val="0000FF"/>
        </w:rPr>
        <w:t xml:space="preserve"> </w:t>
      </w:r>
      <w:hyperlink r:id="rId166">
        <w:r>
          <w:rPr>
            <w:rFonts w:ascii="Arial" w:cs="Arial" w:eastAsia="Arial" w:hAnsi="Arial"/>
            <w:sz w:val="14"/>
            <w:szCs w:val="14"/>
            <w:u w:val="single" w:color="auto"/>
            <w:color w:val="0000FF"/>
          </w:rPr>
          <w:t>between Royalty Pharma Collection Trust,</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10.12</w:t>
      </w:r>
      <w:r>
        <w:rPr>
          <w:sz w:val="20"/>
          <w:szCs w:val="20"/>
          <w:color w:val="auto"/>
        </w:rPr>
        <w:tab/>
      </w:r>
      <w:hyperlink r:id="rId166">
        <w:r>
          <w:rPr>
            <w:rFonts w:ascii="Arial" w:cs="Arial" w:eastAsia="Arial" w:hAnsi="Arial"/>
            <w:sz w:val="14"/>
            <w:szCs w:val="14"/>
            <w:u w:val="single" w:color="auto"/>
            <w:color w:val="0000FF"/>
          </w:rPr>
          <w:t>Proprius, Inc. and the Company.</w:t>
        </w:r>
      </w:hyperlink>
    </w:p>
    <w:p>
      <w:pPr>
        <w:spacing w:after="0" w:line="28" w:lineRule="exact"/>
        <w:rPr>
          <w:rFonts w:ascii="Arial" w:cs="Arial" w:eastAsia="Arial" w:hAnsi="Arial"/>
          <w:sz w:val="14"/>
          <w:szCs w:val="14"/>
          <w:u w:val="single" w:color="auto"/>
          <w:color w:val="0000FF"/>
        </w:rPr>
      </w:pPr>
    </w:p>
    <w:p>
      <w:pPr>
        <w:ind w:left="820" w:right="320"/>
        <w:spacing w:after="0" w:line="201" w:lineRule="auto"/>
        <w:rPr>
          <w:rFonts w:ascii="Arial" w:cs="Arial" w:eastAsia="Arial" w:hAnsi="Arial"/>
          <w:sz w:val="14"/>
          <w:szCs w:val="14"/>
          <w:u w:val="single" w:color="auto"/>
          <w:color w:val="0000FF"/>
        </w:rPr>
      </w:pPr>
      <w:hyperlink r:id="rId167">
        <w:r>
          <w:rPr>
            <w:rFonts w:ascii="Arial" w:cs="Arial" w:eastAsia="Arial" w:hAnsi="Arial"/>
            <w:sz w:val="14"/>
            <w:szCs w:val="14"/>
            <w:u w:val="single" w:color="auto"/>
            <w:color w:val="0000FF"/>
          </w:rPr>
          <w:t>Amendment No. Three to Asset Purchase</w:t>
        </w:r>
      </w:hyperlink>
      <w:r>
        <w:rPr>
          <w:rFonts w:ascii="Arial" w:cs="Arial" w:eastAsia="Arial" w:hAnsi="Arial"/>
          <w:sz w:val="14"/>
          <w:szCs w:val="14"/>
          <w:u w:val="single" w:color="auto"/>
          <w:color w:val="0000FF"/>
        </w:rPr>
        <w:t xml:space="preserve"> </w:t>
      </w:r>
      <w:hyperlink r:id="rId167">
        <w:r>
          <w:rPr>
            <w:rFonts w:ascii="Arial" w:cs="Arial" w:eastAsia="Arial" w:hAnsi="Arial"/>
            <w:sz w:val="14"/>
            <w:szCs w:val="14"/>
            <w:u w:val="single" w:color="auto"/>
            <w:color w:val="0000FF"/>
          </w:rPr>
          <w:t>Agreement, dated February 6, 2013, by and</w:t>
        </w:r>
      </w:hyperlink>
      <w:r>
        <w:rPr>
          <w:rFonts w:ascii="Arial" w:cs="Arial" w:eastAsia="Arial" w:hAnsi="Arial"/>
          <w:sz w:val="14"/>
          <w:szCs w:val="14"/>
          <w:u w:val="single" w:color="auto"/>
          <w:color w:val="0000FF"/>
        </w:rPr>
        <w:t xml:space="preserve"> </w:t>
      </w:r>
      <w:hyperlink r:id="rId167">
        <w:r>
          <w:rPr>
            <w:rFonts w:ascii="Arial" w:cs="Arial" w:eastAsia="Arial" w:hAnsi="Arial"/>
            <w:sz w:val="14"/>
            <w:szCs w:val="14"/>
            <w:u w:val="single" w:color="auto"/>
            <w:color w:val="0000FF"/>
          </w:rPr>
          <w:t>between Royalty Pharma Collection Trust,</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10.13†</w:t>
      </w:r>
      <w:r>
        <w:rPr>
          <w:sz w:val="20"/>
          <w:szCs w:val="20"/>
          <w:color w:val="auto"/>
        </w:rPr>
        <w:tab/>
      </w:r>
      <w:hyperlink r:id="rId167">
        <w:r>
          <w:rPr>
            <w:rFonts w:ascii="Arial" w:cs="Arial" w:eastAsia="Arial" w:hAnsi="Arial"/>
            <w:sz w:val="14"/>
            <w:szCs w:val="14"/>
            <w:u w:val="single" w:color="auto"/>
            <w:color w:val="0000FF"/>
          </w:rPr>
          <w:t>Proprius, Inc. and the Company.</w:t>
        </w:r>
      </w:hyperlink>
    </w:p>
    <w:p>
      <w:pPr>
        <w:spacing w:after="0" w:line="28" w:lineRule="exact"/>
        <w:rPr>
          <w:rFonts w:ascii="Arial" w:cs="Arial" w:eastAsia="Arial" w:hAnsi="Arial"/>
          <w:sz w:val="14"/>
          <w:szCs w:val="14"/>
          <w:u w:val="single" w:color="auto"/>
          <w:color w:val="0000FF"/>
        </w:rPr>
      </w:pPr>
    </w:p>
    <w:p>
      <w:pPr>
        <w:ind w:left="820" w:right="380"/>
        <w:spacing w:after="0" w:line="201" w:lineRule="auto"/>
        <w:rPr>
          <w:rFonts w:ascii="Arial" w:cs="Arial" w:eastAsia="Arial" w:hAnsi="Arial"/>
          <w:sz w:val="14"/>
          <w:szCs w:val="14"/>
          <w:u w:val="single" w:color="auto"/>
          <w:color w:val="0000FF"/>
        </w:rPr>
      </w:pPr>
      <w:hyperlink r:id="rId168">
        <w:r>
          <w:rPr>
            <w:rFonts w:ascii="Arial" w:cs="Arial" w:eastAsia="Arial" w:hAnsi="Arial"/>
            <w:sz w:val="14"/>
            <w:szCs w:val="14"/>
            <w:u w:val="single" w:color="auto"/>
            <w:color w:val="0000FF"/>
          </w:rPr>
          <w:t>Amendment No. Four to Asset Purchase</w:t>
        </w:r>
      </w:hyperlink>
      <w:r>
        <w:rPr>
          <w:rFonts w:ascii="Arial" w:cs="Arial" w:eastAsia="Arial" w:hAnsi="Arial"/>
          <w:sz w:val="14"/>
          <w:szCs w:val="14"/>
          <w:u w:val="single" w:color="auto"/>
          <w:color w:val="0000FF"/>
        </w:rPr>
        <w:t xml:space="preserve"> </w:t>
      </w:r>
      <w:hyperlink r:id="rId168">
        <w:r>
          <w:rPr>
            <w:rFonts w:ascii="Arial" w:cs="Arial" w:eastAsia="Arial" w:hAnsi="Arial"/>
            <w:sz w:val="14"/>
            <w:szCs w:val="14"/>
            <w:u w:val="single" w:color="auto"/>
            <w:color w:val="0000FF"/>
          </w:rPr>
          <w:t>Agreement, dated October 8, 2013, by and</w:t>
        </w:r>
      </w:hyperlink>
      <w:r>
        <w:rPr>
          <w:rFonts w:ascii="Arial" w:cs="Arial" w:eastAsia="Arial" w:hAnsi="Arial"/>
          <w:sz w:val="14"/>
          <w:szCs w:val="14"/>
          <w:u w:val="single" w:color="auto"/>
          <w:color w:val="0000FF"/>
        </w:rPr>
        <w:t xml:space="preserve"> </w:t>
      </w:r>
      <w:hyperlink r:id="rId168">
        <w:r>
          <w:rPr>
            <w:rFonts w:ascii="Arial" w:cs="Arial" w:eastAsia="Arial" w:hAnsi="Arial"/>
            <w:sz w:val="14"/>
            <w:szCs w:val="14"/>
            <w:u w:val="single" w:color="auto"/>
            <w:color w:val="0000FF"/>
          </w:rPr>
          <w:t>between Royalty Pharma Collection Trust,</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10.14</w:t>
      </w:r>
      <w:r>
        <w:rPr>
          <w:sz w:val="20"/>
          <w:szCs w:val="20"/>
          <w:color w:val="auto"/>
        </w:rPr>
        <w:tab/>
      </w:r>
      <w:hyperlink r:id="rId168">
        <w:r>
          <w:rPr>
            <w:rFonts w:ascii="Arial" w:cs="Arial" w:eastAsia="Arial" w:hAnsi="Arial"/>
            <w:sz w:val="14"/>
            <w:szCs w:val="14"/>
            <w:u w:val="single" w:color="auto"/>
            <w:color w:val="0000FF"/>
          </w:rPr>
          <w:t>Proprius, Inc. and the Company.</w:t>
        </w:r>
      </w:hyperlink>
    </w:p>
    <w:p>
      <w:pPr>
        <w:spacing w:after="0" w:line="28" w:lineRule="exact"/>
        <w:rPr>
          <w:rFonts w:ascii="Arial" w:cs="Arial" w:eastAsia="Arial" w:hAnsi="Arial"/>
          <w:sz w:val="14"/>
          <w:szCs w:val="14"/>
          <w:u w:val="single" w:color="auto"/>
          <w:color w:val="0000FF"/>
        </w:rPr>
      </w:pPr>
    </w:p>
    <w:p>
      <w:pPr>
        <w:ind w:left="820" w:right="300"/>
        <w:spacing w:after="0" w:line="201" w:lineRule="auto"/>
        <w:rPr>
          <w:rFonts w:ascii="Arial" w:cs="Arial" w:eastAsia="Arial" w:hAnsi="Arial"/>
          <w:sz w:val="14"/>
          <w:szCs w:val="14"/>
          <w:u w:val="single" w:color="auto"/>
          <w:color w:val="0000FF"/>
        </w:rPr>
      </w:pPr>
      <w:hyperlink r:id="rId169">
        <w:r>
          <w:rPr>
            <w:rFonts w:ascii="Arial" w:cs="Arial" w:eastAsia="Arial" w:hAnsi="Arial"/>
            <w:sz w:val="14"/>
            <w:szCs w:val="14"/>
            <w:u w:val="single" w:color="auto"/>
            <w:color w:val="0000FF"/>
          </w:rPr>
          <w:t>Amendment No. Five to Asset Purchase</w:t>
        </w:r>
      </w:hyperlink>
      <w:r>
        <w:rPr>
          <w:rFonts w:ascii="Arial" w:cs="Arial" w:eastAsia="Arial" w:hAnsi="Arial"/>
          <w:sz w:val="14"/>
          <w:szCs w:val="14"/>
          <w:u w:val="single" w:color="auto"/>
          <w:color w:val="0000FF"/>
        </w:rPr>
        <w:t xml:space="preserve"> </w:t>
      </w:r>
      <w:hyperlink r:id="rId169">
        <w:r>
          <w:rPr>
            <w:rFonts w:ascii="Arial" w:cs="Arial" w:eastAsia="Arial" w:hAnsi="Arial"/>
            <w:sz w:val="14"/>
            <w:szCs w:val="14"/>
            <w:u w:val="single" w:color="auto"/>
            <w:color w:val="0000FF"/>
          </w:rPr>
          <w:t>Agreement, dated January 26, 2016, by and</w:t>
        </w:r>
      </w:hyperlink>
      <w:r>
        <w:rPr>
          <w:rFonts w:ascii="Arial" w:cs="Arial" w:eastAsia="Arial" w:hAnsi="Arial"/>
          <w:sz w:val="14"/>
          <w:szCs w:val="14"/>
          <w:u w:val="single" w:color="auto"/>
          <w:color w:val="0000FF"/>
        </w:rPr>
        <w:t xml:space="preserve"> </w:t>
      </w:r>
      <w:hyperlink r:id="rId169">
        <w:r>
          <w:rPr>
            <w:rFonts w:ascii="Arial" w:cs="Arial" w:eastAsia="Arial" w:hAnsi="Arial"/>
            <w:sz w:val="14"/>
            <w:szCs w:val="14"/>
            <w:u w:val="single" w:color="auto"/>
            <w:color w:val="0000FF"/>
          </w:rPr>
          <w:t>between Royalty Pharma Collection Trust,</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10.15</w:t>
      </w:r>
      <w:r>
        <w:rPr>
          <w:sz w:val="20"/>
          <w:szCs w:val="20"/>
          <w:color w:val="auto"/>
        </w:rPr>
        <w:tab/>
      </w:r>
      <w:hyperlink r:id="rId169">
        <w:r>
          <w:rPr>
            <w:rFonts w:ascii="Arial" w:cs="Arial" w:eastAsia="Arial" w:hAnsi="Arial"/>
            <w:sz w:val="14"/>
            <w:szCs w:val="14"/>
            <w:u w:val="single" w:color="auto"/>
            <w:color w:val="0000FF"/>
          </w:rPr>
          <w:t>Proprius, Inc. and the Company.</w:t>
        </w:r>
      </w:hyperlink>
    </w:p>
    <w:p>
      <w:pPr>
        <w:spacing w:after="0" w:line="28" w:lineRule="exact"/>
        <w:rPr>
          <w:rFonts w:ascii="Arial" w:cs="Arial" w:eastAsia="Arial" w:hAnsi="Arial"/>
          <w:sz w:val="14"/>
          <w:szCs w:val="14"/>
          <w:u w:val="single" w:color="auto"/>
          <w:color w:val="0000FF"/>
        </w:rPr>
      </w:pPr>
    </w:p>
    <w:p>
      <w:pPr>
        <w:ind w:left="820" w:right="240"/>
        <w:spacing w:after="0" w:line="201" w:lineRule="auto"/>
        <w:rPr>
          <w:rFonts w:ascii="Arial" w:cs="Arial" w:eastAsia="Arial" w:hAnsi="Arial"/>
          <w:sz w:val="14"/>
          <w:szCs w:val="14"/>
          <w:u w:val="single" w:color="auto"/>
          <w:color w:val="0000FF"/>
        </w:rPr>
      </w:pPr>
      <w:hyperlink r:id="rId170">
        <w:r>
          <w:rPr>
            <w:rFonts w:ascii="Arial" w:cs="Arial" w:eastAsia="Arial" w:hAnsi="Arial"/>
            <w:sz w:val="14"/>
            <w:szCs w:val="14"/>
            <w:u w:val="single" w:color="auto"/>
            <w:color w:val="0000FF"/>
          </w:rPr>
          <w:t>Amendment No. Six to Asset Purchase</w:t>
        </w:r>
      </w:hyperlink>
      <w:r>
        <w:rPr>
          <w:rFonts w:ascii="Arial" w:cs="Arial" w:eastAsia="Arial" w:hAnsi="Arial"/>
          <w:sz w:val="14"/>
          <w:szCs w:val="14"/>
          <w:u w:val="single" w:color="auto"/>
          <w:color w:val="0000FF"/>
        </w:rPr>
        <w:t xml:space="preserve"> </w:t>
      </w:r>
      <w:hyperlink r:id="rId170">
        <w:r>
          <w:rPr>
            <w:rFonts w:ascii="Arial" w:cs="Arial" w:eastAsia="Arial" w:hAnsi="Arial"/>
            <w:sz w:val="14"/>
            <w:szCs w:val="14"/>
            <w:u w:val="single" w:color="auto"/>
            <w:color w:val="0000FF"/>
          </w:rPr>
          <w:t>Agreement, dated February 16, 2017, by and</w:t>
        </w:r>
      </w:hyperlink>
      <w:r>
        <w:rPr>
          <w:rFonts w:ascii="Arial" w:cs="Arial" w:eastAsia="Arial" w:hAnsi="Arial"/>
          <w:sz w:val="14"/>
          <w:szCs w:val="14"/>
          <w:u w:val="single" w:color="auto"/>
          <w:color w:val="0000FF"/>
        </w:rPr>
        <w:t xml:space="preserve"> </w:t>
      </w:r>
      <w:hyperlink r:id="rId170">
        <w:r>
          <w:rPr>
            <w:rFonts w:ascii="Arial" w:cs="Arial" w:eastAsia="Arial" w:hAnsi="Arial"/>
            <w:sz w:val="14"/>
            <w:szCs w:val="14"/>
            <w:u w:val="single" w:color="auto"/>
            <w:color w:val="0000FF"/>
          </w:rPr>
          <w:t>between Royalty Pharma Collection Trust,</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10.16†</w:t>
      </w:r>
      <w:r>
        <w:rPr>
          <w:sz w:val="20"/>
          <w:szCs w:val="20"/>
          <w:color w:val="auto"/>
        </w:rPr>
        <w:tab/>
      </w:r>
      <w:hyperlink r:id="rId170">
        <w:r>
          <w:rPr>
            <w:rFonts w:ascii="Arial" w:cs="Arial" w:eastAsia="Arial" w:hAnsi="Arial"/>
            <w:sz w:val="14"/>
            <w:szCs w:val="14"/>
            <w:u w:val="single" w:color="auto"/>
            <w:color w:val="0000FF"/>
          </w:rPr>
          <w:t>Proprius, Inc. and the Company.</w:t>
        </w:r>
      </w:hyperlink>
    </w:p>
    <w:p>
      <w:pPr>
        <w:spacing w:after="0" w:line="28" w:lineRule="exact"/>
        <w:rPr>
          <w:rFonts w:ascii="Arial" w:cs="Arial" w:eastAsia="Arial" w:hAnsi="Arial"/>
          <w:sz w:val="14"/>
          <w:szCs w:val="14"/>
          <w:u w:val="single" w:color="auto"/>
          <w:color w:val="0000FF"/>
        </w:rPr>
      </w:pPr>
    </w:p>
    <w:p>
      <w:pPr>
        <w:ind w:left="820"/>
        <w:spacing w:after="0" w:line="201" w:lineRule="auto"/>
        <w:rPr>
          <w:rFonts w:ascii="Arial" w:cs="Arial" w:eastAsia="Arial" w:hAnsi="Arial"/>
          <w:sz w:val="14"/>
          <w:szCs w:val="14"/>
          <w:u w:val="single" w:color="auto"/>
          <w:color w:val="0000FF"/>
        </w:rPr>
      </w:pPr>
      <w:hyperlink r:id="rId171">
        <w:r>
          <w:rPr>
            <w:rFonts w:ascii="Arial" w:cs="Arial" w:eastAsia="Arial" w:hAnsi="Arial"/>
            <w:sz w:val="14"/>
            <w:szCs w:val="14"/>
            <w:u w:val="single" w:color="auto"/>
            <w:color w:val="0000FF"/>
          </w:rPr>
          <w:t>Amended and Restated Exclusive License</w:t>
        </w:r>
      </w:hyperlink>
      <w:r>
        <w:rPr>
          <w:rFonts w:ascii="Arial" w:cs="Arial" w:eastAsia="Arial" w:hAnsi="Arial"/>
          <w:sz w:val="14"/>
          <w:szCs w:val="14"/>
          <w:u w:val="single" w:color="auto"/>
          <w:color w:val="0000FF"/>
        </w:rPr>
        <w:t xml:space="preserve"> </w:t>
      </w:r>
      <w:hyperlink r:id="rId171">
        <w:r>
          <w:rPr>
            <w:rFonts w:ascii="Arial" w:cs="Arial" w:eastAsia="Arial" w:hAnsi="Arial"/>
            <w:sz w:val="14"/>
            <w:szCs w:val="14"/>
            <w:u w:val="single" w:color="auto"/>
            <w:color w:val="0000FF"/>
          </w:rPr>
          <w:t>Agreement, dated August 2, 2011, by and</w:t>
        </w:r>
      </w:hyperlink>
      <w:r>
        <w:rPr>
          <w:rFonts w:ascii="Arial" w:cs="Arial" w:eastAsia="Arial" w:hAnsi="Arial"/>
          <w:sz w:val="14"/>
          <w:szCs w:val="14"/>
          <w:u w:val="single" w:color="auto"/>
          <w:color w:val="0000FF"/>
        </w:rPr>
        <w:t xml:space="preserve"> </w:t>
      </w:r>
      <w:hyperlink r:id="rId171">
        <w:r>
          <w:rPr>
            <w:rFonts w:ascii="Arial" w:cs="Arial" w:eastAsia="Arial" w:hAnsi="Arial"/>
            <w:sz w:val="14"/>
            <w:szCs w:val="14"/>
            <w:u w:val="single" w:color="auto"/>
            <w:color w:val="0000FF"/>
          </w:rPr>
          <w:t>between the University of Pittsburgh-Of the</w:t>
        </w:r>
      </w:hyperlink>
      <w:r>
        <w:rPr>
          <w:rFonts w:ascii="Arial" w:cs="Arial" w:eastAsia="Arial" w:hAnsi="Arial"/>
          <w:sz w:val="14"/>
          <w:szCs w:val="14"/>
          <w:u w:val="single" w:color="auto"/>
          <w:color w:val="0000FF"/>
        </w:rPr>
        <w:t xml:space="preserve"> </w:t>
      </w:r>
      <w:hyperlink r:id="rId171">
        <w:r>
          <w:rPr>
            <w:rFonts w:ascii="Arial" w:cs="Arial" w:eastAsia="Arial" w:hAnsi="Arial"/>
            <w:sz w:val="14"/>
            <w:szCs w:val="14"/>
            <w:u w:val="single" w:color="auto"/>
            <w:color w:val="0000FF"/>
          </w:rPr>
          <w:t>Commonwealth System of Higher Education and</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10.17†</w:t>
      </w:r>
      <w:r>
        <w:rPr>
          <w:sz w:val="20"/>
          <w:szCs w:val="20"/>
          <w:color w:val="auto"/>
        </w:rPr>
        <w:tab/>
      </w:r>
      <w:hyperlink r:id="rId171">
        <w:r>
          <w:rPr>
            <w:rFonts w:ascii="Arial" w:cs="Arial" w:eastAsia="Arial" w:hAnsi="Arial"/>
            <w:sz w:val="14"/>
            <w:szCs w:val="14"/>
            <w:u w:val="single" w:color="auto"/>
            <w:color w:val="0000FF"/>
          </w:rPr>
          <w:t>the Company.</w:t>
        </w:r>
      </w:hyperlink>
    </w:p>
    <w:p>
      <w:pPr>
        <w:spacing w:after="0" w:line="28" w:lineRule="exact"/>
        <w:rPr>
          <w:rFonts w:ascii="Arial" w:cs="Arial" w:eastAsia="Arial" w:hAnsi="Arial"/>
          <w:sz w:val="14"/>
          <w:szCs w:val="14"/>
          <w:u w:val="single" w:color="auto"/>
          <w:color w:val="0000FF"/>
        </w:rPr>
      </w:pPr>
    </w:p>
    <w:p>
      <w:pPr>
        <w:ind w:left="820" w:right="220"/>
        <w:spacing w:after="0" w:line="201" w:lineRule="auto"/>
        <w:rPr>
          <w:rFonts w:ascii="Arial" w:cs="Arial" w:eastAsia="Arial" w:hAnsi="Arial"/>
          <w:sz w:val="14"/>
          <w:szCs w:val="14"/>
          <w:u w:val="single" w:color="auto"/>
          <w:color w:val="0000FF"/>
        </w:rPr>
      </w:pPr>
      <w:hyperlink r:id="rId172">
        <w:r>
          <w:rPr>
            <w:rFonts w:ascii="Arial" w:cs="Arial" w:eastAsia="Arial" w:hAnsi="Arial"/>
            <w:sz w:val="14"/>
            <w:szCs w:val="14"/>
            <w:u w:val="single" w:color="auto"/>
            <w:color w:val="0000FF"/>
          </w:rPr>
          <w:t>First Amendment to Amended and Restated</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Exclusive License Agreement, dated May 17,</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2012, by and between the University of</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Pittsburgh-Of the Commonwealth System of</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10.18†</w:t>
      </w:r>
      <w:r>
        <w:rPr>
          <w:sz w:val="20"/>
          <w:szCs w:val="20"/>
          <w:color w:val="auto"/>
        </w:rPr>
        <w:tab/>
      </w:r>
      <w:hyperlink r:id="rId172">
        <w:r>
          <w:rPr>
            <w:rFonts w:ascii="Arial" w:cs="Arial" w:eastAsia="Arial" w:hAnsi="Arial"/>
            <w:sz w:val="14"/>
            <w:szCs w:val="14"/>
            <w:u w:val="single" w:color="auto"/>
            <w:color w:val="0000FF"/>
          </w:rPr>
          <w:t>Higher Education and the Company.</w:t>
        </w:r>
      </w:hyperlink>
    </w:p>
    <w:p>
      <w:pPr>
        <w:spacing w:after="0" w:line="28" w:lineRule="exact"/>
        <w:rPr>
          <w:rFonts w:ascii="Arial" w:cs="Arial" w:eastAsia="Arial" w:hAnsi="Arial"/>
          <w:sz w:val="14"/>
          <w:szCs w:val="14"/>
          <w:u w:val="single" w:color="auto"/>
          <w:color w:val="0000FF"/>
        </w:rPr>
      </w:pPr>
    </w:p>
    <w:p>
      <w:pPr>
        <w:ind w:left="820" w:right="40"/>
        <w:spacing w:after="0" w:line="201" w:lineRule="auto"/>
        <w:rPr>
          <w:rFonts w:ascii="Arial" w:cs="Arial" w:eastAsia="Arial" w:hAnsi="Arial"/>
          <w:sz w:val="14"/>
          <w:szCs w:val="14"/>
          <w:u w:val="single" w:color="auto"/>
          <w:color w:val="0000FF"/>
        </w:rPr>
      </w:pPr>
      <w:hyperlink r:id="rId173">
        <w:r>
          <w:rPr>
            <w:rFonts w:ascii="Arial" w:cs="Arial" w:eastAsia="Arial" w:hAnsi="Arial"/>
            <w:sz w:val="14"/>
            <w:szCs w:val="14"/>
            <w:u w:val="single" w:color="auto"/>
            <w:color w:val="0000FF"/>
          </w:rPr>
          <w:t>Second Amendment to Amended and Restated</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Exclusive License Agreement, dated September</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30, 2013, by and between the University of</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Pittsburgh-Of the Commonwealth System of</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10.19†</w:t>
      </w:r>
      <w:r>
        <w:rPr>
          <w:sz w:val="20"/>
          <w:szCs w:val="20"/>
          <w:color w:val="auto"/>
        </w:rPr>
        <w:tab/>
      </w:r>
      <w:hyperlink r:id="rId173">
        <w:r>
          <w:rPr>
            <w:rFonts w:ascii="Arial" w:cs="Arial" w:eastAsia="Arial" w:hAnsi="Arial"/>
            <w:sz w:val="14"/>
            <w:szCs w:val="14"/>
            <w:u w:val="single" w:color="auto"/>
            <w:color w:val="0000FF"/>
          </w:rPr>
          <w:t>Higher Education and the Company.</w:t>
        </w:r>
      </w:hyperlink>
    </w:p>
    <w:p>
      <w:pPr>
        <w:spacing w:after="0" w:line="28" w:lineRule="exact"/>
        <w:rPr>
          <w:rFonts w:ascii="Arial" w:cs="Arial" w:eastAsia="Arial" w:hAnsi="Arial"/>
          <w:sz w:val="14"/>
          <w:szCs w:val="14"/>
          <w:u w:val="single" w:color="auto"/>
          <w:color w:val="0000FF"/>
        </w:rPr>
      </w:pPr>
    </w:p>
    <w:p>
      <w:pPr>
        <w:ind w:left="820" w:right="180"/>
        <w:spacing w:after="0" w:line="201" w:lineRule="auto"/>
        <w:rPr>
          <w:rFonts w:ascii="Arial" w:cs="Arial" w:eastAsia="Arial" w:hAnsi="Arial"/>
          <w:sz w:val="14"/>
          <w:szCs w:val="14"/>
          <w:u w:val="single" w:color="auto"/>
          <w:color w:val="0000FF"/>
        </w:rPr>
      </w:pPr>
      <w:hyperlink r:id="rId174">
        <w:r>
          <w:rPr>
            <w:rFonts w:ascii="Arial" w:cs="Arial" w:eastAsia="Arial" w:hAnsi="Arial"/>
            <w:sz w:val="14"/>
            <w:szCs w:val="14"/>
            <w:u w:val="single" w:color="auto"/>
            <w:color w:val="0000FF"/>
          </w:rPr>
          <w:t>Third Amendment to Amended and Restated</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Exclusive License Agreement, dated June 24,</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2016, by and between the University of</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Pittsburgh-Of the Commonwealth System of</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10.20</w:t>
      </w:r>
      <w:r>
        <w:rPr>
          <w:sz w:val="20"/>
          <w:szCs w:val="20"/>
          <w:color w:val="auto"/>
        </w:rPr>
        <w:tab/>
      </w:r>
      <w:hyperlink r:id="rId174">
        <w:r>
          <w:rPr>
            <w:rFonts w:ascii="Arial" w:cs="Arial" w:eastAsia="Arial" w:hAnsi="Arial"/>
            <w:sz w:val="14"/>
            <w:szCs w:val="14"/>
            <w:u w:val="single" w:color="auto"/>
            <w:color w:val="0000FF"/>
          </w:rPr>
          <w:t>Higher Education and the Company.</w:t>
        </w:r>
      </w:hyperlink>
    </w:p>
    <w:p>
      <w:pPr>
        <w:spacing w:after="0" w:line="28" w:lineRule="exact"/>
        <w:rPr>
          <w:rFonts w:ascii="Arial" w:cs="Arial" w:eastAsia="Arial" w:hAnsi="Arial"/>
          <w:sz w:val="14"/>
          <w:szCs w:val="14"/>
          <w:u w:val="single" w:color="auto"/>
          <w:color w:val="0000FF"/>
        </w:rPr>
      </w:pPr>
    </w:p>
    <w:p>
      <w:pPr>
        <w:ind w:left="820" w:right="40"/>
        <w:spacing w:after="0" w:line="201" w:lineRule="auto"/>
        <w:rPr>
          <w:rFonts w:ascii="Arial" w:cs="Arial" w:eastAsia="Arial" w:hAnsi="Arial"/>
          <w:sz w:val="14"/>
          <w:szCs w:val="14"/>
          <w:u w:val="single" w:color="auto"/>
          <w:color w:val="0000FF"/>
        </w:rPr>
      </w:pPr>
      <w:hyperlink r:id="rId175">
        <w:r>
          <w:rPr>
            <w:rFonts w:ascii="Arial" w:cs="Arial" w:eastAsia="Arial" w:hAnsi="Arial"/>
            <w:sz w:val="14"/>
            <w:szCs w:val="14"/>
            <w:u w:val="single" w:color="auto"/>
            <w:color w:val="0000FF"/>
          </w:rPr>
          <w:t>Exclusive License Agreement, dated September</w:t>
        </w:r>
      </w:hyperlink>
      <w:r>
        <w:rPr>
          <w:rFonts w:ascii="Arial" w:cs="Arial" w:eastAsia="Arial" w:hAnsi="Arial"/>
          <w:sz w:val="14"/>
          <w:szCs w:val="14"/>
          <w:u w:val="single" w:color="auto"/>
          <w:color w:val="0000FF"/>
        </w:rPr>
        <w:t xml:space="preserve"> </w:t>
      </w:r>
      <w:hyperlink r:id="rId175">
        <w:r>
          <w:rPr>
            <w:rFonts w:ascii="Arial" w:cs="Arial" w:eastAsia="Arial" w:hAnsi="Arial"/>
            <w:sz w:val="14"/>
            <w:szCs w:val="14"/>
            <w:u w:val="single" w:color="auto"/>
            <w:color w:val="0000FF"/>
          </w:rPr>
          <w:t>30, 2013, by and between the University of</w:t>
        </w:r>
      </w:hyperlink>
      <w:r>
        <w:rPr>
          <w:rFonts w:ascii="Arial" w:cs="Arial" w:eastAsia="Arial" w:hAnsi="Arial"/>
          <w:sz w:val="14"/>
          <w:szCs w:val="14"/>
          <w:u w:val="single" w:color="auto"/>
          <w:color w:val="0000FF"/>
        </w:rPr>
        <w:t xml:space="preserve"> </w:t>
      </w:r>
      <w:hyperlink r:id="rId175">
        <w:r>
          <w:rPr>
            <w:rFonts w:ascii="Arial" w:cs="Arial" w:eastAsia="Arial" w:hAnsi="Arial"/>
            <w:sz w:val="14"/>
            <w:szCs w:val="14"/>
            <w:u w:val="single" w:color="auto"/>
            <w:color w:val="0000FF"/>
          </w:rPr>
          <w:t>Pittsburgh-Of the Commonwealth System of</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10.21†</w:t>
      </w:r>
      <w:r>
        <w:rPr>
          <w:sz w:val="20"/>
          <w:szCs w:val="20"/>
          <w:color w:val="auto"/>
        </w:rPr>
        <w:tab/>
      </w:r>
      <w:hyperlink r:id="rId175">
        <w:r>
          <w:rPr>
            <w:rFonts w:ascii="Arial" w:cs="Arial" w:eastAsia="Arial" w:hAnsi="Arial"/>
            <w:sz w:val="14"/>
            <w:szCs w:val="14"/>
            <w:u w:val="single" w:color="auto"/>
            <w:color w:val="0000FF"/>
          </w:rPr>
          <w:t>Higher Education and the Company.</w:t>
        </w:r>
      </w:hyperlink>
    </w:p>
    <w:p>
      <w:pPr>
        <w:spacing w:after="0" w:line="28" w:lineRule="exact"/>
        <w:rPr>
          <w:rFonts w:ascii="Arial" w:cs="Arial" w:eastAsia="Arial" w:hAnsi="Arial"/>
          <w:sz w:val="14"/>
          <w:szCs w:val="14"/>
          <w:u w:val="single" w:color="auto"/>
          <w:color w:val="0000FF"/>
        </w:rPr>
      </w:pPr>
    </w:p>
    <w:p>
      <w:pPr>
        <w:jc w:val="both"/>
        <w:ind w:left="820"/>
        <w:spacing w:after="0" w:line="201" w:lineRule="auto"/>
        <w:rPr>
          <w:rFonts w:ascii="Arial" w:cs="Arial" w:eastAsia="Arial" w:hAnsi="Arial"/>
          <w:sz w:val="14"/>
          <w:szCs w:val="14"/>
          <w:u w:val="single" w:color="auto"/>
          <w:color w:val="0000FF"/>
        </w:rPr>
      </w:pPr>
      <w:hyperlink r:id="rId176">
        <w:r>
          <w:rPr>
            <w:rFonts w:ascii="Arial" w:cs="Arial" w:eastAsia="Arial" w:hAnsi="Arial"/>
            <w:sz w:val="14"/>
            <w:szCs w:val="14"/>
            <w:u w:val="single" w:color="auto"/>
            <w:color w:val="0000FF"/>
          </w:rPr>
          <w:t>Exclusive License Agreement, dated September</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5, 2011, by and between Thierry Dervieux, Ph.D.</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10.22†</w:t>
      </w:r>
      <w:r>
        <w:rPr>
          <w:sz w:val="20"/>
          <w:szCs w:val="20"/>
          <w:color w:val="auto"/>
        </w:rPr>
        <w:tab/>
      </w:r>
      <w:hyperlink r:id="rId176">
        <w:r>
          <w:rPr>
            <w:rFonts w:ascii="Arial" w:cs="Arial" w:eastAsia="Arial" w:hAnsi="Arial"/>
            <w:sz w:val="14"/>
            <w:szCs w:val="14"/>
            <w:u w:val="single" w:color="auto"/>
            <w:color w:val="0000FF"/>
          </w:rPr>
          <w:t>and the Company.</w:t>
        </w:r>
      </w:hyperlink>
    </w:p>
    <w:p>
      <w:pPr>
        <w:spacing w:after="0" w:line="28" w:lineRule="exact"/>
        <w:rPr>
          <w:sz w:val="20"/>
          <w:szCs w:val="20"/>
          <w:color w:val="auto"/>
        </w:rPr>
      </w:pPr>
    </w:p>
    <w:p>
      <w:pPr>
        <w:ind w:left="820"/>
        <w:spacing w:after="0" w:line="201" w:lineRule="auto"/>
        <w:rPr>
          <w:rFonts w:ascii="Arial" w:cs="Arial" w:eastAsia="Arial" w:hAnsi="Arial"/>
          <w:sz w:val="14"/>
          <w:szCs w:val="14"/>
          <w:u w:val="single" w:color="auto"/>
          <w:color w:val="0000FF"/>
        </w:rPr>
      </w:pPr>
      <w:hyperlink r:id="rId177">
        <w:r>
          <w:rPr>
            <w:rFonts w:ascii="Arial" w:cs="Arial" w:eastAsia="Arial" w:hAnsi="Arial"/>
            <w:sz w:val="14"/>
            <w:szCs w:val="14"/>
            <w:u w:val="single" w:color="auto"/>
            <w:color w:val="0000FF"/>
          </w:rPr>
          <w:t>Co-Promotion Agreement, dated December 10,</w:t>
        </w:r>
      </w:hyperlink>
      <w:r>
        <w:rPr>
          <w:rFonts w:ascii="Arial" w:cs="Arial" w:eastAsia="Arial" w:hAnsi="Arial"/>
          <w:sz w:val="14"/>
          <w:szCs w:val="14"/>
          <w:u w:val="single" w:color="auto"/>
          <w:color w:val="0000FF"/>
        </w:rPr>
        <w:t xml:space="preserve"> </w:t>
      </w:r>
      <w:hyperlink r:id="rId177">
        <w:r>
          <w:rPr>
            <w:rFonts w:ascii="Arial" w:cs="Arial" w:eastAsia="Arial" w:hAnsi="Arial"/>
            <w:sz w:val="14"/>
            <w:szCs w:val="14"/>
            <w:u w:val="single" w:color="auto"/>
            <w:color w:val="0000FF"/>
          </w:rPr>
          <w:t>2018, by and between Janssen Biotech, Inc. and</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10.23†</w:t>
      </w:r>
      <w:r>
        <w:rPr>
          <w:sz w:val="20"/>
          <w:szCs w:val="20"/>
          <w:color w:val="auto"/>
        </w:rPr>
        <w:tab/>
      </w:r>
      <w:hyperlink r:id="rId177">
        <w:r>
          <w:rPr>
            <w:rFonts w:ascii="Arial" w:cs="Arial" w:eastAsia="Arial" w:hAnsi="Arial"/>
            <w:sz w:val="14"/>
            <w:szCs w:val="14"/>
            <w:u w:val="single" w:color="auto"/>
            <w:color w:val="0000FF"/>
          </w:rPr>
          <w:t>the Company.</w:t>
        </w:r>
      </w:hyperlink>
    </w:p>
    <w:p>
      <w:pPr>
        <w:spacing w:after="0" w:line="28" w:lineRule="exact"/>
        <w:rPr>
          <w:sz w:val="20"/>
          <w:szCs w:val="20"/>
          <w:color w:val="auto"/>
        </w:rPr>
      </w:pPr>
    </w:p>
    <w:p>
      <w:pPr>
        <w:ind w:left="820" w:right="40"/>
        <w:spacing w:after="0" w:line="201" w:lineRule="auto"/>
        <w:rPr>
          <w:rFonts w:ascii="Arial" w:cs="Arial" w:eastAsia="Arial" w:hAnsi="Arial"/>
          <w:sz w:val="14"/>
          <w:szCs w:val="14"/>
          <w:u w:val="single" w:color="auto"/>
          <w:color w:val="0000FF"/>
        </w:rPr>
      </w:pPr>
      <w:hyperlink r:id="rId178">
        <w:r>
          <w:rPr>
            <w:rFonts w:ascii="Arial" w:cs="Arial" w:eastAsia="Arial" w:hAnsi="Arial"/>
            <w:sz w:val="14"/>
            <w:szCs w:val="14"/>
            <w:u w:val="single" w:color="auto"/>
            <w:color w:val="0000FF"/>
          </w:rPr>
          <w:t>Amendment #1 to Co-Promotion Agreement,</w:t>
        </w:r>
      </w:hyperlink>
      <w:r>
        <w:rPr>
          <w:rFonts w:ascii="Arial" w:cs="Arial" w:eastAsia="Arial" w:hAnsi="Arial"/>
          <w:sz w:val="14"/>
          <w:szCs w:val="14"/>
          <w:u w:val="single" w:color="auto"/>
          <w:color w:val="0000FF"/>
        </w:rPr>
        <w:t xml:space="preserve"> </w:t>
      </w:r>
      <w:hyperlink r:id="rId178">
        <w:r>
          <w:rPr>
            <w:rFonts w:ascii="Arial" w:cs="Arial" w:eastAsia="Arial" w:hAnsi="Arial"/>
            <w:sz w:val="14"/>
            <w:szCs w:val="14"/>
            <w:u w:val="single" w:color="auto"/>
            <w:color w:val="0000FF"/>
          </w:rPr>
          <w:t>dated January 1, 2019 by and between Janssen</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10.24†</w:t>
      </w:r>
      <w:r>
        <w:rPr>
          <w:sz w:val="20"/>
          <w:szCs w:val="20"/>
          <w:color w:val="auto"/>
        </w:rPr>
        <w:tab/>
      </w:r>
      <w:hyperlink r:id="rId178">
        <w:r>
          <w:rPr>
            <w:rFonts w:ascii="Arial" w:cs="Arial" w:eastAsia="Arial" w:hAnsi="Arial"/>
            <w:sz w:val="14"/>
            <w:szCs w:val="14"/>
            <w:u w:val="single" w:color="auto"/>
            <w:color w:val="0000FF"/>
          </w:rPr>
          <w:t>Biotech, Inc. and the Company.</w:t>
        </w:r>
      </w:hyperlink>
    </w:p>
    <w:p>
      <w:pPr>
        <w:spacing w:after="0" w:line="28" w:lineRule="exact"/>
        <w:rPr>
          <w:sz w:val="20"/>
          <w:szCs w:val="20"/>
          <w:color w:val="auto"/>
        </w:rPr>
      </w:pPr>
    </w:p>
    <w:p>
      <w:pPr>
        <w:ind w:left="820" w:right="160"/>
        <w:spacing w:after="0" w:line="201" w:lineRule="auto"/>
        <w:rPr>
          <w:rFonts w:ascii="Arial" w:cs="Arial" w:eastAsia="Arial" w:hAnsi="Arial"/>
          <w:sz w:val="14"/>
          <w:szCs w:val="14"/>
          <w:u w:val="single" w:color="auto"/>
          <w:color w:val="0000FF"/>
        </w:rPr>
      </w:pPr>
      <w:hyperlink r:id="rId179">
        <w:r>
          <w:rPr>
            <w:rFonts w:ascii="Arial" w:cs="Arial" w:eastAsia="Arial" w:hAnsi="Arial"/>
            <w:sz w:val="14"/>
            <w:szCs w:val="14"/>
            <w:u w:val="single" w:color="auto"/>
            <w:color w:val="0000FF"/>
          </w:rPr>
          <w:t>Amendment #2 to Co-Promotion Agreement,</w:t>
        </w:r>
      </w:hyperlink>
      <w:r>
        <w:rPr>
          <w:rFonts w:ascii="Arial" w:cs="Arial" w:eastAsia="Arial" w:hAnsi="Arial"/>
          <w:sz w:val="14"/>
          <w:szCs w:val="14"/>
          <w:u w:val="single" w:color="auto"/>
          <w:color w:val="0000FF"/>
        </w:rPr>
        <w:t xml:space="preserve"> </w:t>
      </w:r>
      <w:hyperlink r:id="rId179">
        <w:r>
          <w:rPr>
            <w:rFonts w:ascii="Arial" w:cs="Arial" w:eastAsia="Arial" w:hAnsi="Arial"/>
            <w:sz w:val="14"/>
            <w:szCs w:val="14"/>
            <w:u w:val="single" w:color="auto"/>
            <w:color w:val="0000FF"/>
          </w:rPr>
          <w:t>dated June 18, 2020 by and between Janssen</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10.25†</w:t>
      </w:r>
      <w:r>
        <w:rPr>
          <w:sz w:val="20"/>
          <w:szCs w:val="20"/>
          <w:color w:val="auto"/>
        </w:rPr>
        <w:tab/>
      </w:r>
      <w:hyperlink r:id="rId179">
        <w:r>
          <w:rPr>
            <w:rFonts w:ascii="Arial" w:cs="Arial" w:eastAsia="Arial" w:hAnsi="Arial"/>
            <w:sz w:val="14"/>
            <w:szCs w:val="14"/>
            <w:u w:val="single" w:color="auto"/>
            <w:color w:val="0000FF"/>
          </w:rPr>
          <w:t>Biotech, Inc. and the Company.</w:t>
        </w:r>
      </w:hyperlink>
    </w:p>
    <w:p>
      <w:pPr>
        <w:spacing w:after="0" w:line="28" w:lineRule="exact"/>
        <w:rPr>
          <w:sz w:val="20"/>
          <w:szCs w:val="20"/>
          <w:color w:val="auto"/>
        </w:rPr>
      </w:pPr>
    </w:p>
    <w:p>
      <w:pPr>
        <w:ind w:left="820" w:right="260"/>
        <w:spacing w:after="0" w:line="201" w:lineRule="auto"/>
        <w:rPr>
          <w:rFonts w:ascii="Arial" w:cs="Arial" w:eastAsia="Arial" w:hAnsi="Arial"/>
          <w:sz w:val="14"/>
          <w:szCs w:val="14"/>
          <w:u w:val="single" w:color="auto"/>
          <w:color w:val="0000FF"/>
        </w:rPr>
      </w:pPr>
      <w:hyperlink r:id="rId180">
        <w:r>
          <w:rPr>
            <w:rFonts w:ascii="Arial" w:cs="Arial" w:eastAsia="Arial" w:hAnsi="Arial"/>
            <w:sz w:val="14"/>
            <w:szCs w:val="14"/>
            <w:u w:val="single" w:color="auto"/>
            <w:color w:val="0000FF"/>
          </w:rPr>
          <w:t>Amendment #3 to Co-Promotion Agreement,</w:t>
        </w:r>
      </w:hyperlink>
      <w:r>
        <w:rPr>
          <w:rFonts w:ascii="Arial" w:cs="Arial" w:eastAsia="Arial" w:hAnsi="Arial"/>
          <w:sz w:val="14"/>
          <w:szCs w:val="14"/>
          <w:u w:val="single" w:color="auto"/>
          <w:color w:val="0000FF"/>
        </w:rPr>
        <w:t xml:space="preserve"> </w:t>
      </w:r>
      <w:hyperlink r:id="rId180">
        <w:r>
          <w:rPr>
            <w:rFonts w:ascii="Arial" w:cs="Arial" w:eastAsia="Arial" w:hAnsi="Arial"/>
            <w:sz w:val="14"/>
            <w:szCs w:val="14"/>
            <w:u w:val="single" w:color="auto"/>
            <w:color w:val="0000FF"/>
          </w:rPr>
          <w:t>dated December 23, 2020 by and between</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10.26†</w:t>
      </w:r>
      <w:r>
        <w:rPr>
          <w:sz w:val="20"/>
          <w:szCs w:val="20"/>
          <w:color w:val="auto"/>
        </w:rPr>
        <w:tab/>
      </w:r>
      <w:hyperlink r:id="rId180">
        <w:r>
          <w:rPr>
            <w:rFonts w:ascii="Arial" w:cs="Arial" w:eastAsia="Arial" w:hAnsi="Arial"/>
            <w:sz w:val="14"/>
            <w:szCs w:val="14"/>
            <w:u w:val="single" w:color="auto"/>
            <w:color w:val="0000FF"/>
          </w:rPr>
          <w:t>Janssen Biotech, Inc. and the Company.</w:t>
        </w:r>
      </w:hyperlink>
    </w:p>
    <w:p>
      <w:pPr>
        <w:spacing w:after="0" w:line="28" w:lineRule="exact"/>
        <w:rPr>
          <w:sz w:val="20"/>
          <w:szCs w:val="20"/>
          <w:color w:val="auto"/>
        </w:rPr>
      </w:pPr>
    </w:p>
    <w:p>
      <w:pPr>
        <w:ind w:left="820" w:right="160"/>
        <w:spacing w:after="0" w:line="201" w:lineRule="auto"/>
        <w:rPr>
          <w:rFonts w:ascii="Arial" w:cs="Arial" w:eastAsia="Arial" w:hAnsi="Arial"/>
          <w:sz w:val="14"/>
          <w:szCs w:val="14"/>
          <w:u w:val="single" w:color="auto"/>
          <w:color w:val="0000FF"/>
        </w:rPr>
      </w:pPr>
      <w:hyperlink r:id="rId181">
        <w:r>
          <w:rPr>
            <w:rFonts w:ascii="Arial" w:cs="Arial" w:eastAsia="Arial" w:hAnsi="Arial"/>
            <w:sz w:val="14"/>
            <w:szCs w:val="14"/>
            <w:u w:val="single" w:color="auto"/>
            <w:color w:val="0000FF"/>
          </w:rPr>
          <w:t>Amendment #4 to Co-Promotion Agreement,</w:t>
        </w:r>
      </w:hyperlink>
      <w:r>
        <w:rPr>
          <w:rFonts w:ascii="Arial" w:cs="Arial" w:eastAsia="Arial" w:hAnsi="Arial"/>
          <w:sz w:val="14"/>
          <w:szCs w:val="14"/>
          <w:u w:val="single" w:color="auto"/>
          <w:color w:val="0000FF"/>
        </w:rPr>
        <w:t xml:space="preserve"> </w:t>
      </w:r>
      <w:hyperlink r:id="rId181">
        <w:r>
          <w:rPr>
            <w:rFonts w:ascii="Arial" w:cs="Arial" w:eastAsia="Arial" w:hAnsi="Arial"/>
            <w:sz w:val="14"/>
            <w:szCs w:val="14"/>
            <w:u w:val="single" w:color="auto"/>
            <w:color w:val="0000FF"/>
          </w:rPr>
          <w:t>dated June 30, 2021 by and between Janssen</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10.27†</w:t>
      </w:r>
      <w:r>
        <w:rPr>
          <w:sz w:val="20"/>
          <w:szCs w:val="20"/>
          <w:color w:val="auto"/>
        </w:rPr>
        <w:tab/>
      </w:r>
      <w:hyperlink r:id="rId181">
        <w:r>
          <w:rPr>
            <w:rFonts w:ascii="Arial" w:cs="Arial" w:eastAsia="Arial" w:hAnsi="Arial"/>
            <w:sz w:val="14"/>
            <w:szCs w:val="14"/>
            <w:u w:val="single" w:color="auto"/>
            <w:color w:val="0000FF"/>
          </w:rPr>
          <w:t>Biotech, Inc. and the Company.</w:t>
        </w:r>
      </w:hyperlink>
    </w:p>
    <w:p>
      <w:pPr>
        <w:spacing w:after="0" w:line="28" w:lineRule="exact"/>
        <w:rPr>
          <w:sz w:val="20"/>
          <w:szCs w:val="20"/>
          <w:color w:val="auto"/>
        </w:rPr>
      </w:pPr>
    </w:p>
    <w:p>
      <w:pPr>
        <w:ind w:left="820" w:right="20"/>
        <w:spacing w:after="0" w:line="201" w:lineRule="auto"/>
        <w:rPr>
          <w:rFonts w:ascii="Arial" w:cs="Arial" w:eastAsia="Arial" w:hAnsi="Arial"/>
          <w:sz w:val="14"/>
          <w:szCs w:val="14"/>
          <w:u w:val="single" w:color="auto"/>
          <w:color w:val="0000FF"/>
        </w:rPr>
      </w:pPr>
      <w:hyperlink r:id="rId182">
        <w:r>
          <w:rPr>
            <w:rFonts w:ascii="Arial" w:cs="Arial" w:eastAsia="Arial" w:hAnsi="Arial"/>
            <w:sz w:val="14"/>
            <w:szCs w:val="14"/>
            <w:u w:val="single" w:color="auto"/>
            <w:color w:val="0000FF"/>
          </w:rPr>
          <w:t>Standard Industrial/Commercial Multi-Tenant</w:t>
        </w:r>
      </w:hyperlink>
      <w:r>
        <w:rPr>
          <w:rFonts w:ascii="Arial" w:cs="Arial" w:eastAsia="Arial" w:hAnsi="Arial"/>
          <w:sz w:val="14"/>
          <w:szCs w:val="14"/>
          <w:u w:val="single" w:color="auto"/>
          <w:color w:val="0000FF"/>
        </w:rPr>
        <w:t xml:space="preserve"> </w:t>
      </w:r>
      <w:hyperlink r:id="rId182">
        <w:r>
          <w:rPr>
            <w:rFonts w:ascii="Arial" w:cs="Arial" w:eastAsia="Arial" w:hAnsi="Arial"/>
            <w:sz w:val="14"/>
            <w:szCs w:val="14"/>
            <w:u w:val="single" w:color="auto"/>
            <w:color w:val="0000FF"/>
          </w:rPr>
          <w:t>Lease, dated January 13, 2012, by and between</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10.28</w:t>
      </w:r>
      <w:r>
        <w:rPr>
          <w:sz w:val="20"/>
          <w:szCs w:val="20"/>
          <w:color w:val="auto"/>
        </w:rPr>
        <w:tab/>
      </w:r>
      <w:hyperlink r:id="rId182">
        <w:r>
          <w:rPr>
            <w:rFonts w:ascii="Arial" w:cs="Arial" w:eastAsia="Arial" w:hAnsi="Arial"/>
            <w:sz w:val="14"/>
            <w:szCs w:val="14"/>
            <w:u w:val="single" w:color="auto"/>
            <w:color w:val="0000FF"/>
          </w:rPr>
          <w:t>RGS Properties and the Company.</w:t>
        </w:r>
      </w:hyperlink>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10.13</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10.14</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10.15</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10.16</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10.17</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10.18</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10.19</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10.20</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10.21</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10.22</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10.23</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10.24</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10.1</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7/28/2020</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10.2</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7/28/2020</w:t>
            </w:r>
          </w:p>
        </w:tc>
      </w:tr>
      <w:tr>
        <w:trPr>
          <w:trHeight w:val="459"/>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10.25</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3/16/2021</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10.1</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8/9/2021</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10.1</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7/28/2020</w:t>
            </w:r>
          </w:p>
        </w:tc>
      </w:tr>
    </w:tbl>
    <w:p>
      <w:pPr>
        <w:spacing w:after="0" w:line="200" w:lineRule="exact"/>
        <w:rPr>
          <w:sz w:val="20"/>
          <w:szCs w:val="20"/>
          <w:color w:val="auto"/>
        </w:rPr>
      </w:pPr>
    </w:p>
    <w:p>
      <w:pPr>
        <w:sectPr>
          <w:pgSz w:w="11900" w:h="16838" w:orient="portrait"/>
          <w:cols w:equalWidth="0" w:num="2">
            <w:col w:w="3920" w:space="320"/>
            <w:col w:w="5039"/>
          </w:cols>
          <w:pgMar w:left="1180" w:top="954"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92710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54" w:right="1440" w:bottom="1440" w:gutter="0" w:footer="0" w:header="0"/>
          <w:type w:val="continuous"/>
        </w:sectPr>
      </w:pPr>
    </w:p>
    <w:bookmarkStart w:id="122" w:name="page123"/>
    <w:bookmarkEnd w:id="122"/>
    <w:p>
      <w:pPr>
        <w:ind w:left="820" w:right="20"/>
        <w:spacing w:after="0" w:line="201" w:lineRule="auto"/>
        <w:rPr>
          <w:rFonts w:ascii="Arial" w:cs="Arial" w:eastAsia="Arial" w:hAnsi="Arial"/>
          <w:sz w:val="14"/>
          <w:szCs w:val="14"/>
          <w:u w:val="single" w:color="auto"/>
          <w:color w:val="0000FF"/>
        </w:rPr>
      </w:pPr>
      <w:hyperlink r:id="rId184">
        <w:r>
          <w:rPr>
            <w:rFonts w:ascii="Arial" w:cs="Arial" w:eastAsia="Arial" w:hAnsi="Arial"/>
            <w:sz w:val="14"/>
            <w:szCs w:val="14"/>
            <w:u w:val="single" w:color="auto"/>
            <w:color w:val="0000FF"/>
          </w:rPr>
          <w:t>First Amendment to Standard</w:t>
        </w:r>
      </w:hyperlink>
      <w:r>
        <w:rPr>
          <w:rFonts w:ascii="Arial" w:cs="Arial" w:eastAsia="Arial" w:hAnsi="Arial"/>
          <w:sz w:val="14"/>
          <w:szCs w:val="14"/>
          <w:u w:val="single" w:color="auto"/>
          <w:color w:val="0000FF"/>
        </w:rPr>
        <w:t xml:space="preserve"> </w:t>
      </w:r>
      <w:hyperlink r:id="rId184">
        <w:r>
          <w:rPr>
            <w:rFonts w:ascii="Arial" w:cs="Arial" w:eastAsia="Arial" w:hAnsi="Arial"/>
            <w:sz w:val="14"/>
            <w:szCs w:val="14"/>
            <w:u w:val="single" w:color="auto"/>
            <w:color w:val="0000FF"/>
          </w:rPr>
          <w:t>Industrial/Commercial Multi-Tenant Lease, dated</w:t>
        </w:r>
      </w:hyperlink>
      <w:r>
        <w:rPr>
          <w:rFonts w:ascii="Arial" w:cs="Arial" w:eastAsia="Arial" w:hAnsi="Arial"/>
          <w:sz w:val="14"/>
          <w:szCs w:val="14"/>
          <w:u w:val="single" w:color="auto"/>
          <w:color w:val="0000FF"/>
        </w:rPr>
        <w:t xml:space="preserve"> </w:t>
      </w:r>
      <w:hyperlink r:id="rId184">
        <w:r>
          <w:rPr>
            <w:rFonts w:ascii="Arial" w:cs="Arial" w:eastAsia="Arial" w:hAnsi="Arial"/>
            <w:sz w:val="14"/>
            <w:szCs w:val="14"/>
            <w:u w:val="single" w:color="auto"/>
            <w:color w:val="0000FF"/>
          </w:rPr>
          <w:t>December 1, 2013, by and between RGS</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10.29</w:t>
      </w:r>
      <w:r>
        <w:rPr>
          <w:sz w:val="20"/>
          <w:szCs w:val="20"/>
          <w:color w:val="auto"/>
        </w:rPr>
        <w:tab/>
      </w:r>
      <w:hyperlink r:id="rId184">
        <w:r>
          <w:rPr>
            <w:rFonts w:ascii="Arial" w:cs="Arial" w:eastAsia="Arial" w:hAnsi="Arial"/>
            <w:sz w:val="14"/>
            <w:szCs w:val="14"/>
            <w:u w:val="single" w:color="auto"/>
            <w:color w:val="0000FF"/>
          </w:rPr>
          <w:t>Properties and the Company.</w:t>
        </w:r>
      </w:hyperlink>
    </w:p>
    <w:p>
      <w:pPr>
        <w:spacing w:after="0" w:line="28" w:lineRule="exact"/>
        <w:rPr>
          <w:rFonts w:ascii="Arial" w:cs="Arial" w:eastAsia="Arial" w:hAnsi="Arial"/>
          <w:sz w:val="14"/>
          <w:szCs w:val="14"/>
          <w:u w:val="single" w:color="auto"/>
          <w:color w:val="0000FF"/>
        </w:rPr>
      </w:pPr>
    </w:p>
    <w:p>
      <w:pPr>
        <w:ind w:left="820" w:right="20"/>
        <w:spacing w:after="0" w:line="201" w:lineRule="auto"/>
        <w:rPr>
          <w:rFonts w:ascii="Arial" w:cs="Arial" w:eastAsia="Arial" w:hAnsi="Arial"/>
          <w:sz w:val="14"/>
          <w:szCs w:val="14"/>
          <w:u w:val="single" w:color="auto"/>
          <w:color w:val="0000FF"/>
        </w:rPr>
      </w:pPr>
      <w:hyperlink r:id="rId185">
        <w:r>
          <w:rPr>
            <w:rFonts w:ascii="Arial" w:cs="Arial" w:eastAsia="Arial" w:hAnsi="Arial"/>
            <w:sz w:val="14"/>
            <w:szCs w:val="14"/>
            <w:u w:val="single" w:color="auto"/>
            <w:color w:val="0000FF"/>
          </w:rPr>
          <w:t>Second Amendment to Standard</w:t>
        </w:r>
      </w:hyperlink>
      <w:r>
        <w:rPr>
          <w:rFonts w:ascii="Arial" w:cs="Arial" w:eastAsia="Arial" w:hAnsi="Arial"/>
          <w:sz w:val="14"/>
          <w:szCs w:val="14"/>
          <w:u w:val="single" w:color="auto"/>
          <w:color w:val="0000FF"/>
        </w:rPr>
        <w:t xml:space="preserve"> </w:t>
      </w:r>
      <w:hyperlink r:id="rId185">
        <w:r>
          <w:rPr>
            <w:rFonts w:ascii="Arial" w:cs="Arial" w:eastAsia="Arial" w:hAnsi="Arial"/>
            <w:sz w:val="14"/>
            <w:szCs w:val="14"/>
            <w:u w:val="single" w:color="auto"/>
            <w:color w:val="0000FF"/>
          </w:rPr>
          <w:t>Industrial/Commercial Multi-Tenant Lease, dated</w:t>
        </w:r>
      </w:hyperlink>
      <w:r>
        <w:rPr>
          <w:rFonts w:ascii="Arial" w:cs="Arial" w:eastAsia="Arial" w:hAnsi="Arial"/>
          <w:sz w:val="14"/>
          <w:szCs w:val="14"/>
          <w:u w:val="single" w:color="auto"/>
          <w:color w:val="0000FF"/>
        </w:rPr>
        <w:t xml:space="preserve"> </w:t>
      </w:r>
      <w:hyperlink r:id="rId185">
        <w:r>
          <w:rPr>
            <w:rFonts w:ascii="Arial" w:cs="Arial" w:eastAsia="Arial" w:hAnsi="Arial"/>
            <w:sz w:val="14"/>
            <w:szCs w:val="14"/>
            <w:u w:val="single" w:color="auto"/>
            <w:color w:val="0000FF"/>
          </w:rPr>
          <w:t>April 29, 2016, by and between RGS Properties</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10.30</w:t>
      </w:r>
      <w:r>
        <w:rPr>
          <w:sz w:val="20"/>
          <w:szCs w:val="20"/>
          <w:color w:val="auto"/>
        </w:rPr>
        <w:tab/>
      </w:r>
      <w:hyperlink r:id="rId185">
        <w:r>
          <w:rPr>
            <w:rFonts w:ascii="Arial" w:cs="Arial" w:eastAsia="Arial" w:hAnsi="Arial"/>
            <w:sz w:val="14"/>
            <w:szCs w:val="14"/>
            <w:u w:val="single" w:color="auto"/>
            <w:color w:val="0000FF"/>
          </w:rPr>
          <w:t>and the Company.</w:t>
        </w:r>
      </w:hyperlink>
    </w:p>
    <w:p>
      <w:pPr>
        <w:spacing w:after="0" w:line="28" w:lineRule="exact"/>
        <w:rPr>
          <w:rFonts w:ascii="Arial" w:cs="Arial" w:eastAsia="Arial" w:hAnsi="Arial"/>
          <w:sz w:val="14"/>
          <w:szCs w:val="14"/>
          <w:u w:val="single" w:color="auto"/>
          <w:color w:val="0000FF"/>
        </w:rPr>
      </w:pPr>
    </w:p>
    <w:p>
      <w:pPr>
        <w:ind w:left="820" w:right="20"/>
        <w:spacing w:after="0" w:line="201" w:lineRule="auto"/>
        <w:rPr>
          <w:rFonts w:ascii="Arial" w:cs="Arial" w:eastAsia="Arial" w:hAnsi="Arial"/>
          <w:sz w:val="14"/>
          <w:szCs w:val="14"/>
          <w:u w:val="single" w:color="auto"/>
          <w:color w:val="0000FF"/>
        </w:rPr>
      </w:pPr>
      <w:hyperlink r:id="rId186">
        <w:r>
          <w:rPr>
            <w:rFonts w:ascii="Arial" w:cs="Arial" w:eastAsia="Arial" w:hAnsi="Arial"/>
            <w:sz w:val="14"/>
            <w:szCs w:val="14"/>
            <w:u w:val="single" w:color="auto"/>
            <w:color w:val="0000FF"/>
          </w:rPr>
          <w:t>Third Amendment to Standard</w:t>
        </w:r>
      </w:hyperlink>
      <w:r>
        <w:rPr>
          <w:rFonts w:ascii="Arial" w:cs="Arial" w:eastAsia="Arial" w:hAnsi="Arial"/>
          <w:sz w:val="14"/>
          <w:szCs w:val="14"/>
          <w:u w:val="single" w:color="auto"/>
          <w:color w:val="0000FF"/>
        </w:rPr>
        <w:t xml:space="preserve"> </w:t>
      </w:r>
      <w:hyperlink r:id="rId186">
        <w:r>
          <w:rPr>
            <w:rFonts w:ascii="Arial" w:cs="Arial" w:eastAsia="Arial" w:hAnsi="Arial"/>
            <w:sz w:val="14"/>
            <w:szCs w:val="14"/>
            <w:u w:val="single" w:color="auto"/>
            <w:color w:val="0000FF"/>
          </w:rPr>
          <w:t>Industrial/Commercial Multi-Tenant Lease, dated</w:t>
        </w:r>
      </w:hyperlink>
      <w:r>
        <w:rPr>
          <w:rFonts w:ascii="Arial" w:cs="Arial" w:eastAsia="Arial" w:hAnsi="Arial"/>
          <w:sz w:val="14"/>
          <w:szCs w:val="14"/>
          <w:u w:val="single" w:color="auto"/>
          <w:color w:val="0000FF"/>
        </w:rPr>
        <w:t xml:space="preserve"> </w:t>
      </w:r>
      <w:hyperlink r:id="rId186">
        <w:r>
          <w:rPr>
            <w:rFonts w:ascii="Arial" w:cs="Arial" w:eastAsia="Arial" w:hAnsi="Arial"/>
            <w:sz w:val="14"/>
            <w:szCs w:val="14"/>
            <w:u w:val="single" w:color="auto"/>
            <w:color w:val="0000FF"/>
          </w:rPr>
          <w:t>June 16, 2017, by and between RGS Properties</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10.31</w:t>
      </w:r>
      <w:r>
        <w:rPr>
          <w:sz w:val="20"/>
          <w:szCs w:val="20"/>
          <w:color w:val="auto"/>
        </w:rPr>
        <w:tab/>
      </w:r>
      <w:hyperlink r:id="rId186">
        <w:r>
          <w:rPr>
            <w:rFonts w:ascii="Arial" w:cs="Arial" w:eastAsia="Arial" w:hAnsi="Arial"/>
            <w:sz w:val="14"/>
            <w:szCs w:val="14"/>
            <w:u w:val="single" w:color="auto"/>
            <w:color w:val="0000FF"/>
          </w:rPr>
          <w:t>and the Company.</w:t>
        </w:r>
      </w:hyperlink>
    </w:p>
    <w:p>
      <w:pPr>
        <w:spacing w:after="0" w:line="28" w:lineRule="exact"/>
        <w:rPr>
          <w:rFonts w:ascii="Arial" w:cs="Arial" w:eastAsia="Arial" w:hAnsi="Arial"/>
          <w:sz w:val="14"/>
          <w:szCs w:val="14"/>
          <w:u w:val="single" w:color="auto"/>
          <w:color w:val="0000FF"/>
        </w:rPr>
      </w:pPr>
    </w:p>
    <w:p>
      <w:pPr>
        <w:ind w:left="820" w:right="20"/>
        <w:spacing w:after="0" w:line="201" w:lineRule="auto"/>
        <w:rPr>
          <w:rFonts w:ascii="Arial" w:cs="Arial" w:eastAsia="Arial" w:hAnsi="Arial"/>
          <w:sz w:val="14"/>
          <w:szCs w:val="14"/>
          <w:u w:val="single" w:color="auto"/>
          <w:color w:val="0000FF"/>
        </w:rPr>
      </w:pPr>
      <w:hyperlink r:id="rId187">
        <w:r>
          <w:rPr>
            <w:rFonts w:ascii="Arial" w:cs="Arial" w:eastAsia="Arial" w:hAnsi="Arial"/>
            <w:sz w:val="14"/>
            <w:szCs w:val="14"/>
            <w:u w:val="single" w:color="auto"/>
            <w:color w:val="0000FF"/>
          </w:rPr>
          <w:t>Fourth Amendment to Standard</w:t>
        </w:r>
      </w:hyperlink>
      <w:r>
        <w:rPr>
          <w:rFonts w:ascii="Arial" w:cs="Arial" w:eastAsia="Arial" w:hAnsi="Arial"/>
          <w:sz w:val="14"/>
          <w:szCs w:val="14"/>
          <w:u w:val="single" w:color="auto"/>
          <w:color w:val="0000FF"/>
        </w:rPr>
        <w:t xml:space="preserve"> </w:t>
      </w:r>
      <w:hyperlink r:id="rId187">
        <w:r>
          <w:rPr>
            <w:rFonts w:ascii="Arial" w:cs="Arial" w:eastAsia="Arial" w:hAnsi="Arial"/>
            <w:sz w:val="14"/>
            <w:szCs w:val="14"/>
            <w:u w:val="single" w:color="auto"/>
            <w:color w:val="0000FF"/>
          </w:rPr>
          <w:t>Industrial/Commercial Multi-Tenant Lease, dated</w:t>
        </w:r>
      </w:hyperlink>
      <w:r>
        <w:rPr>
          <w:rFonts w:ascii="Arial" w:cs="Arial" w:eastAsia="Arial" w:hAnsi="Arial"/>
          <w:sz w:val="14"/>
          <w:szCs w:val="14"/>
          <w:u w:val="single" w:color="auto"/>
          <w:color w:val="0000FF"/>
        </w:rPr>
        <w:t xml:space="preserve"> </w:t>
      </w:r>
      <w:hyperlink r:id="rId187">
        <w:r>
          <w:rPr>
            <w:rFonts w:ascii="Arial" w:cs="Arial" w:eastAsia="Arial" w:hAnsi="Arial"/>
            <w:sz w:val="14"/>
            <w:szCs w:val="14"/>
            <w:u w:val="single" w:color="auto"/>
            <w:color w:val="0000FF"/>
          </w:rPr>
          <w:t>March 16, 2020, by and between RGS</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10.32</w:t>
      </w:r>
      <w:r>
        <w:rPr>
          <w:sz w:val="20"/>
          <w:szCs w:val="20"/>
          <w:color w:val="auto"/>
        </w:rPr>
        <w:tab/>
      </w:r>
      <w:hyperlink r:id="rId187">
        <w:r>
          <w:rPr>
            <w:rFonts w:ascii="Arial" w:cs="Arial" w:eastAsia="Arial" w:hAnsi="Arial"/>
            <w:sz w:val="14"/>
            <w:szCs w:val="14"/>
            <w:u w:val="single" w:color="auto"/>
            <w:color w:val="0000FF"/>
          </w:rPr>
          <w:t>Properties and the Company.</w:t>
        </w:r>
      </w:hyperlink>
    </w:p>
    <w:p>
      <w:pPr>
        <w:spacing w:after="0" w:line="28" w:lineRule="exact"/>
        <w:rPr>
          <w:rFonts w:ascii="Arial" w:cs="Arial" w:eastAsia="Arial" w:hAnsi="Arial"/>
          <w:sz w:val="14"/>
          <w:szCs w:val="14"/>
          <w:u w:val="single" w:color="auto"/>
          <w:color w:val="0000FF"/>
        </w:rPr>
      </w:pPr>
    </w:p>
    <w:p>
      <w:pPr>
        <w:ind w:left="820" w:right="20"/>
        <w:spacing w:after="0" w:line="201" w:lineRule="auto"/>
        <w:rPr>
          <w:rFonts w:ascii="Arial" w:cs="Arial" w:eastAsia="Arial" w:hAnsi="Arial"/>
          <w:sz w:val="14"/>
          <w:szCs w:val="14"/>
          <w:u w:val="single" w:color="auto"/>
          <w:color w:val="0000FF"/>
        </w:rPr>
      </w:pPr>
      <w:hyperlink r:id="rId188">
        <w:r>
          <w:rPr>
            <w:rFonts w:ascii="Arial" w:cs="Arial" w:eastAsia="Arial" w:hAnsi="Arial"/>
            <w:sz w:val="14"/>
            <w:szCs w:val="14"/>
            <w:u w:val="single" w:color="auto"/>
            <w:color w:val="0000FF"/>
          </w:rPr>
          <w:t>Fifth Amendment to Standard</w:t>
        </w:r>
      </w:hyperlink>
      <w:r>
        <w:rPr>
          <w:rFonts w:ascii="Arial" w:cs="Arial" w:eastAsia="Arial" w:hAnsi="Arial"/>
          <w:sz w:val="14"/>
          <w:szCs w:val="14"/>
          <w:u w:val="single" w:color="auto"/>
          <w:color w:val="0000FF"/>
        </w:rPr>
        <w:t xml:space="preserve"> </w:t>
      </w:r>
      <w:hyperlink r:id="rId188">
        <w:r>
          <w:rPr>
            <w:rFonts w:ascii="Arial" w:cs="Arial" w:eastAsia="Arial" w:hAnsi="Arial"/>
            <w:sz w:val="14"/>
            <w:szCs w:val="14"/>
            <w:u w:val="single" w:color="auto"/>
            <w:color w:val="0000FF"/>
          </w:rPr>
          <w:t>Industrial/Commercial Multi-Tenant Lease, dated</w:t>
        </w:r>
      </w:hyperlink>
      <w:r>
        <w:rPr>
          <w:rFonts w:ascii="Arial" w:cs="Arial" w:eastAsia="Arial" w:hAnsi="Arial"/>
          <w:sz w:val="14"/>
          <w:szCs w:val="14"/>
          <w:u w:val="single" w:color="auto"/>
          <w:color w:val="0000FF"/>
        </w:rPr>
        <w:t xml:space="preserve"> </w:t>
      </w:r>
      <w:hyperlink r:id="rId188">
        <w:r>
          <w:rPr>
            <w:rFonts w:ascii="Arial" w:cs="Arial" w:eastAsia="Arial" w:hAnsi="Arial"/>
            <w:sz w:val="14"/>
            <w:szCs w:val="14"/>
            <w:u w:val="single" w:color="auto"/>
            <w:color w:val="0000FF"/>
          </w:rPr>
          <w:t>October 19, 2021, by and between RGS</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10.33</w:t>
      </w:r>
      <w:r>
        <w:rPr>
          <w:sz w:val="20"/>
          <w:szCs w:val="20"/>
          <w:color w:val="auto"/>
        </w:rPr>
        <w:tab/>
      </w:r>
      <w:hyperlink r:id="rId188">
        <w:r>
          <w:rPr>
            <w:rFonts w:ascii="Arial" w:cs="Arial" w:eastAsia="Arial" w:hAnsi="Arial"/>
            <w:sz w:val="14"/>
            <w:szCs w:val="14"/>
            <w:u w:val="single" w:color="auto"/>
            <w:color w:val="0000FF"/>
          </w:rPr>
          <w:t>Properties and the Company.</w:t>
        </w:r>
      </w:hyperlink>
    </w:p>
    <w:p>
      <w:pPr>
        <w:spacing w:after="0" w:line="28" w:lineRule="exact"/>
        <w:rPr>
          <w:rFonts w:ascii="Arial" w:cs="Arial" w:eastAsia="Arial" w:hAnsi="Arial"/>
          <w:sz w:val="14"/>
          <w:szCs w:val="14"/>
          <w:u w:val="single" w:color="auto"/>
          <w:color w:val="0000FF"/>
        </w:rPr>
      </w:pPr>
    </w:p>
    <w:p>
      <w:pPr>
        <w:ind w:left="820" w:right="180"/>
        <w:spacing w:after="0" w:line="201" w:lineRule="auto"/>
        <w:rPr>
          <w:rFonts w:ascii="Arial" w:cs="Arial" w:eastAsia="Arial" w:hAnsi="Arial"/>
          <w:sz w:val="14"/>
          <w:szCs w:val="14"/>
          <w:u w:val="single" w:color="auto"/>
          <w:color w:val="0000FF"/>
        </w:rPr>
      </w:pPr>
      <w:hyperlink r:id="rId189">
        <w:r>
          <w:rPr>
            <w:rFonts w:ascii="Arial" w:cs="Arial" w:eastAsia="Arial" w:hAnsi="Arial"/>
            <w:sz w:val="14"/>
            <w:szCs w:val="14"/>
            <w:u w:val="single" w:color="auto"/>
            <w:color w:val="0000FF"/>
          </w:rPr>
          <w:t>Standard Industrial/Commercial Single-Tenant</w:t>
        </w:r>
      </w:hyperlink>
      <w:r>
        <w:rPr>
          <w:rFonts w:ascii="Arial" w:cs="Arial" w:eastAsia="Arial" w:hAnsi="Arial"/>
          <w:sz w:val="14"/>
          <w:szCs w:val="14"/>
          <w:u w:val="single" w:color="auto"/>
          <w:color w:val="0000FF"/>
        </w:rPr>
        <w:t xml:space="preserve"> </w:t>
      </w:r>
      <w:hyperlink r:id="rId189">
        <w:r>
          <w:rPr>
            <w:rFonts w:ascii="Arial" w:cs="Arial" w:eastAsia="Arial" w:hAnsi="Arial"/>
            <w:sz w:val="14"/>
            <w:szCs w:val="14"/>
            <w:u w:val="single" w:color="auto"/>
            <w:color w:val="0000FF"/>
          </w:rPr>
          <w:t>Lease, dated September 4, 2014, by and</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10.34</w:t>
      </w:r>
      <w:r>
        <w:rPr>
          <w:sz w:val="20"/>
          <w:szCs w:val="20"/>
          <w:color w:val="auto"/>
        </w:rPr>
        <w:tab/>
      </w:r>
      <w:hyperlink r:id="rId189">
        <w:r>
          <w:rPr>
            <w:rFonts w:ascii="Arial" w:cs="Arial" w:eastAsia="Arial" w:hAnsi="Arial"/>
            <w:sz w:val="14"/>
            <w:szCs w:val="14"/>
            <w:u w:val="single" w:color="auto"/>
            <w:color w:val="0000FF"/>
          </w:rPr>
          <w:t>between Geiger Court, LLC and the Company.</w:t>
        </w:r>
      </w:hyperlink>
    </w:p>
    <w:p>
      <w:pPr>
        <w:spacing w:after="0" w:line="28" w:lineRule="exact"/>
        <w:rPr>
          <w:sz w:val="20"/>
          <w:szCs w:val="20"/>
          <w:color w:val="auto"/>
        </w:rPr>
      </w:pPr>
    </w:p>
    <w:p>
      <w:pPr>
        <w:ind w:left="820" w:right="180"/>
        <w:spacing w:after="0" w:line="201" w:lineRule="auto"/>
        <w:rPr>
          <w:rFonts w:ascii="Arial" w:cs="Arial" w:eastAsia="Arial" w:hAnsi="Arial"/>
          <w:sz w:val="14"/>
          <w:szCs w:val="14"/>
          <w:u w:val="single" w:color="auto"/>
          <w:color w:val="0000FF"/>
        </w:rPr>
      </w:pPr>
      <w:hyperlink r:id="rId190">
        <w:r>
          <w:rPr>
            <w:rFonts w:ascii="Arial" w:cs="Arial" w:eastAsia="Arial" w:hAnsi="Arial"/>
            <w:sz w:val="14"/>
            <w:szCs w:val="14"/>
            <w:u w:val="single" w:color="auto"/>
            <w:color w:val="0000FF"/>
          </w:rPr>
          <w:t>First Amendment to Standard</w:t>
        </w:r>
      </w:hyperlink>
      <w:r>
        <w:rPr>
          <w:rFonts w:ascii="Arial" w:cs="Arial" w:eastAsia="Arial" w:hAnsi="Arial"/>
          <w:sz w:val="14"/>
          <w:szCs w:val="14"/>
          <w:u w:val="single" w:color="auto"/>
          <w:color w:val="0000FF"/>
        </w:rPr>
        <w:t xml:space="preserve"> </w:t>
      </w:r>
      <w:hyperlink r:id="rId190">
        <w:r>
          <w:rPr>
            <w:rFonts w:ascii="Arial" w:cs="Arial" w:eastAsia="Arial" w:hAnsi="Arial"/>
            <w:sz w:val="14"/>
            <w:szCs w:val="14"/>
            <w:u w:val="single" w:color="auto"/>
            <w:color w:val="0000FF"/>
          </w:rPr>
          <w:t>Industrial/Commercial Single-Tenant Lease,</w:t>
        </w:r>
      </w:hyperlink>
      <w:r>
        <w:rPr>
          <w:rFonts w:ascii="Arial" w:cs="Arial" w:eastAsia="Arial" w:hAnsi="Arial"/>
          <w:sz w:val="14"/>
          <w:szCs w:val="14"/>
          <w:u w:val="single" w:color="auto"/>
          <w:color w:val="0000FF"/>
        </w:rPr>
        <w:t xml:space="preserve"> </w:t>
      </w:r>
      <w:hyperlink r:id="rId190">
        <w:r>
          <w:rPr>
            <w:rFonts w:ascii="Arial" w:cs="Arial" w:eastAsia="Arial" w:hAnsi="Arial"/>
            <w:sz w:val="14"/>
            <w:szCs w:val="14"/>
            <w:u w:val="single" w:color="auto"/>
            <w:color w:val="0000FF"/>
          </w:rPr>
          <w:t>dated August 2, 2017, by and between Geiger</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10.35</w:t>
      </w:r>
      <w:r>
        <w:rPr>
          <w:sz w:val="20"/>
          <w:szCs w:val="20"/>
          <w:color w:val="auto"/>
        </w:rPr>
        <w:tab/>
      </w:r>
      <w:hyperlink r:id="rId190">
        <w:r>
          <w:rPr>
            <w:rFonts w:ascii="Arial" w:cs="Arial" w:eastAsia="Arial" w:hAnsi="Arial"/>
            <w:sz w:val="14"/>
            <w:szCs w:val="14"/>
            <w:u w:val="single" w:color="auto"/>
            <w:color w:val="0000FF"/>
          </w:rPr>
          <w:t>Court, LLC and the Company.</w:t>
        </w:r>
      </w:hyperlink>
    </w:p>
    <w:p>
      <w:pPr>
        <w:spacing w:after="0" w:line="28" w:lineRule="exact"/>
        <w:rPr>
          <w:rFonts w:ascii="Arial" w:cs="Arial" w:eastAsia="Arial" w:hAnsi="Arial"/>
          <w:sz w:val="14"/>
          <w:szCs w:val="14"/>
          <w:u w:val="single" w:color="auto"/>
          <w:color w:val="0000FF"/>
        </w:rPr>
      </w:pPr>
    </w:p>
    <w:p>
      <w:pPr>
        <w:ind w:left="820" w:right="140"/>
        <w:spacing w:after="0" w:line="201" w:lineRule="auto"/>
        <w:rPr>
          <w:rFonts w:ascii="Arial" w:cs="Arial" w:eastAsia="Arial" w:hAnsi="Arial"/>
          <w:sz w:val="14"/>
          <w:szCs w:val="14"/>
          <w:u w:val="single" w:color="auto"/>
          <w:color w:val="0000FF"/>
        </w:rPr>
      </w:pPr>
      <w:hyperlink r:id="rId191">
        <w:r>
          <w:rPr>
            <w:rFonts w:ascii="Arial" w:cs="Arial" w:eastAsia="Arial" w:hAnsi="Arial"/>
            <w:sz w:val="14"/>
            <w:szCs w:val="14"/>
            <w:u w:val="single" w:color="auto"/>
            <w:color w:val="0000FF"/>
          </w:rPr>
          <w:t>Extension of Lease to Standard</w:t>
        </w:r>
      </w:hyperlink>
      <w:r>
        <w:rPr>
          <w:rFonts w:ascii="Arial" w:cs="Arial" w:eastAsia="Arial" w:hAnsi="Arial"/>
          <w:sz w:val="14"/>
          <w:szCs w:val="14"/>
          <w:u w:val="single" w:color="auto"/>
          <w:color w:val="0000FF"/>
        </w:rPr>
        <w:t xml:space="preserve"> </w:t>
      </w:r>
      <w:hyperlink r:id="rId191">
        <w:r>
          <w:rPr>
            <w:rFonts w:ascii="Arial" w:cs="Arial" w:eastAsia="Arial" w:hAnsi="Arial"/>
            <w:sz w:val="14"/>
            <w:szCs w:val="14"/>
            <w:u w:val="single" w:color="auto"/>
            <w:color w:val="0000FF"/>
          </w:rPr>
          <w:t>Industrial/Commercial Single-Tenant Lease,</w:t>
        </w:r>
      </w:hyperlink>
      <w:r>
        <w:rPr>
          <w:rFonts w:ascii="Arial" w:cs="Arial" w:eastAsia="Arial" w:hAnsi="Arial"/>
          <w:sz w:val="14"/>
          <w:szCs w:val="14"/>
          <w:u w:val="single" w:color="auto"/>
          <w:color w:val="0000FF"/>
        </w:rPr>
        <w:t xml:space="preserve"> </w:t>
      </w:r>
      <w:hyperlink r:id="rId191">
        <w:r>
          <w:rPr>
            <w:rFonts w:ascii="Arial" w:cs="Arial" w:eastAsia="Arial" w:hAnsi="Arial"/>
            <w:sz w:val="14"/>
            <w:szCs w:val="14"/>
            <w:u w:val="single" w:color="auto"/>
            <w:color w:val="0000FF"/>
          </w:rPr>
          <w:t>dated March 12, 2020, by and between Liberty</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10.36</w:t>
      </w:r>
      <w:r>
        <w:rPr>
          <w:sz w:val="20"/>
          <w:szCs w:val="20"/>
          <w:color w:val="auto"/>
        </w:rPr>
        <w:tab/>
      </w:r>
      <w:hyperlink r:id="rId191">
        <w:r>
          <w:rPr>
            <w:rFonts w:ascii="Arial" w:cs="Arial" w:eastAsia="Arial" w:hAnsi="Arial"/>
            <w:sz w:val="14"/>
            <w:szCs w:val="14"/>
            <w:u w:val="single" w:color="auto"/>
            <w:color w:val="0000FF"/>
          </w:rPr>
          <w:t>Vista and the Company.</w:t>
        </w:r>
      </w:hyperlink>
    </w:p>
    <w:p>
      <w:pPr>
        <w:spacing w:after="0" w:line="28" w:lineRule="exact"/>
        <w:rPr>
          <w:rFonts w:ascii="Arial" w:cs="Arial" w:eastAsia="Arial" w:hAnsi="Arial"/>
          <w:sz w:val="14"/>
          <w:szCs w:val="14"/>
          <w:u w:val="single" w:color="auto"/>
          <w:color w:val="0000FF"/>
        </w:rPr>
      </w:pPr>
    </w:p>
    <w:p>
      <w:pPr>
        <w:ind w:left="820" w:right="100"/>
        <w:spacing w:after="0" w:line="201" w:lineRule="auto"/>
        <w:rPr>
          <w:rFonts w:ascii="Arial" w:cs="Arial" w:eastAsia="Arial" w:hAnsi="Arial"/>
          <w:sz w:val="14"/>
          <w:szCs w:val="14"/>
          <w:u w:val="single" w:color="auto"/>
          <w:color w:val="0000FF"/>
        </w:rPr>
      </w:pPr>
      <w:hyperlink r:id="rId192">
        <w:r>
          <w:rPr>
            <w:rFonts w:ascii="Arial" w:cs="Arial" w:eastAsia="Arial" w:hAnsi="Arial"/>
            <w:sz w:val="14"/>
            <w:szCs w:val="14"/>
            <w:u w:val="single" w:color="auto"/>
            <w:color w:val="0000FF"/>
          </w:rPr>
          <w:t>First Amendment to Standard</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Industrial/Commercial Single-Tenant Lease,</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dated January 6, 2021, by and between Liberty</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10.37</w:t>
      </w:r>
      <w:r>
        <w:rPr>
          <w:sz w:val="20"/>
          <w:szCs w:val="20"/>
          <w:color w:val="auto"/>
        </w:rPr>
        <w:tab/>
      </w:r>
      <w:hyperlink r:id="rId192">
        <w:r>
          <w:rPr>
            <w:rFonts w:ascii="Arial" w:cs="Arial" w:eastAsia="Arial" w:hAnsi="Arial"/>
            <w:sz w:val="14"/>
            <w:szCs w:val="14"/>
            <w:u w:val="single" w:color="auto"/>
            <w:color w:val="0000FF"/>
          </w:rPr>
          <w:t>Vista and the Company.</w:t>
        </w:r>
      </w:hyperlink>
    </w:p>
    <w:p>
      <w:pPr>
        <w:spacing w:after="0" w:line="28" w:lineRule="exact"/>
        <w:rPr>
          <w:rFonts w:ascii="Arial" w:cs="Arial" w:eastAsia="Arial" w:hAnsi="Arial"/>
          <w:sz w:val="14"/>
          <w:szCs w:val="14"/>
          <w:u w:val="single" w:color="auto"/>
          <w:color w:val="0000FF"/>
        </w:rPr>
      </w:pPr>
    </w:p>
    <w:p>
      <w:pPr>
        <w:ind w:left="820" w:right="20"/>
        <w:spacing w:after="0" w:line="201" w:lineRule="auto"/>
        <w:rPr>
          <w:rFonts w:ascii="Arial" w:cs="Arial" w:eastAsia="Arial" w:hAnsi="Arial"/>
          <w:sz w:val="14"/>
          <w:szCs w:val="14"/>
          <w:u w:val="single" w:color="auto"/>
          <w:color w:val="0000FF"/>
        </w:rPr>
      </w:pPr>
      <w:hyperlink r:id="rId193">
        <w:r>
          <w:rPr>
            <w:rFonts w:ascii="Arial" w:cs="Arial" w:eastAsia="Arial" w:hAnsi="Arial"/>
            <w:sz w:val="14"/>
            <w:szCs w:val="14"/>
            <w:u w:val="single" w:color="auto"/>
            <w:color w:val="0000FF"/>
          </w:rPr>
          <w:t>Second Amendment to Standard</w:t>
        </w:r>
      </w:hyperlink>
      <w:r>
        <w:rPr>
          <w:rFonts w:ascii="Arial" w:cs="Arial" w:eastAsia="Arial" w:hAnsi="Arial"/>
          <w:sz w:val="14"/>
          <w:szCs w:val="14"/>
          <w:u w:val="single" w:color="auto"/>
          <w:color w:val="0000FF"/>
        </w:rPr>
        <w:t xml:space="preserve"> </w:t>
      </w:r>
      <w:hyperlink r:id="rId193">
        <w:r>
          <w:rPr>
            <w:rFonts w:ascii="Arial" w:cs="Arial" w:eastAsia="Arial" w:hAnsi="Arial"/>
            <w:sz w:val="14"/>
            <w:szCs w:val="14"/>
            <w:u w:val="single" w:color="auto"/>
            <w:color w:val="0000FF"/>
          </w:rPr>
          <w:t>Industrial/Commercial Single-Tenant Lease,</w:t>
        </w:r>
      </w:hyperlink>
      <w:r>
        <w:rPr>
          <w:rFonts w:ascii="Arial" w:cs="Arial" w:eastAsia="Arial" w:hAnsi="Arial"/>
          <w:sz w:val="14"/>
          <w:szCs w:val="14"/>
          <w:u w:val="single" w:color="auto"/>
          <w:color w:val="0000FF"/>
        </w:rPr>
        <w:t xml:space="preserve"> </w:t>
      </w:r>
      <w:hyperlink r:id="rId193">
        <w:r>
          <w:rPr>
            <w:rFonts w:ascii="Arial" w:cs="Arial" w:eastAsia="Arial" w:hAnsi="Arial"/>
            <w:sz w:val="14"/>
            <w:szCs w:val="14"/>
            <w:u w:val="single" w:color="auto"/>
            <w:color w:val="0000FF"/>
          </w:rPr>
          <w:t>dated October 11, 2021, by and between Liberty</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10.38</w:t>
      </w:r>
      <w:r>
        <w:rPr>
          <w:sz w:val="20"/>
          <w:szCs w:val="20"/>
          <w:color w:val="auto"/>
        </w:rPr>
        <w:tab/>
      </w:r>
      <w:hyperlink r:id="rId193">
        <w:r>
          <w:rPr>
            <w:rFonts w:ascii="Arial" w:cs="Arial" w:eastAsia="Arial" w:hAnsi="Arial"/>
            <w:sz w:val="14"/>
            <w:szCs w:val="14"/>
            <w:u w:val="single" w:color="auto"/>
            <w:color w:val="0000FF"/>
          </w:rPr>
          <w:t>Vista and the Company.</w:t>
        </w:r>
      </w:hyperlink>
    </w:p>
    <w:p>
      <w:pPr>
        <w:spacing w:after="0" w:line="28" w:lineRule="exact"/>
        <w:rPr>
          <w:rFonts w:ascii="Arial" w:cs="Arial" w:eastAsia="Arial" w:hAnsi="Arial"/>
          <w:sz w:val="14"/>
          <w:szCs w:val="14"/>
          <w:u w:val="single" w:color="auto"/>
          <w:color w:val="0000FF"/>
        </w:rPr>
      </w:pPr>
    </w:p>
    <w:p>
      <w:pPr>
        <w:ind w:left="820" w:right="180"/>
        <w:spacing w:after="0" w:line="201" w:lineRule="auto"/>
        <w:rPr>
          <w:rFonts w:ascii="Arial" w:cs="Arial" w:eastAsia="Arial" w:hAnsi="Arial"/>
          <w:sz w:val="14"/>
          <w:szCs w:val="14"/>
          <w:u w:val="single" w:color="auto"/>
          <w:color w:val="0000FF"/>
        </w:rPr>
      </w:pPr>
      <w:hyperlink r:id="rId194">
        <w:r>
          <w:rPr>
            <w:rFonts w:ascii="Arial" w:cs="Arial" w:eastAsia="Arial" w:hAnsi="Arial"/>
            <w:sz w:val="14"/>
            <w:szCs w:val="14"/>
            <w:u w:val="single" w:color="auto"/>
            <w:color w:val="0000FF"/>
          </w:rPr>
          <w:t>Standard Industrial/Commercial Multi -Tenant</w:t>
        </w:r>
      </w:hyperlink>
      <w:r>
        <w:rPr>
          <w:rFonts w:ascii="Arial" w:cs="Arial" w:eastAsia="Arial" w:hAnsi="Arial"/>
          <w:sz w:val="14"/>
          <w:szCs w:val="14"/>
          <w:u w:val="single" w:color="auto"/>
          <w:color w:val="0000FF"/>
        </w:rPr>
        <w:t xml:space="preserve"> </w:t>
      </w:r>
      <w:hyperlink r:id="rId194">
        <w:r>
          <w:rPr>
            <w:rFonts w:ascii="Arial" w:cs="Arial" w:eastAsia="Arial" w:hAnsi="Arial"/>
            <w:sz w:val="14"/>
            <w:szCs w:val="14"/>
            <w:u w:val="single" w:color="auto"/>
            <w:color w:val="0000FF"/>
          </w:rPr>
          <w:t>Lease, dated March 17, 2020 by and between</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10.39</w:t>
      </w:r>
      <w:r>
        <w:rPr>
          <w:sz w:val="20"/>
          <w:szCs w:val="20"/>
          <w:color w:val="auto"/>
        </w:rPr>
        <w:tab/>
      </w:r>
      <w:hyperlink r:id="rId194">
        <w:r>
          <w:rPr>
            <w:rFonts w:ascii="Arial" w:cs="Arial" w:eastAsia="Arial" w:hAnsi="Arial"/>
            <w:sz w:val="14"/>
            <w:szCs w:val="14"/>
            <w:u w:val="single" w:color="auto"/>
            <w:color w:val="0000FF"/>
          </w:rPr>
          <w:t>RGS Properties and the Company.</w:t>
        </w:r>
      </w:hyperlink>
    </w:p>
    <w:p>
      <w:pPr>
        <w:spacing w:after="0" w:line="28" w:lineRule="exact"/>
        <w:rPr>
          <w:sz w:val="20"/>
          <w:szCs w:val="20"/>
          <w:color w:val="auto"/>
        </w:rPr>
      </w:pPr>
    </w:p>
    <w:p>
      <w:pPr>
        <w:ind w:left="820" w:right="20"/>
        <w:spacing w:after="0" w:line="201" w:lineRule="auto"/>
        <w:rPr>
          <w:rFonts w:ascii="Arial" w:cs="Arial" w:eastAsia="Arial" w:hAnsi="Arial"/>
          <w:sz w:val="14"/>
          <w:szCs w:val="14"/>
          <w:u w:val="single" w:color="auto"/>
          <w:color w:val="0000FF"/>
        </w:rPr>
      </w:pPr>
      <w:hyperlink r:id="rId195">
        <w:r>
          <w:rPr>
            <w:rFonts w:ascii="Arial" w:cs="Arial" w:eastAsia="Arial" w:hAnsi="Arial"/>
            <w:sz w:val="14"/>
            <w:szCs w:val="14"/>
            <w:u w:val="single" w:color="auto"/>
            <w:color w:val="0000FF"/>
          </w:rPr>
          <w:t>First Amendment to Standard</w:t>
        </w:r>
      </w:hyperlink>
      <w:r>
        <w:rPr>
          <w:rFonts w:ascii="Arial" w:cs="Arial" w:eastAsia="Arial" w:hAnsi="Arial"/>
          <w:sz w:val="14"/>
          <w:szCs w:val="14"/>
          <w:u w:val="single" w:color="auto"/>
          <w:color w:val="0000FF"/>
        </w:rPr>
        <w:t xml:space="preserve"> </w:t>
      </w:r>
      <w:hyperlink r:id="rId195">
        <w:r>
          <w:rPr>
            <w:rFonts w:ascii="Arial" w:cs="Arial" w:eastAsia="Arial" w:hAnsi="Arial"/>
            <w:sz w:val="14"/>
            <w:szCs w:val="14"/>
            <w:u w:val="single" w:color="auto"/>
            <w:color w:val="0000FF"/>
          </w:rPr>
          <w:t>Industrial/Commercial Multi-Tenant Lease, dated</w:t>
        </w:r>
      </w:hyperlink>
      <w:r>
        <w:rPr>
          <w:rFonts w:ascii="Arial" w:cs="Arial" w:eastAsia="Arial" w:hAnsi="Arial"/>
          <w:sz w:val="14"/>
          <w:szCs w:val="14"/>
          <w:u w:val="single" w:color="auto"/>
          <w:color w:val="0000FF"/>
        </w:rPr>
        <w:t xml:space="preserve"> </w:t>
      </w:r>
      <w:hyperlink r:id="rId195">
        <w:r>
          <w:rPr>
            <w:rFonts w:ascii="Arial" w:cs="Arial" w:eastAsia="Arial" w:hAnsi="Arial"/>
            <w:sz w:val="14"/>
            <w:szCs w:val="14"/>
            <w:u w:val="single" w:color="auto"/>
            <w:color w:val="0000FF"/>
          </w:rPr>
          <w:t>October 19, 2021, by and between RGS</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10.40</w:t>
      </w:r>
      <w:r>
        <w:rPr>
          <w:sz w:val="20"/>
          <w:szCs w:val="20"/>
          <w:color w:val="auto"/>
        </w:rPr>
        <w:tab/>
      </w:r>
      <w:hyperlink r:id="rId195">
        <w:r>
          <w:rPr>
            <w:rFonts w:ascii="Arial" w:cs="Arial" w:eastAsia="Arial" w:hAnsi="Arial"/>
            <w:sz w:val="14"/>
            <w:szCs w:val="14"/>
            <w:u w:val="single" w:color="auto"/>
            <w:color w:val="0000FF"/>
          </w:rPr>
          <w:t>Properties and the Company.</w:t>
        </w:r>
      </w:hyperlink>
    </w:p>
    <w:p>
      <w:pPr>
        <w:spacing w:after="0" w:line="28" w:lineRule="exact"/>
        <w:rPr>
          <w:rFonts w:ascii="Arial" w:cs="Arial" w:eastAsia="Arial" w:hAnsi="Arial"/>
          <w:sz w:val="14"/>
          <w:szCs w:val="14"/>
          <w:u w:val="single" w:color="auto"/>
          <w:color w:val="0000FF"/>
        </w:rPr>
      </w:pPr>
    </w:p>
    <w:p>
      <w:pPr>
        <w:ind w:left="820"/>
        <w:spacing w:after="0" w:line="201" w:lineRule="auto"/>
        <w:rPr>
          <w:rFonts w:ascii="Arial" w:cs="Arial" w:eastAsia="Arial" w:hAnsi="Arial"/>
          <w:sz w:val="14"/>
          <w:szCs w:val="14"/>
          <w:u w:val="single" w:color="auto"/>
          <w:color w:val="0000FF"/>
        </w:rPr>
      </w:pPr>
      <w:hyperlink r:id="rId196">
        <w:r>
          <w:rPr>
            <w:rFonts w:ascii="Arial" w:cs="Arial" w:eastAsia="Arial" w:hAnsi="Arial"/>
            <w:sz w:val="14"/>
            <w:szCs w:val="14"/>
            <w:u w:val="single" w:color="auto"/>
            <w:color w:val="0000FF"/>
          </w:rPr>
          <w:t>Sublease Agreement, dated August 19, 2021, by</w:t>
        </w:r>
      </w:hyperlink>
      <w:r>
        <w:rPr>
          <w:rFonts w:ascii="Arial" w:cs="Arial" w:eastAsia="Arial" w:hAnsi="Arial"/>
          <w:sz w:val="14"/>
          <w:szCs w:val="14"/>
          <w:u w:val="single" w:color="auto"/>
          <w:color w:val="0000FF"/>
        </w:rPr>
        <w:t xml:space="preserve"> </w:t>
      </w:r>
      <w:hyperlink r:id="rId196">
        <w:r>
          <w:rPr>
            <w:rFonts w:ascii="Arial" w:cs="Arial" w:eastAsia="Arial" w:hAnsi="Arial"/>
            <w:sz w:val="14"/>
            <w:szCs w:val="14"/>
            <w:u w:val="single" w:color="auto"/>
            <w:color w:val="0000FF"/>
          </w:rPr>
          <w:t>and between Plum Healthcare Group, LLC and</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10.41†</w:t>
      </w:r>
      <w:r>
        <w:rPr>
          <w:sz w:val="20"/>
          <w:szCs w:val="20"/>
          <w:color w:val="auto"/>
        </w:rPr>
        <w:tab/>
      </w:r>
      <w:hyperlink r:id="rId196">
        <w:r>
          <w:rPr>
            <w:rFonts w:ascii="Arial" w:cs="Arial" w:eastAsia="Arial" w:hAnsi="Arial"/>
            <w:sz w:val="14"/>
            <w:szCs w:val="14"/>
            <w:u w:val="single" w:color="auto"/>
            <w:color w:val="0000FF"/>
          </w:rPr>
          <w:t>the Company.</w:t>
        </w:r>
      </w:hyperlink>
    </w:p>
    <w:p>
      <w:pPr>
        <w:spacing w:after="0" w:line="28" w:lineRule="exact"/>
        <w:rPr>
          <w:sz w:val="20"/>
          <w:szCs w:val="20"/>
          <w:color w:val="auto"/>
        </w:rPr>
      </w:pPr>
    </w:p>
    <w:p>
      <w:pPr>
        <w:ind w:left="820" w:right="180"/>
        <w:spacing w:after="0" w:line="201" w:lineRule="auto"/>
        <w:rPr>
          <w:rFonts w:ascii="Arial" w:cs="Arial" w:eastAsia="Arial" w:hAnsi="Arial"/>
          <w:sz w:val="14"/>
          <w:szCs w:val="14"/>
          <w:u w:val="single" w:color="auto"/>
          <w:color w:val="0000FF"/>
        </w:rPr>
      </w:pPr>
      <w:hyperlink r:id="rId197">
        <w:r>
          <w:rPr>
            <w:rFonts w:ascii="Arial" w:cs="Arial" w:eastAsia="Arial" w:hAnsi="Arial"/>
            <w:sz w:val="14"/>
            <w:szCs w:val="14"/>
            <w:u w:val="single" w:color="auto"/>
            <w:color w:val="0000FF"/>
          </w:rPr>
          <w:t>Master Lease Agreement, dated February 1,</w:t>
        </w:r>
      </w:hyperlink>
      <w:r>
        <w:rPr>
          <w:rFonts w:ascii="Arial" w:cs="Arial" w:eastAsia="Arial" w:hAnsi="Arial"/>
          <w:sz w:val="14"/>
          <w:szCs w:val="14"/>
          <w:u w:val="single" w:color="auto"/>
          <w:color w:val="0000FF"/>
        </w:rPr>
        <w:t xml:space="preserve"> </w:t>
      </w:r>
      <w:hyperlink r:id="rId197">
        <w:r>
          <w:rPr>
            <w:rFonts w:ascii="Arial" w:cs="Arial" w:eastAsia="Arial" w:hAnsi="Arial"/>
            <w:sz w:val="14"/>
            <w:szCs w:val="14"/>
            <w:u w:val="single" w:color="auto"/>
            <w:color w:val="0000FF"/>
          </w:rPr>
          <w:t>2018, by and between Celtic Commercial</w:t>
        </w:r>
      </w:hyperlink>
      <w:r>
        <w:rPr>
          <w:rFonts w:ascii="Arial" w:cs="Arial" w:eastAsia="Arial" w:hAnsi="Arial"/>
          <w:sz w:val="14"/>
          <w:szCs w:val="14"/>
          <w:u w:val="single" w:color="auto"/>
          <w:color w:val="0000FF"/>
        </w:rPr>
        <w:t xml:space="preserve"> </w:t>
      </w:r>
      <w:hyperlink r:id="rId197">
        <w:r>
          <w:rPr>
            <w:rFonts w:ascii="Arial" w:cs="Arial" w:eastAsia="Arial" w:hAnsi="Arial"/>
            <w:sz w:val="14"/>
            <w:szCs w:val="14"/>
            <w:u w:val="single" w:color="auto"/>
            <w:color w:val="0000FF"/>
          </w:rPr>
          <w:t>Finance, a division of MB Equipment Finance,</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10.42</w:t>
      </w:r>
      <w:r>
        <w:rPr>
          <w:sz w:val="20"/>
          <w:szCs w:val="20"/>
          <w:color w:val="auto"/>
        </w:rPr>
        <w:tab/>
      </w:r>
      <w:hyperlink r:id="rId197">
        <w:r>
          <w:rPr>
            <w:rFonts w:ascii="Arial" w:cs="Arial" w:eastAsia="Arial" w:hAnsi="Arial"/>
            <w:sz w:val="14"/>
            <w:szCs w:val="14"/>
            <w:u w:val="single" w:color="auto"/>
            <w:color w:val="0000FF"/>
          </w:rPr>
          <w:t>LLC and the Company.</w:t>
        </w:r>
      </w:hyperlink>
    </w:p>
    <w:p>
      <w:pPr>
        <w:spacing w:after="0" w:line="28" w:lineRule="exact"/>
        <w:rPr>
          <w:rFonts w:ascii="Arial" w:cs="Arial" w:eastAsia="Arial" w:hAnsi="Arial"/>
          <w:sz w:val="14"/>
          <w:szCs w:val="14"/>
          <w:u w:val="single" w:color="auto"/>
          <w:color w:val="0000FF"/>
        </w:rPr>
      </w:pPr>
    </w:p>
    <w:p>
      <w:pPr>
        <w:ind w:left="820" w:right="20"/>
        <w:spacing w:after="0" w:line="201" w:lineRule="auto"/>
        <w:rPr>
          <w:rFonts w:ascii="Arial" w:cs="Arial" w:eastAsia="Arial" w:hAnsi="Arial"/>
          <w:sz w:val="14"/>
          <w:szCs w:val="14"/>
          <w:u w:val="single" w:color="auto"/>
          <w:color w:val="0000FF"/>
        </w:rPr>
      </w:pPr>
      <w:hyperlink r:id="rId198">
        <w:r>
          <w:rPr>
            <w:rFonts w:ascii="Arial" w:cs="Arial" w:eastAsia="Arial" w:hAnsi="Arial"/>
            <w:sz w:val="14"/>
            <w:szCs w:val="14"/>
            <w:u w:val="single" w:color="auto"/>
            <w:color w:val="0000FF"/>
          </w:rPr>
          <w:t>Loan and Security Agreement, dated September</w:t>
        </w:r>
      </w:hyperlink>
      <w:r>
        <w:rPr>
          <w:rFonts w:ascii="Arial" w:cs="Arial" w:eastAsia="Arial" w:hAnsi="Arial"/>
          <w:sz w:val="14"/>
          <w:szCs w:val="14"/>
          <w:u w:val="single" w:color="auto"/>
          <w:color w:val="0000FF"/>
        </w:rPr>
        <w:t xml:space="preserve"> </w:t>
      </w:r>
      <w:hyperlink r:id="rId198">
        <w:r>
          <w:rPr>
            <w:rFonts w:ascii="Arial" w:cs="Arial" w:eastAsia="Arial" w:hAnsi="Arial"/>
            <w:sz w:val="14"/>
            <w:szCs w:val="14"/>
            <w:u w:val="single" w:color="auto"/>
            <w:color w:val="0000FF"/>
          </w:rPr>
          <w:t>7, 2017, by and between Innovatus Life</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10.43</w:t>
      </w:r>
      <w:r>
        <w:rPr>
          <w:sz w:val="20"/>
          <w:szCs w:val="20"/>
          <w:color w:val="auto"/>
        </w:rPr>
        <w:tab/>
      </w:r>
      <w:hyperlink r:id="rId198">
        <w:r>
          <w:rPr>
            <w:rFonts w:ascii="Arial" w:cs="Arial" w:eastAsia="Arial" w:hAnsi="Arial"/>
            <w:sz w:val="14"/>
            <w:szCs w:val="14"/>
            <w:u w:val="single" w:color="auto"/>
            <w:color w:val="0000FF"/>
          </w:rPr>
          <w:t>Sciences Lending Fund I, LP and the Company.</w:t>
        </w:r>
      </w:hyperlink>
    </w:p>
    <w:p>
      <w:pPr>
        <w:spacing w:after="0" w:line="28" w:lineRule="exact"/>
        <w:rPr>
          <w:sz w:val="20"/>
          <w:szCs w:val="20"/>
          <w:color w:val="auto"/>
        </w:rPr>
      </w:pPr>
    </w:p>
    <w:p>
      <w:pPr>
        <w:ind w:left="820" w:right="120"/>
        <w:spacing w:after="0" w:line="201" w:lineRule="auto"/>
        <w:rPr>
          <w:rFonts w:ascii="Arial" w:cs="Arial" w:eastAsia="Arial" w:hAnsi="Arial"/>
          <w:sz w:val="14"/>
          <w:szCs w:val="14"/>
          <w:u w:val="single" w:color="auto"/>
          <w:color w:val="0000FF"/>
        </w:rPr>
      </w:pPr>
      <w:hyperlink r:id="rId199">
        <w:r>
          <w:rPr>
            <w:rFonts w:ascii="Arial" w:cs="Arial" w:eastAsia="Arial" w:hAnsi="Arial"/>
            <w:sz w:val="14"/>
            <w:szCs w:val="14"/>
            <w:u w:val="single" w:color="auto"/>
            <w:color w:val="0000FF"/>
          </w:rPr>
          <w:t>First Amendment to Loan and Security</w:t>
        </w:r>
      </w:hyperlink>
      <w:r>
        <w:rPr>
          <w:rFonts w:ascii="Arial" w:cs="Arial" w:eastAsia="Arial" w:hAnsi="Arial"/>
          <w:sz w:val="14"/>
          <w:szCs w:val="14"/>
          <w:u w:val="single" w:color="auto"/>
          <w:color w:val="0000FF"/>
        </w:rPr>
        <w:t xml:space="preserve"> </w:t>
      </w:r>
      <w:hyperlink r:id="rId199">
        <w:r>
          <w:rPr>
            <w:rFonts w:ascii="Arial" w:cs="Arial" w:eastAsia="Arial" w:hAnsi="Arial"/>
            <w:sz w:val="14"/>
            <w:szCs w:val="14"/>
            <w:u w:val="single" w:color="auto"/>
            <w:color w:val="0000FF"/>
          </w:rPr>
          <w:t>Agreement, dated November 19, 2019, by and</w:t>
        </w:r>
      </w:hyperlink>
      <w:r>
        <w:rPr>
          <w:rFonts w:ascii="Arial" w:cs="Arial" w:eastAsia="Arial" w:hAnsi="Arial"/>
          <w:sz w:val="14"/>
          <w:szCs w:val="14"/>
          <w:u w:val="single" w:color="auto"/>
          <w:color w:val="0000FF"/>
        </w:rPr>
        <w:t xml:space="preserve"> </w:t>
      </w:r>
      <w:hyperlink r:id="rId199">
        <w:r>
          <w:rPr>
            <w:rFonts w:ascii="Arial" w:cs="Arial" w:eastAsia="Arial" w:hAnsi="Arial"/>
            <w:sz w:val="14"/>
            <w:szCs w:val="14"/>
            <w:u w:val="single" w:color="auto"/>
            <w:color w:val="0000FF"/>
          </w:rPr>
          <w:t>between Innovatus Life Sciences Lending I, LP</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10.44</w:t>
      </w:r>
      <w:r>
        <w:rPr>
          <w:sz w:val="20"/>
          <w:szCs w:val="20"/>
          <w:color w:val="auto"/>
        </w:rPr>
        <w:tab/>
      </w:r>
      <w:hyperlink r:id="rId199">
        <w:r>
          <w:rPr>
            <w:rFonts w:ascii="Arial" w:cs="Arial" w:eastAsia="Arial" w:hAnsi="Arial"/>
            <w:sz w:val="14"/>
            <w:szCs w:val="14"/>
            <w:u w:val="single" w:color="auto"/>
            <w:color w:val="0000FF"/>
          </w:rPr>
          <w:t>and the Company.</w:t>
        </w:r>
      </w:hyperlink>
    </w:p>
    <w:p>
      <w:pPr>
        <w:spacing w:after="0" w:line="28" w:lineRule="exact"/>
        <w:rPr>
          <w:rFonts w:ascii="Arial" w:cs="Arial" w:eastAsia="Arial" w:hAnsi="Arial"/>
          <w:sz w:val="14"/>
          <w:szCs w:val="14"/>
          <w:u w:val="single" w:color="auto"/>
          <w:color w:val="0000FF"/>
        </w:rPr>
      </w:pPr>
    </w:p>
    <w:p>
      <w:pPr>
        <w:ind w:left="820" w:right="80"/>
        <w:spacing w:after="0" w:line="201" w:lineRule="auto"/>
        <w:rPr>
          <w:rFonts w:ascii="Arial" w:cs="Arial" w:eastAsia="Arial" w:hAnsi="Arial"/>
          <w:sz w:val="14"/>
          <w:szCs w:val="14"/>
          <w:u w:val="single" w:color="auto"/>
          <w:color w:val="0000FF"/>
        </w:rPr>
      </w:pPr>
      <w:hyperlink r:id="rId200">
        <w:r>
          <w:rPr>
            <w:rFonts w:ascii="Arial" w:cs="Arial" w:eastAsia="Arial" w:hAnsi="Arial"/>
            <w:sz w:val="14"/>
            <w:szCs w:val="14"/>
            <w:u w:val="single" w:color="auto"/>
            <w:color w:val="0000FF"/>
          </w:rPr>
          <w:t>Acknowledgement Letter to Loan and Security</w:t>
        </w:r>
      </w:hyperlink>
      <w:r>
        <w:rPr>
          <w:rFonts w:ascii="Arial" w:cs="Arial" w:eastAsia="Arial" w:hAnsi="Arial"/>
          <w:sz w:val="14"/>
          <w:szCs w:val="14"/>
          <w:u w:val="single" w:color="auto"/>
          <w:color w:val="0000FF"/>
        </w:rPr>
        <w:t xml:space="preserve"> </w:t>
      </w:r>
      <w:hyperlink r:id="rId200">
        <w:r>
          <w:rPr>
            <w:rFonts w:ascii="Arial" w:cs="Arial" w:eastAsia="Arial" w:hAnsi="Arial"/>
            <w:sz w:val="14"/>
            <w:szCs w:val="14"/>
            <w:u w:val="single" w:color="auto"/>
            <w:color w:val="0000FF"/>
          </w:rPr>
          <w:t>Agreement, dated October 7, 2020, by and</w:t>
        </w:r>
      </w:hyperlink>
      <w:r>
        <w:rPr>
          <w:rFonts w:ascii="Arial" w:cs="Arial" w:eastAsia="Arial" w:hAnsi="Arial"/>
          <w:sz w:val="14"/>
          <w:szCs w:val="14"/>
          <w:u w:val="single" w:color="auto"/>
          <w:color w:val="0000FF"/>
        </w:rPr>
        <w:t xml:space="preserve"> </w:t>
      </w:r>
      <w:hyperlink r:id="rId200">
        <w:r>
          <w:rPr>
            <w:rFonts w:ascii="Arial" w:cs="Arial" w:eastAsia="Arial" w:hAnsi="Arial"/>
            <w:sz w:val="14"/>
            <w:szCs w:val="14"/>
            <w:u w:val="single" w:color="auto"/>
            <w:color w:val="0000FF"/>
          </w:rPr>
          <w:t>between Innovatus Life Sciences Lending Fund</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10.45</w:t>
      </w:r>
      <w:r>
        <w:rPr>
          <w:sz w:val="20"/>
          <w:szCs w:val="20"/>
          <w:color w:val="auto"/>
        </w:rPr>
        <w:tab/>
      </w:r>
      <w:hyperlink r:id="rId200">
        <w:r>
          <w:rPr>
            <w:rFonts w:ascii="Arial" w:cs="Arial" w:eastAsia="Arial" w:hAnsi="Arial"/>
            <w:sz w:val="14"/>
            <w:szCs w:val="14"/>
            <w:u w:val="single" w:color="auto"/>
            <w:color w:val="0000FF"/>
          </w:rPr>
          <w:t>I, LP and the Company.</w:t>
        </w:r>
      </w:hyperlink>
    </w:p>
    <w:p>
      <w:pPr>
        <w:spacing w:after="0" w:line="28" w:lineRule="exact"/>
        <w:rPr>
          <w:rFonts w:ascii="Arial" w:cs="Arial" w:eastAsia="Arial" w:hAnsi="Arial"/>
          <w:sz w:val="14"/>
          <w:szCs w:val="14"/>
          <w:u w:val="single" w:color="auto"/>
          <w:color w:val="0000FF"/>
        </w:rPr>
      </w:pPr>
    </w:p>
    <w:p>
      <w:pPr>
        <w:ind w:left="820" w:right="60"/>
        <w:spacing w:after="0" w:line="201" w:lineRule="auto"/>
        <w:rPr>
          <w:rFonts w:ascii="Arial" w:cs="Arial" w:eastAsia="Arial" w:hAnsi="Arial"/>
          <w:sz w:val="14"/>
          <w:szCs w:val="14"/>
          <w:u w:val="single" w:color="auto"/>
          <w:color w:val="0000FF"/>
        </w:rPr>
      </w:pPr>
      <w:hyperlink r:id="rId201">
        <w:r>
          <w:rPr>
            <w:rFonts w:ascii="Arial" w:cs="Arial" w:eastAsia="Arial" w:hAnsi="Arial"/>
            <w:sz w:val="14"/>
            <w:szCs w:val="14"/>
            <w:u w:val="single" w:color="auto"/>
            <w:color w:val="0000FF"/>
          </w:rPr>
          <w:t>Second Amendment to Loan and Security</w:t>
        </w:r>
      </w:hyperlink>
      <w:r>
        <w:rPr>
          <w:rFonts w:ascii="Arial" w:cs="Arial" w:eastAsia="Arial" w:hAnsi="Arial"/>
          <w:sz w:val="14"/>
          <w:szCs w:val="14"/>
          <w:u w:val="single" w:color="auto"/>
          <w:color w:val="0000FF"/>
        </w:rPr>
        <w:t xml:space="preserve"> </w:t>
      </w:r>
      <w:hyperlink r:id="rId201">
        <w:r>
          <w:rPr>
            <w:rFonts w:ascii="Arial" w:cs="Arial" w:eastAsia="Arial" w:hAnsi="Arial"/>
            <w:sz w:val="14"/>
            <w:szCs w:val="14"/>
            <w:u w:val="single" w:color="auto"/>
            <w:color w:val="0000FF"/>
          </w:rPr>
          <w:t>Agreement, dated November 1, 2021, by and</w:t>
        </w:r>
      </w:hyperlink>
      <w:r>
        <w:rPr>
          <w:rFonts w:ascii="Arial" w:cs="Arial" w:eastAsia="Arial" w:hAnsi="Arial"/>
          <w:sz w:val="14"/>
          <w:szCs w:val="14"/>
          <w:u w:val="single" w:color="auto"/>
          <w:color w:val="0000FF"/>
        </w:rPr>
        <w:t xml:space="preserve"> </w:t>
      </w:r>
      <w:hyperlink r:id="rId201">
        <w:r>
          <w:rPr>
            <w:rFonts w:ascii="Arial" w:cs="Arial" w:eastAsia="Arial" w:hAnsi="Arial"/>
            <w:sz w:val="14"/>
            <w:szCs w:val="14"/>
            <w:u w:val="single" w:color="auto"/>
            <w:color w:val="0000FF"/>
          </w:rPr>
          <w:t>among Innovatus Life Sciences Lending Fund I,</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10.46</w:t>
      </w:r>
      <w:r>
        <w:rPr>
          <w:sz w:val="20"/>
          <w:szCs w:val="20"/>
          <w:color w:val="auto"/>
        </w:rPr>
        <w:tab/>
      </w:r>
      <w:hyperlink r:id="rId201">
        <w:r>
          <w:rPr>
            <w:rFonts w:ascii="Arial" w:cs="Arial" w:eastAsia="Arial" w:hAnsi="Arial"/>
            <w:sz w:val="14"/>
            <w:szCs w:val="14"/>
            <w:u w:val="single" w:color="auto"/>
            <w:color w:val="0000FF"/>
          </w:rPr>
          <w:t>LP, other lenders and the Company.</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385" w:lineRule="exact"/>
        <w:rPr>
          <w:rFonts w:ascii="Arial" w:cs="Arial" w:eastAsia="Arial" w:hAnsi="Arial"/>
          <w:sz w:val="14"/>
          <w:szCs w:val="14"/>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72"/>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10.2</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7/28/2020</w:t>
            </w:r>
          </w:p>
        </w:tc>
      </w:tr>
      <w:tr>
        <w:trPr>
          <w:trHeight w:val="594"/>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10.27</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3/25/2020</w:t>
            </w:r>
          </w:p>
        </w:tc>
      </w:tr>
      <w:tr>
        <w:trPr>
          <w:trHeight w:val="594"/>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10.28</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3/25/2020</w:t>
            </w:r>
          </w:p>
        </w:tc>
      </w:tr>
      <w:tr>
        <w:trPr>
          <w:trHeight w:val="594"/>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10.29</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3/25/2020</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10.3</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11/10/2021</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rPr>
                <w:sz w:val="20"/>
                <w:szCs w:val="20"/>
                <w:color w:val="auto"/>
              </w:rPr>
            </w:pPr>
            <w:r>
              <w:rPr>
                <w:rFonts w:ascii="Arial" w:cs="Arial" w:eastAsia="Arial" w:hAnsi="Arial"/>
                <w:sz w:val="14"/>
                <w:szCs w:val="14"/>
                <w:color w:val="auto"/>
              </w:rPr>
              <w:t>10.31</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10.31</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3/25/2020</w:t>
            </w:r>
          </w:p>
        </w:tc>
      </w:tr>
      <w:tr>
        <w:trPr>
          <w:trHeight w:val="594"/>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10.32</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3/25/2020</w:t>
            </w:r>
          </w:p>
        </w:tc>
      </w:tr>
      <w:tr>
        <w:trPr>
          <w:trHeight w:val="594"/>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10.34</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3/16/2021</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10.2</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11/10/2021</w:t>
            </w:r>
          </w:p>
        </w:tc>
      </w:tr>
      <w:tr>
        <w:trPr>
          <w:trHeight w:val="459"/>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10.33</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3/25/2020</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10.4</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11/10/2021</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11/10/2021</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rPr>
                <w:sz w:val="20"/>
                <w:szCs w:val="20"/>
                <w:color w:val="auto"/>
              </w:rPr>
            </w:pPr>
            <w:r>
              <w:rPr>
                <w:rFonts w:ascii="Arial" w:cs="Arial" w:eastAsia="Arial" w:hAnsi="Arial"/>
                <w:sz w:val="14"/>
                <w:szCs w:val="14"/>
                <w:color w:val="auto"/>
              </w:rPr>
              <w:t>10.32</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rPr>
                <w:sz w:val="20"/>
                <w:szCs w:val="20"/>
                <w:color w:val="auto"/>
              </w:rPr>
            </w:pPr>
            <w:r>
              <w:rPr>
                <w:rFonts w:ascii="Arial" w:cs="Arial" w:eastAsia="Arial" w:hAnsi="Arial"/>
                <w:sz w:val="14"/>
                <w:szCs w:val="14"/>
                <w:color w:val="auto"/>
              </w:rPr>
              <w:t>10.33</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10.36</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3/25/2020</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11/10/2020</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10.5</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11/10/2021</w:t>
            </w:r>
          </w:p>
        </w:tc>
      </w:tr>
    </w:tbl>
    <w:p>
      <w:pPr>
        <w:spacing w:after="0" w:line="200" w:lineRule="exact"/>
        <w:rPr>
          <w:rFonts w:ascii="Arial" w:cs="Arial" w:eastAsia="Arial" w:hAnsi="Arial"/>
          <w:sz w:val="14"/>
          <w:szCs w:val="14"/>
          <w:u w:val="single" w:color="auto"/>
          <w:color w:val="0000FF"/>
        </w:rPr>
      </w:pPr>
    </w:p>
    <w:p>
      <w:pPr>
        <w:sectPr>
          <w:pgSz w:w="11900" w:h="16838" w:orient="portrait"/>
          <w:cols w:equalWidth="0" w:num="2">
            <w:col w:w="3920" w:space="320"/>
            <w:col w:w="5039"/>
          </w:cols>
          <w:pgMar w:left="1180" w:top="954" w:right="1440" w:bottom="1440" w:gutter="0" w:footer="0" w:header="0"/>
        </w:sectPr>
      </w:pPr>
    </w:p>
    <w:p>
      <w:pPr>
        <w:spacing w:after="0" w:line="200" w:lineRule="exact"/>
        <w:rPr>
          <w:rFonts w:ascii="Arial" w:cs="Arial" w:eastAsia="Arial" w:hAnsi="Arial"/>
          <w:sz w:val="14"/>
          <w:szCs w:val="14"/>
          <w:u w:val="single" w:color="auto"/>
          <w:color w:val="0000FF"/>
        </w:rPr>
      </w:pPr>
    </w:p>
    <w:p>
      <w:pPr>
        <w:spacing w:after="0" w:line="232" w:lineRule="exact"/>
        <w:rPr>
          <w:rFonts w:ascii="Arial" w:cs="Arial" w:eastAsia="Arial" w:hAnsi="Arial"/>
          <w:sz w:val="14"/>
          <w:szCs w:val="14"/>
          <w:u w:val="single" w:color="auto"/>
          <w:color w:val="0000FF"/>
        </w:rPr>
      </w:pPr>
    </w:p>
    <w:p>
      <w:pPr>
        <w:jc w:val="center"/>
        <w:ind w:right="-240"/>
        <w:spacing w:after="0"/>
        <w:rPr>
          <w:sz w:val="20"/>
          <w:szCs w:val="20"/>
          <w:color w:val="auto"/>
        </w:rPr>
      </w:pPr>
      <w:r>
        <w:rPr>
          <w:rFonts w:ascii="Arial" w:cs="Arial" w:eastAsia="Arial" w:hAnsi="Arial"/>
          <w:sz w:val="16"/>
          <w:szCs w:val="16"/>
          <w:color w:val="auto"/>
        </w:rPr>
        <w:t>120</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-553085</wp:posOffset>
            </wp:positionH>
            <wp:positionV relativeFrom="paragraph">
              <wp:posOffset>85090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54" w:right="1440" w:bottom="1440" w:gutter="0" w:footer="0" w:header="0"/>
          <w:type w:val="continuous"/>
        </w:sectPr>
      </w:pPr>
    </w:p>
    <w:bookmarkStart w:id="123" w:name="page124"/>
    <w:bookmarkEnd w:id="123"/>
    <w:tbl>
      <w:tblPr>
        <w:tblLayout w:type="fixed"/>
        <w:tblInd w:w="123"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60" w:type="dxa"/>
            <w:vAlign w:val="bottom"/>
            <w:gridSpan w:val="30"/>
          </w:tcPr>
          <w:p>
            <w:pPr>
              <w:spacing w:after="0"/>
              <w:rPr>
                <w:rFonts w:ascii="Arial" w:cs="Arial" w:eastAsia="Arial" w:hAnsi="Arial"/>
                <w:sz w:val="14"/>
                <w:szCs w:val="14"/>
                <w:color w:val="0000FF"/>
              </w:rPr>
            </w:pPr>
            <w:hyperlink r:id="rId203">
              <w:r>
                <w:rPr>
                  <w:rFonts w:ascii="Arial" w:cs="Arial" w:eastAsia="Arial" w:hAnsi="Arial"/>
                  <w:sz w:val="14"/>
                  <w:szCs w:val="14"/>
                  <w:color w:val="0000FF"/>
                </w:rPr>
                <w:t>Offer Letter, dated October 12, 2010, by and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2840" w:type="dxa"/>
            <w:vAlign w:val="bottom"/>
            <w:tcBorders>
              <w:top w:val="single" w:sz="8" w:color="0000FF"/>
            </w:tcBorders>
            <w:gridSpan w:val="20"/>
          </w:tcPr>
          <w:p>
            <w:pPr>
              <w:spacing w:after="0" w:line="106" w:lineRule="exact"/>
              <w:rPr>
                <w:rFonts w:ascii="Arial" w:cs="Arial" w:eastAsia="Arial" w:hAnsi="Arial"/>
                <w:sz w:val="12"/>
                <w:szCs w:val="12"/>
                <w:color w:val="0000FF"/>
              </w:rPr>
            </w:pPr>
            <w:hyperlink r:id="rId203">
              <w:r>
                <w:rPr>
                  <w:rFonts w:ascii="Arial" w:cs="Arial" w:eastAsia="Arial" w:hAnsi="Arial"/>
                  <w:sz w:val="12"/>
                  <w:szCs w:val="12"/>
                  <w:color w:val="0000FF"/>
                </w:rPr>
                <w:t>between Thierry Dervieux, Ph.D. and the</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10.47#</w:t>
            </w:r>
          </w:p>
        </w:tc>
        <w:tc>
          <w:tcPr>
            <w:tcW w:w="2620" w:type="dxa"/>
            <w:vAlign w:val="bottom"/>
            <w:tcBorders>
              <w:top w:val="single" w:sz="8" w:color="0000FF"/>
            </w:tcBorders>
            <w:gridSpan w:val="14"/>
          </w:tcPr>
          <w:p>
            <w:pPr>
              <w:spacing w:after="0" w:line="122" w:lineRule="exact"/>
              <w:rPr>
                <w:rFonts w:ascii="Arial" w:cs="Arial" w:eastAsia="Arial" w:hAnsi="Arial"/>
                <w:sz w:val="14"/>
                <w:szCs w:val="14"/>
                <w:color w:val="0000FF"/>
              </w:rPr>
            </w:pPr>
            <w:hyperlink r:id="rId203">
              <w:r>
                <w:rPr>
                  <w:rFonts w:ascii="Arial" w:cs="Arial" w:eastAsia="Arial" w:hAnsi="Arial"/>
                  <w:sz w:val="14"/>
                  <w:szCs w:val="14"/>
                  <w:color w:val="0000FF"/>
                </w:rPr>
                <w:t>Company, as amended on September 9,</w:t>
              </w:r>
            </w:hyperlink>
          </w:p>
        </w:tc>
        <w:tc>
          <w:tcPr>
            <w:tcW w:w="360" w:type="dxa"/>
            <w:vAlign w:val="bottom"/>
            <w:gridSpan w:val="10"/>
          </w:tcPr>
          <w:p>
            <w:pPr>
              <w:jc w:val="center"/>
              <w:ind w:right="20"/>
              <w:spacing w:after="0" w:line="122" w:lineRule="exact"/>
              <w:rPr>
                <w:rFonts w:ascii="Arial" w:cs="Arial" w:eastAsia="Arial" w:hAnsi="Arial"/>
                <w:sz w:val="14"/>
                <w:szCs w:val="14"/>
                <w:color w:val="0000FF"/>
                <w:w w:val="96"/>
              </w:rPr>
            </w:pPr>
            <w:hyperlink r:id="rId203">
              <w:r>
                <w:rPr>
                  <w:rFonts w:ascii="Arial" w:cs="Arial" w:eastAsia="Arial" w:hAnsi="Arial"/>
                  <w:sz w:val="14"/>
                  <w:szCs w:val="14"/>
                  <w:color w:val="0000FF"/>
                  <w:w w:val="96"/>
                </w:rPr>
                <w:t>2011</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color w:val="auto"/>
              </w:rPr>
              <w:t>10.34</w:t>
            </w:r>
          </w:p>
        </w:tc>
        <w:tc>
          <w:tcPr>
            <w:tcW w:w="1820" w:type="dxa"/>
            <w:vAlign w:val="bottom"/>
            <w:vMerge w:val="restart"/>
          </w:tcPr>
          <w:p>
            <w:pPr>
              <w:jc w:val="center"/>
              <w:ind w:right="634"/>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54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203">
              <w:r>
                <w:rPr>
                  <w:rFonts w:ascii="Arial" w:cs="Arial" w:eastAsia="Arial" w:hAnsi="Arial"/>
                  <w:sz w:val="13"/>
                  <w:szCs w:val="13"/>
                  <w:color w:val="0000FF"/>
                </w:rPr>
                <w:t>and September 6, 2019.</w:t>
              </w:r>
            </w:hyperlink>
          </w:p>
        </w:tc>
        <w:tc>
          <w:tcPr>
            <w:tcW w:w="1400" w:type="dxa"/>
            <w:vAlign w:val="bottom"/>
            <w:tcBorders>
              <w:top w:val="single" w:sz="8" w:color="0000FF"/>
            </w:tcBorders>
            <w:gridSpan w:val="19"/>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vMerge w:val="restart"/>
          </w:tcPr>
          <w:p>
            <w:pPr>
              <w:spacing w:after="0"/>
              <w:rPr>
                <w:sz w:val="20"/>
                <w:szCs w:val="20"/>
                <w:color w:val="auto"/>
              </w:rPr>
            </w:pPr>
            <w:r>
              <w:rPr>
                <w:rFonts w:ascii="Arial" w:cs="Arial" w:eastAsia="Arial" w:hAnsi="Arial"/>
                <w:sz w:val="14"/>
                <w:szCs w:val="14"/>
                <w:color w:val="auto"/>
              </w:rPr>
              <w:t>10.48</w:t>
            </w:r>
          </w:p>
        </w:tc>
        <w:tc>
          <w:tcPr>
            <w:tcW w:w="3260" w:type="dxa"/>
            <w:vAlign w:val="bottom"/>
            <w:gridSpan w:val="30"/>
          </w:tcPr>
          <w:p>
            <w:pPr>
              <w:spacing w:after="0"/>
              <w:rPr>
                <w:rFonts w:ascii="Arial" w:cs="Arial" w:eastAsia="Arial" w:hAnsi="Arial"/>
                <w:sz w:val="14"/>
                <w:szCs w:val="14"/>
                <w:color w:val="0000FF"/>
              </w:rPr>
            </w:pPr>
            <w:hyperlink r:id="rId204">
              <w:r>
                <w:rPr>
                  <w:rFonts w:ascii="Arial" w:cs="Arial" w:eastAsia="Arial" w:hAnsi="Arial"/>
                  <w:sz w:val="14"/>
                  <w:szCs w:val="14"/>
                  <w:color w:val="0000FF"/>
                </w:rPr>
                <w:t>Form of Indemnification Agreement for Directors</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color w:val="auto"/>
              </w:rPr>
              <w:t>10.35</w:t>
            </w:r>
          </w:p>
        </w:tc>
        <w:tc>
          <w:tcPr>
            <w:tcW w:w="1820" w:type="dxa"/>
            <w:vAlign w:val="bottom"/>
            <w:vMerge w:val="restart"/>
          </w:tcPr>
          <w:p>
            <w:pPr>
              <w:jc w:val="center"/>
              <w:ind w:right="634"/>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6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204">
              <w:r>
                <w:rPr>
                  <w:rFonts w:ascii="Arial" w:cs="Arial" w:eastAsia="Arial" w:hAnsi="Arial"/>
                  <w:sz w:val="13"/>
                  <w:szCs w:val="13"/>
                  <w:color w:val="0000FF"/>
                </w:rPr>
                <w:t>and Officers.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30"/>
          </w:tcPr>
          <w:p>
            <w:pPr>
              <w:spacing w:after="0"/>
              <w:rPr>
                <w:rFonts w:ascii="Arial" w:cs="Arial" w:eastAsia="Arial" w:hAnsi="Arial"/>
                <w:sz w:val="14"/>
                <w:szCs w:val="14"/>
                <w:color w:val="0000FF"/>
              </w:rPr>
            </w:pPr>
            <w:hyperlink r:id="rId205">
              <w:r>
                <w:rPr>
                  <w:rFonts w:ascii="Arial" w:cs="Arial" w:eastAsia="Arial" w:hAnsi="Arial"/>
                  <w:sz w:val="14"/>
                  <w:szCs w:val="14"/>
                  <w:color w:val="0000FF"/>
                </w:rPr>
                <w:t>Offer Letter, dated October 7, 2011, by and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2740" w:type="dxa"/>
            <w:vAlign w:val="bottom"/>
            <w:tcBorders>
              <w:top w:val="single" w:sz="8" w:color="0000FF"/>
            </w:tcBorders>
            <w:gridSpan w:val="18"/>
          </w:tcPr>
          <w:p>
            <w:pPr>
              <w:spacing w:after="0" w:line="106" w:lineRule="exact"/>
              <w:rPr>
                <w:rFonts w:ascii="Arial" w:cs="Arial" w:eastAsia="Arial" w:hAnsi="Arial"/>
                <w:sz w:val="12"/>
                <w:szCs w:val="12"/>
                <w:color w:val="0000FF"/>
              </w:rPr>
            </w:pPr>
            <w:hyperlink r:id="rId205">
              <w:r>
                <w:rPr>
                  <w:rFonts w:ascii="Arial" w:cs="Arial" w:eastAsia="Arial" w:hAnsi="Arial"/>
                  <w:sz w:val="12"/>
                  <w:szCs w:val="12"/>
                  <w:color w:val="0000FF"/>
                </w:rPr>
                <w:t>between Fortunato Ron Rocca and the</w:t>
              </w:r>
            </w:hyperlink>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line="122" w:lineRule="exact"/>
              <w:rPr>
                <w:sz w:val="20"/>
                <w:szCs w:val="20"/>
                <w:color w:val="auto"/>
              </w:rPr>
            </w:pPr>
            <w:r>
              <w:rPr>
                <w:rFonts w:ascii="Arial" w:cs="Arial" w:eastAsia="Arial" w:hAnsi="Arial"/>
                <w:sz w:val="14"/>
                <w:szCs w:val="14"/>
                <w:color w:val="auto"/>
              </w:rPr>
              <w:t>10.49#</w:t>
            </w:r>
          </w:p>
        </w:tc>
        <w:tc>
          <w:tcPr>
            <w:tcW w:w="2460" w:type="dxa"/>
            <w:vAlign w:val="bottom"/>
            <w:tcBorders>
              <w:top w:val="single" w:sz="8" w:color="0000FF"/>
              <w:bottom w:val="single" w:sz="8" w:color="0000FF"/>
            </w:tcBorders>
            <w:gridSpan w:val="8"/>
          </w:tcPr>
          <w:p>
            <w:pPr>
              <w:spacing w:after="0" w:line="122" w:lineRule="exact"/>
              <w:rPr>
                <w:rFonts w:ascii="Arial" w:cs="Arial" w:eastAsia="Arial" w:hAnsi="Arial"/>
                <w:sz w:val="14"/>
                <w:szCs w:val="14"/>
                <w:color w:val="0000FF"/>
              </w:rPr>
            </w:pPr>
            <w:hyperlink r:id="rId205">
              <w:r>
                <w:rPr>
                  <w:rFonts w:ascii="Arial" w:cs="Arial" w:eastAsia="Arial" w:hAnsi="Arial"/>
                  <w:sz w:val="14"/>
                  <w:szCs w:val="14"/>
                  <w:color w:val="0000FF"/>
                </w:rPr>
                <w:t>Company, as amended on September</w:t>
              </w:r>
            </w:hyperlink>
          </w:p>
        </w:tc>
        <w:tc>
          <w:tcPr>
            <w:tcW w:w="520" w:type="dxa"/>
            <w:vAlign w:val="bottom"/>
            <w:tcBorders>
              <w:bottom w:val="single" w:sz="8" w:color="0000FF"/>
            </w:tcBorders>
            <w:gridSpan w:val="16"/>
          </w:tcPr>
          <w:p>
            <w:pPr>
              <w:jc w:val="right"/>
              <w:spacing w:after="0" w:line="122" w:lineRule="exact"/>
              <w:rPr>
                <w:rFonts w:ascii="Arial" w:cs="Arial" w:eastAsia="Arial" w:hAnsi="Arial"/>
                <w:sz w:val="14"/>
                <w:szCs w:val="14"/>
                <w:color w:val="0000FF"/>
                <w:w w:val="98"/>
              </w:rPr>
            </w:pPr>
            <w:hyperlink r:id="rId205">
              <w:r>
                <w:rPr>
                  <w:rFonts w:ascii="Arial" w:cs="Arial" w:eastAsia="Arial" w:hAnsi="Arial"/>
                  <w:sz w:val="14"/>
                  <w:szCs w:val="14"/>
                  <w:color w:val="0000FF"/>
                  <w:w w:val="98"/>
                </w:rPr>
                <w:t>4, 2019.</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ind w:right="48"/>
              <w:spacing w:after="0" w:line="122" w:lineRule="exact"/>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line="122" w:lineRule="exact"/>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line="122" w:lineRule="exact"/>
              <w:rPr>
                <w:sz w:val="20"/>
                <w:szCs w:val="20"/>
                <w:color w:val="auto"/>
              </w:rPr>
            </w:pPr>
            <w:r>
              <w:rPr>
                <w:rFonts w:ascii="Arial" w:cs="Arial" w:eastAsia="Arial" w:hAnsi="Arial"/>
                <w:sz w:val="14"/>
                <w:szCs w:val="14"/>
                <w:color w:val="auto"/>
              </w:rPr>
              <w:t>10.36</w:t>
            </w:r>
          </w:p>
        </w:tc>
        <w:tc>
          <w:tcPr>
            <w:tcW w:w="1820" w:type="dxa"/>
            <w:vAlign w:val="bottom"/>
          </w:tcPr>
          <w:p>
            <w:pPr>
              <w:jc w:val="center"/>
              <w:ind w:right="634"/>
              <w:spacing w:after="0" w:line="122" w:lineRule="exact"/>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3260" w:type="dxa"/>
            <w:vAlign w:val="bottom"/>
            <w:gridSpan w:val="30"/>
          </w:tcPr>
          <w:p>
            <w:pPr>
              <w:spacing w:after="0"/>
              <w:rPr>
                <w:rFonts w:ascii="Arial" w:cs="Arial" w:eastAsia="Arial" w:hAnsi="Arial"/>
                <w:sz w:val="14"/>
                <w:szCs w:val="14"/>
                <w:color w:val="0000FF"/>
              </w:rPr>
            </w:pPr>
            <w:hyperlink r:id="rId206">
              <w:r>
                <w:rPr>
                  <w:rFonts w:ascii="Arial" w:cs="Arial" w:eastAsia="Arial" w:hAnsi="Arial"/>
                  <w:sz w:val="14"/>
                  <w:szCs w:val="14"/>
                  <w:color w:val="0000FF"/>
                </w:rPr>
                <w:t>Offer Letter, dated May 16, 2017, by and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10.50#</w:t>
            </w:r>
          </w:p>
        </w:tc>
        <w:tc>
          <w:tcPr>
            <w:tcW w:w="2580" w:type="dxa"/>
            <w:vAlign w:val="bottom"/>
            <w:tcBorders>
              <w:top w:val="single" w:sz="8" w:color="0000FF"/>
            </w:tcBorders>
            <w:gridSpan w:val="12"/>
          </w:tcPr>
          <w:p>
            <w:pPr>
              <w:spacing w:after="0" w:line="122" w:lineRule="exact"/>
              <w:rPr>
                <w:rFonts w:ascii="Arial" w:cs="Arial" w:eastAsia="Arial" w:hAnsi="Arial"/>
                <w:sz w:val="14"/>
                <w:szCs w:val="14"/>
                <w:color w:val="0000FF"/>
                <w:w w:val="99"/>
              </w:rPr>
            </w:pPr>
            <w:hyperlink r:id="rId206">
              <w:r>
                <w:rPr>
                  <w:rFonts w:ascii="Arial" w:cs="Arial" w:eastAsia="Arial" w:hAnsi="Arial"/>
                  <w:sz w:val="14"/>
                  <w:szCs w:val="14"/>
                  <w:color w:val="0000FF"/>
                  <w:w w:val="99"/>
                </w:rPr>
                <w:t>between Kamal Adawi and the Company,</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20" w:type="dxa"/>
            <w:vAlign w:val="bottom"/>
            <w:gridSpan w:val="15"/>
          </w:tcPr>
          <w:p>
            <w:pPr>
              <w:ind w:left="20"/>
              <w:spacing w:after="0" w:line="122" w:lineRule="exact"/>
              <w:rPr>
                <w:rFonts w:ascii="Arial" w:cs="Arial" w:eastAsia="Arial" w:hAnsi="Arial"/>
                <w:sz w:val="14"/>
                <w:szCs w:val="14"/>
                <w:color w:val="0000FF"/>
              </w:rPr>
            </w:pPr>
            <w:hyperlink r:id="rId206">
              <w:r>
                <w:rPr>
                  <w:rFonts w:ascii="Arial" w:cs="Arial" w:eastAsia="Arial" w:hAnsi="Arial"/>
                  <w:sz w:val="14"/>
                  <w:szCs w:val="14"/>
                  <w:color w:val="0000FF"/>
                </w:rPr>
                <w:t>as</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color w:val="auto"/>
              </w:rPr>
              <w:t>10.37</w:t>
            </w:r>
          </w:p>
        </w:tc>
        <w:tc>
          <w:tcPr>
            <w:tcW w:w="1820" w:type="dxa"/>
            <w:vAlign w:val="bottom"/>
            <w:vMerge w:val="restart"/>
          </w:tcPr>
          <w:p>
            <w:pPr>
              <w:jc w:val="center"/>
              <w:ind w:right="634"/>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7"/>
          </w:tcPr>
          <w:p>
            <w:pPr>
              <w:spacing w:after="0" w:line="115" w:lineRule="exact"/>
              <w:rPr>
                <w:rFonts w:ascii="Arial" w:cs="Arial" w:eastAsia="Arial" w:hAnsi="Arial"/>
                <w:sz w:val="13"/>
                <w:szCs w:val="13"/>
                <w:color w:val="0000FF"/>
              </w:rPr>
            </w:pPr>
            <w:hyperlink r:id="rId206">
              <w:r>
                <w:rPr>
                  <w:rFonts w:ascii="Arial" w:cs="Arial" w:eastAsia="Arial" w:hAnsi="Arial"/>
                  <w:sz w:val="13"/>
                  <w:szCs w:val="13"/>
                  <w:color w:val="0000FF"/>
                </w:rPr>
                <w:t>amended on September 4, 2019.</w:t>
              </w:r>
            </w:hyperlink>
          </w:p>
        </w:tc>
        <w:tc>
          <w:tcPr>
            <w:tcW w:w="720" w:type="dxa"/>
            <w:vAlign w:val="bottom"/>
            <w:tcBorders>
              <w:top w:val="single" w:sz="8" w:color="0000FF"/>
            </w:tcBorders>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30"/>
          </w:tcPr>
          <w:p>
            <w:pPr>
              <w:spacing w:after="0"/>
              <w:rPr>
                <w:rFonts w:ascii="Arial" w:cs="Arial" w:eastAsia="Arial" w:hAnsi="Arial"/>
                <w:sz w:val="14"/>
                <w:szCs w:val="14"/>
                <w:color w:val="0000FF"/>
              </w:rPr>
            </w:pPr>
            <w:hyperlink r:id="rId207">
              <w:r>
                <w:rPr>
                  <w:rFonts w:ascii="Arial" w:cs="Arial" w:eastAsia="Arial" w:hAnsi="Arial"/>
                  <w:sz w:val="14"/>
                  <w:szCs w:val="14"/>
                  <w:color w:val="0000FF"/>
                </w:rPr>
                <w:t>Offer Letter dated February 21, 2020, by and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10.51#</w:t>
            </w:r>
          </w:p>
        </w:tc>
        <w:tc>
          <w:tcPr>
            <w:tcW w:w="286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207">
              <w:r>
                <w:rPr>
                  <w:rFonts w:ascii="Arial" w:cs="Arial" w:eastAsia="Arial" w:hAnsi="Arial"/>
                  <w:sz w:val="13"/>
                  <w:szCs w:val="13"/>
                  <w:color w:val="0000FF"/>
                </w:rPr>
                <w:t>between Debra Zack, MD Ph.D. and the</w:t>
              </w:r>
            </w:hyperlink>
          </w:p>
        </w:tc>
        <w:tc>
          <w:tcPr>
            <w:tcW w:w="6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color w:val="auto"/>
              </w:rPr>
              <w:t>10.41</w:t>
            </w:r>
          </w:p>
        </w:tc>
        <w:tc>
          <w:tcPr>
            <w:tcW w:w="1820" w:type="dxa"/>
            <w:vAlign w:val="bottom"/>
            <w:vMerge w:val="restart"/>
          </w:tcPr>
          <w:p>
            <w:pPr>
              <w:jc w:val="center"/>
              <w:ind w:right="634"/>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64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207">
              <w:r>
                <w:rPr>
                  <w:rFonts w:ascii="Arial" w:cs="Arial" w:eastAsia="Arial" w:hAnsi="Arial"/>
                  <w:sz w:val="13"/>
                  <w:szCs w:val="13"/>
                  <w:color w:val="0000FF"/>
                </w:rPr>
                <w:t>Company.</w:t>
              </w:r>
            </w:hyperlink>
          </w:p>
        </w:tc>
        <w:tc>
          <w:tcPr>
            <w:tcW w:w="190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5"/>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10.52#</w:t>
            </w:r>
          </w:p>
        </w:tc>
        <w:tc>
          <w:tcPr>
            <w:tcW w:w="3260" w:type="dxa"/>
            <w:vAlign w:val="bottom"/>
            <w:gridSpan w:val="30"/>
          </w:tcPr>
          <w:p>
            <w:pPr>
              <w:spacing w:after="0"/>
              <w:rPr>
                <w:rFonts w:ascii="Arial" w:cs="Arial" w:eastAsia="Arial" w:hAnsi="Arial"/>
                <w:sz w:val="14"/>
                <w:szCs w:val="14"/>
                <w:color w:val="0000FF"/>
              </w:rPr>
            </w:pPr>
            <w:hyperlink r:id="rId208">
              <w:r>
                <w:rPr>
                  <w:rFonts w:ascii="Arial" w:cs="Arial" w:eastAsia="Arial" w:hAnsi="Arial"/>
                  <w:sz w:val="14"/>
                  <w:szCs w:val="14"/>
                  <w:color w:val="0000FF"/>
                </w:rPr>
                <w:t>Non-Employee Director Compensation Program.</w:t>
              </w:r>
            </w:hyperlink>
          </w:p>
        </w:tc>
        <w:tc>
          <w:tcPr>
            <w:tcW w:w="800" w:type="dxa"/>
            <w:vAlign w:val="bottom"/>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10.38</w:t>
            </w:r>
          </w:p>
        </w:tc>
        <w:tc>
          <w:tcPr>
            <w:tcW w:w="1820" w:type="dxa"/>
            <w:vAlign w:val="bottom"/>
          </w:tcPr>
          <w:p>
            <w:pPr>
              <w:jc w:val="center"/>
              <w:ind w:right="634"/>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10.53#</w:t>
            </w:r>
          </w:p>
        </w:tc>
        <w:tc>
          <w:tcPr>
            <w:tcW w:w="2920" w:type="dxa"/>
            <w:vAlign w:val="bottom"/>
            <w:tcBorders>
              <w:top w:val="single" w:sz="8" w:color="0000FF"/>
              <w:bottom w:val="single" w:sz="8" w:color="0000FF"/>
            </w:tcBorders>
            <w:gridSpan w:val="22"/>
          </w:tcPr>
          <w:p>
            <w:pPr>
              <w:spacing w:after="0"/>
              <w:rPr>
                <w:rFonts w:ascii="Arial" w:cs="Arial" w:eastAsia="Arial" w:hAnsi="Arial"/>
                <w:sz w:val="14"/>
                <w:szCs w:val="14"/>
                <w:color w:val="0000FF"/>
              </w:rPr>
            </w:pPr>
            <w:hyperlink r:id="rId209">
              <w:r>
                <w:rPr>
                  <w:rFonts w:ascii="Arial" w:cs="Arial" w:eastAsia="Arial" w:hAnsi="Arial"/>
                  <w:sz w:val="14"/>
                  <w:szCs w:val="14"/>
                  <w:color w:val="0000FF"/>
                </w:rPr>
                <w:t>Executive Change in Control Severance Plan.</w:t>
              </w:r>
            </w:hyperlink>
          </w:p>
        </w:tc>
        <w:tc>
          <w:tcPr>
            <w:tcW w:w="160" w:type="dxa"/>
            <w:vAlign w:val="bottom"/>
            <w:tcBorders>
              <w:top w:val="single" w:sz="8" w:color="0000FF"/>
            </w:tcBorders>
            <w:gridSpan w:val="6"/>
          </w:tcPr>
          <w:p>
            <w:pPr>
              <w:spacing w:after="0"/>
              <w:rPr>
                <w:sz w:val="14"/>
                <w:szCs w:val="14"/>
                <w:color w:val="auto"/>
              </w:rPr>
            </w:pPr>
          </w:p>
        </w:tc>
        <w:tc>
          <w:tcPr>
            <w:tcW w:w="180" w:type="dxa"/>
            <w:vAlign w:val="bottom"/>
            <w:gridSpan w:val="2"/>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10.46</w:t>
            </w:r>
          </w:p>
        </w:tc>
        <w:tc>
          <w:tcPr>
            <w:tcW w:w="1820" w:type="dxa"/>
            <w:vAlign w:val="bottom"/>
          </w:tcPr>
          <w:p>
            <w:pPr>
              <w:jc w:val="center"/>
              <w:ind w:right="634"/>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69"/>
        </w:trPr>
        <w:tc>
          <w:tcPr>
            <w:tcW w:w="820" w:type="dxa"/>
            <w:vAlign w:val="bottom"/>
            <w:vMerge w:val="restart"/>
          </w:tcPr>
          <w:p>
            <w:pPr>
              <w:spacing w:after="0"/>
              <w:rPr>
                <w:sz w:val="20"/>
                <w:szCs w:val="20"/>
                <w:color w:val="auto"/>
              </w:rPr>
            </w:pPr>
            <w:r>
              <w:rPr>
                <w:rFonts w:ascii="Arial" w:cs="Arial" w:eastAsia="Arial" w:hAnsi="Arial"/>
                <w:sz w:val="14"/>
                <w:szCs w:val="14"/>
                <w:color w:val="auto"/>
              </w:rPr>
              <w:t>23.1</w:t>
            </w:r>
          </w:p>
        </w:tc>
        <w:tc>
          <w:tcPr>
            <w:tcW w:w="3260" w:type="dxa"/>
            <w:vAlign w:val="bottom"/>
            <w:gridSpan w:val="30"/>
          </w:tcPr>
          <w:p>
            <w:pPr>
              <w:spacing w:after="0"/>
              <w:rPr>
                <w:rFonts w:ascii="Arial" w:cs="Arial" w:eastAsia="Arial" w:hAnsi="Arial"/>
                <w:sz w:val="14"/>
                <w:szCs w:val="14"/>
                <w:color w:val="0000FF"/>
              </w:rPr>
            </w:pPr>
            <w:hyperlink w:anchor="page127">
              <w:r>
                <w:rPr>
                  <w:rFonts w:ascii="Arial" w:cs="Arial" w:eastAsia="Arial" w:hAnsi="Arial"/>
                  <w:sz w:val="14"/>
                  <w:szCs w:val="14"/>
                  <w:color w:val="0000FF"/>
                </w:rPr>
                <w:t>Consent of Independent Registered Public</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vMerge w:val="restart"/>
          </w:tcPr>
          <w:p>
            <w:pPr>
              <w:ind w:left="174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08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w:anchor="page127">
              <w:r>
                <w:rPr>
                  <w:rFonts w:ascii="Arial" w:cs="Arial" w:eastAsia="Arial" w:hAnsi="Arial"/>
                  <w:sz w:val="13"/>
                  <w:szCs w:val="13"/>
                  <w:color w:val="0000FF"/>
                </w:rPr>
                <w:t>Accounting Firm.</w:t>
              </w:r>
            </w:hyperlink>
          </w:p>
        </w:tc>
        <w:tc>
          <w:tcPr>
            <w:tcW w:w="162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24.1</w:t>
            </w:r>
          </w:p>
        </w:tc>
        <w:tc>
          <w:tcPr>
            <w:tcW w:w="3040" w:type="dxa"/>
            <w:vAlign w:val="bottom"/>
            <w:tcBorders>
              <w:bottom w:val="single" w:sz="8" w:color="0000FF"/>
            </w:tcBorders>
            <w:gridSpan w:val="26"/>
          </w:tcPr>
          <w:p>
            <w:pPr>
              <w:spacing w:after="0"/>
              <w:rPr>
                <w:rFonts w:ascii="Arial" w:cs="Arial" w:eastAsia="Arial" w:hAnsi="Arial"/>
                <w:sz w:val="14"/>
                <w:szCs w:val="14"/>
                <w:color w:val="0000FF"/>
              </w:rPr>
            </w:pPr>
            <w:hyperlink w:anchor="page124">
              <w:r>
                <w:rPr>
                  <w:rFonts w:ascii="Arial" w:cs="Arial" w:eastAsia="Arial" w:hAnsi="Arial"/>
                  <w:sz w:val="14"/>
                  <w:szCs w:val="14"/>
                  <w:color w:val="0000FF"/>
                </w:rPr>
                <w:t>Power of Attorney (included on signature page).</w:t>
              </w:r>
            </w:hyperlink>
          </w:p>
        </w:tc>
        <w:tc>
          <w:tcPr>
            <w:tcW w:w="220" w:type="dxa"/>
            <w:vAlign w:val="bottom"/>
            <w:gridSpan w:val="4"/>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74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560" w:type="dxa"/>
            <w:vAlign w:val="bottom"/>
            <w:tcBorders>
              <w:bottom w:val="single" w:sz="8" w:color="0000FF"/>
            </w:tcBorders>
            <w:gridSpan w:val="11"/>
          </w:tcPr>
          <w:p>
            <w:pPr>
              <w:spacing w:after="0"/>
              <w:rPr>
                <w:rFonts w:ascii="Arial" w:cs="Arial" w:eastAsia="Arial" w:hAnsi="Arial"/>
                <w:sz w:val="14"/>
                <w:szCs w:val="14"/>
                <w:color w:val="0000FF"/>
              </w:rPr>
            </w:pPr>
            <w:hyperlink w:anchor="page128">
              <w:r>
                <w:rPr>
                  <w:rFonts w:ascii="Arial" w:cs="Arial" w:eastAsia="Arial" w:hAnsi="Arial"/>
                  <w:sz w:val="14"/>
                  <w:szCs w:val="14"/>
                  <w:color w:val="0000FF"/>
                </w:rPr>
                <w:t>Certificate of Principal Executive Officer,</w:t>
              </w:r>
            </w:hyperlink>
          </w:p>
        </w:tc>
        <w:tc>
          <w:tcPr>
            <w:tcW w:w="700" w:type="dxa"/>
            <w:vAlign w:val="bottom"/>
            <w:gridSpan w:val="19"/>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30"/>
          </w:tcPr>
          <w:p>
            <w:pPr>
              <w:spacing w:after="0" w:line="115" w:lineRule="exact"/>
              <w:rPr>
                <w:rFonts w:ascii="Arial" w:cs="Arial" w:eastAsia="Arial" w:hAnsi="Arial"/>
                <w:sz w:val="13"/>
                <w:szCs w:val="13"/>
                <w:color w:val="0000FF"/>
              </w:rPr>
            </w:pPr>
            <w:hyperlink w:anchor="page128">
              <w:r>
                <w:rPr>
                  <w:rFonts w:ascii="Arial" w:cs="Arial" w:eastAsia="Arial" w:hAnsi="Arial"/>
                  <w:sz w:val="13"/>
                  <w:szCs w:val="13"/>
                  <w:color w:val="0000FF"/>
                </w:rPr>
                <w:t>pursuant to Rule 13a-14(a)/15d-14(a), as</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64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w:anchor="page128">
              <w:r>
                <w:rPr>
                  <w:rFonts w:ascii="Arial" w:cs="Arial" w:eastAsia="Arial" w:hAnsi="Arial"/>
                  <w:sz w:val="13"/>
                  <w:szCs w:val="13"/>
                  <w:color w:val="0000FF"/>
                </w:rPr>
                <w:t>adopted pursuant to Section 302 of the</w:t>
              </w:r>
            </w:hyperlink>
          </w:p>
        </w:tc>
        <w:tc>
          <w:tcPr>
            <w:tcW w:w="80" w:type="dxa"/>
            <w:vAlign w:val="bottom"/>
            <w:gridSpan w:val="2"/>
          </w:tcPr>
          <w:p>
            <w:pPr>
              <w:spacing w:after="0"/>
              <w:rPr>
                <w:sz w:val="10"/>
                <w:szCs w:val="10"/>
                <w:color w:val="auto"/>
              </w:rPr>
            </w:pPr>
          </w:p>
        </w:tc>
        <w:tc>
          <w:tcPr>
            <w:tcW w:w="26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4"/>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restart"/>
          </w:tcPr>
          <w:p>
            <w:pPr>
              <w:ind w:left="174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84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w:anchor="page128">
              <w:r>
                <w:rPr>
                  <w:rFonts w:ascii="Arial" w:cs="Arial" w:eastAsia="Arial" w:hAnsi="Arial"/>
                  <w:sz w:val="13"/>
                  <w:szCs w:val="13"/>
                  <w:color w:val="0000FF"/>
                </w:rPr>
                <w:t>Sarbanes-Oxley Act of 2002.</w:t>
              </w:r>
            </w:hyperlink>
          </w:p>
        </w:tc>
        <w:tc>
          <w:tcPr>
            <w:tcW w:w="640" w:type="dxa"/>
            <w:vAlign w:val="bottom"/>
            <w:tcBorders>
              <w:top w:val="single" w:sz="8" w:color="0000FF"/>
            </w:tcBorders>
            <w:gridSpan w:val="4"/>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gridSpan w:val="4"/>
          </w:tcPr>
          <w:p>
            <w:pPr>
              <w:spacing w:after="0"/>
              <w:rPr>
                <w:sz w:val="10"/>
                <w:szCs w:val="10"/>
                <w:color w:val="auto"/>
              </w:rPr>
            </w:pPr>
          </w:p>
        </w:tc>
        <w:tc>
          <w:tcPr>
            <w:tcW w:w="26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4"/>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30"/>
          </w:tcPr>
          <w:p>
            <w:pPr>
              <w:spacing w:after="0"/>
              <w:rPr>
                <w:rFonts w:ascii="Arial" w:cs="Arial" w:eastAsia="Arial" w:hAnsi="Arial"/>
                <w:sz w:val="14"/>
                <w:szCs w:val="14"/>
                <w:color w:val="0000FF"/>
              </w:rPr>
            </w:pPr>
            <w:hyperlink w:anchor="page130">
              <w:r>
                <w:rPr>
                  <w:rFonts w:ascii="Arial" w:cs="Arial" w:eastAsia="Arial" w:hAnsi="Arial"/>
                  <w:sz w:val="14"/>
                  <w:szCs w:val="14"/>
                  <w:color w:val="0000FF"/>
                </w:rPr>
                <w:t>Certificate of Principal Financial Officer, pursuant</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3100" w:type="dxa"/>
            <w:vAlign w:val="bottom"/>
            <w:tcBorders>
              <w:top w:val="single" w:sz="8" w:color="0000FF"/>
            </w:tcBorders>
            <w:gridSpan w:val="29"/>
          </w:tcPr>
          <w:p>
            <w:pPr>
              <w:spacing w:after="0" w:line="106" w:lineRule="exact"/>
              <w:rPr>
                <w:rFonts w:ascii="Arial" w:cs="Arial" w:eastAsia="Arial" w:hAnsi="Arial"/>
                <w:sz w:val="12"/>
                <w:szCs w:val="12"/>
                <w:color w:val="0000FF"/>
              </w:rPr>
            </w:pPr>
            <w:hyperlink w:anchor="page130">
              <w:r>
                <w:rPr>
                  <w:rFonts w:ascii="Arial" w:cs="Arial" w:eastAsia="Arial" w:hAnsi="Arial"/>
                  <w:sz w:val="12"/>
                  <w:szCs w:val="12"/>
                  <w:color w:val="0000FF"/>
                </w:rPr>
                <w:t>to Rule 13a-14(a)/15d-14(a), as adopted</w:t>
              </w:r>
            </w:hyperlink>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11"/>
          </w:tcPr>
          <w:p>
            <w:pPr>
              <w:spacing w:after="0" w:line="122" w:lineRule="exact"/>
              <w:rPr>
                <w:rFonts w:ascii="Arial" w:cs="Arial" w:eastAsia="Arial" w:hAnsi="Arial"/>
                <w:sz w:val="14"/>
                <w:szCs w:val="14"/>
                <w:color w:val="0000FF"/>
              </w:rPr>
            </w:pPr>
            <w:hyperlink w:anchor="page130">
              <w:r>
                <w:rPr>
                  <w:rFonts w:ascii="Arial" w:cs="Arial" w:eastAsia="Arial" w:hAnsi="Arial"/>
                  <w:sz w:val="14"/>
                  <w:szCs w:val="14"/>
                  <w:color w:val="0000FF"/>
                </w:rPr>
                <w:t>pursuant to Section 302 of the Sarbanes</w:t>
              </w:r>
            </w:hyperlink>
          </w:p>
        </w:tc>
        <w:tc>
          <w:tcPr>
            <w:tcW w:w="700" w:type="dxa"/>
            <w:vAlign w:val="bottom"/>
            <w:gridSpan w:val="19"/>
          </w:tcPr>
          <w:p>
            <w:pPr>
              <w:jc w:val="center"/>
              <w:ind w:right="280"/>
              <w:spacing w:after="0" w:line="122" w:lineRule="exact"/>
              <w:rPr>
                <w:rFonts w:ascii="Arial" w:cs="Arial" w:eastAsia="Arial" w:hAnsi="Arial"/>
                <w:sz w:val="14"/>
                <w:szCs w:val="14"/>
                <w:color w:val="0000FF"/>
              </w:rPr>
            </w:pPr>
            <w:hyperlink w:anchor="page130">
              <w:r>
                <w:rPr>
                  <w:rFonts w:ascii="Arial" w:cs="Arial" w:eastAsia="Arial" w:hAnsi="Arial"/>
                  <w:sz w:val="14"/>
                  <w:szCs w:val="14"/>
                  <w:color w:val="0000FF"/>
                </w:rPr>
                <w:t>-Oxley</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restart"/>
          </w:tcPr>
          <w:p>
            <w:pPr>
              <w:ind w:left="174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0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w:anchor="page130">
              <w:r>
                <w:rPr>
                  <w:rFonts w:ascii="Arial" w:cs="Arial" w:eastAsia="Arial" w:hAnsi="Arial"/>
                  <w:sz w:val="13"/>
                  <w:szCs w:val="13"/>
                  <w:color w:val="0000FF"/>
                </w:rPr>
                <w:t>Act of 2002.</w:t>
              </w:r>
            </w:hyperlink>
          </w:p>
        </w:tc>
        <w:tc>
          <w:tcPr>
            <w:tcW w:w="260" w:type="dxa"/>
            <w:vAlign w:val="bottom"/>
            <w:gridSpan w:val="5"/>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30"/>
          </w:tcPr>
          <w:p>
            <w:pPr>
              <w:spacing w:after="0"/>
              <w:rPr>
                <w:rFonts w:ascii="Arial" w:cs="Arial" w:eastAsia="Arial" w:hAnsi="Arial"/>
                <w:sz w:val="14"/>
                <w:szCs w:val="14"/>
                <w:color w:val="0000FF"/>
              </w:rPr>
            </w:pPr>
            <w:hyperlink w:anchor="page132">
              <w:r>
                <w:rPr>
                  <w:rFonts w:ascii="Arial" w:cs="Arial" w:eastAsia="Arial" w:hAnsi="Arial"/>
                  <w:sz w:val="14"/>
                  <w:szCs w:val="14"/>
                  <w:color w:val="0000FF"/>
                </w:rPr>
                <w:t>Certifications Pursuant to U.S.C. Section 1350,</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98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w:anchor="page132">
              <w:r>
                <w:rPr>
                  <w:rFonts w:ascii="Arial" w:cs="Arial" w:eastAsia="Arial" w:hAnsi="Arial"/>
                  <w:sz w:val="13"/>
                  <w:szCs w:val="13"/>
                  <w:color w:val="0000FF"/>
                </w:rPr>
                <w:t>As Adopted Pursuant to Section 906 of the</w:t>
              </w:r>
            </w:hyperlink>
          </w:p>
        </w:tc>
        <w:tc>
          <w:tcPr>
            <w:tcW w:w="280" w:type="dxa"/>
            <w:vAlign w:val="bottom"/>
            <w:gridSpan w:val="6"/>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17"/>
          </w:tcPr>
          <w:p>
            <w:pPr>
              <w:spacing w:after="0" w:line="115" w:lineRule="exact"/>
              <w:rPr>
                <w:rFonts w:ascii="Arial" w:cs="Arial" w:eastAsia="Arial" w:hAnsi="Arial"/>
                <w:sz w:val="13"/>
                <w:szCs w:val="13"/>
                <w:color w:val="0000FF"/>
              </w:rPr>
            </w:pPr>
            <w:hyperlink w:anchor="page132">
              <w:r>
                <w:rPr>
                  <w:rFonts w:ascii="Arial" w:cs="Arial" w:eastAsia="Arial" w:hAnsi="Arial"/>
                  <w:sz w:val="13"/>
                  <w:szCs w:val="13"/>
                  <w:color w:val="0000FF"/>
                </w:rPr>
                <w:t>Public Company Accounting Reform and</w:t>
              </w:r>
            </w:hyperlink>
          </w:p>
        </w:tc>
        <w:tc>
          <w:tcPr>
            <w:tcW w:w="540" w:type="dxa"/>
            <w:vAlign w:val="bottom"/>
            <w:gridSpan w:val="13"/>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restart"/>
          </w:tcPr>
          <w:p>
            <w:pPr>
              <w:ind w:left="174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600" w:type="dxa"/>
            <w:vAlign w:val="bottom"/>
            <w:tcBorders>
              <w:top w:val="single" w:sz="8" w:color="0000FF"/>
            </w:tcBorders>
            <w:gridSpan w:val="13"/>
          </w:tcPr>
          <w:p>
            <w:pPr>
              <w:spacing w:after="0" w:line="115" w:lineRule="exact"/>
              <w:rPr>
                <w:rFonts w:ascii="Arial" w:cs="Arial" w:eastAsia="Arial" w:hAnsi="Arial"/>
                <w:sz w:val="13"/>
                <w:szCs w:val="13"/>
                <w:color w:val="0000FF"/>
              </w:rPr>
            </w:pPr>
            <w:hyperlink w:anchor="page132">
              <w:r>
                <w:rPr>
                  <w:rFonts w:ascii="Arial" w:cs="Arial" w:eastAsia="Arial" w:hAnsi="Arial"/>
                  <w:sz w:val="13"/>
                  <w:szCs w:val="13"/>
                  <w:color w:val="0000FF"/>
                </w:rPr>
                <w:t>Investor Protection Act of 2002.</w:t>
              </w:r>
            </w:hyperlink>
          </w:p>
        </w:tc>
        <w:tc>
          <w:tcPr>
            <w:tcW w:w="660" w:type="dxa"/>
            <w:vAlign w:val="bottom"/>
            <w:gridSpan w:val="17"/>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1260" w:type="dxa"/>
            <w:vAlign w:val="bottom"/>
            <w:gridSpan w:val="2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3260" w:type="dxa"/>
            <w:vAlign w:val="bottom"/>
            <w:gridSpan w:val="30"/>
          </w:tcPr>
          <w:p>
            <w:pPr>
              <w:spacing w:after="0"/>
              <w:rPr>
                <w:sz w:val="20"/>
                <w:szCs w:val="20"/>
                <w:color w:val="auto"/>
              </w:rPr>
            </w:pPr>
            <w:r>
              <w:rPr>
                <w:rFonts w:ascii="Arial" w:cs="Arial" w:eastAsia="Arial" w:hAnsi="Arial"/>
                <w:sz w:val="14"/>
                <w:szCs w:val="14"/>
                <w:color w:val="auto"/>
              </w:rPr>
              <w:t>XBRL Taxonomy Extension Schema Document.</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ind w:left="174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52"/>
        </w:trPr>
        <w:tc>
          <w:tcPr>
            <w:tcW w:w="820" w:type="dxa"/>
            <w:vAlign w:val="bottom"/>
            <w:vMerge w:val="restart"/>
          </w:tcPr>
          <w:p>
            <w:pPr>
              <w:spacing w:after="0"/>
              <w:rPr>
                <w:sz w:val="20"/>
                <w:szCs w:val="20"/>
                <w:color w:val="auto"/>
              </w:rPr>
            </w:pPr>
            <w:r>
              <w:rPr>
                <w:rFonts w:ascii="Arial" w:cs="Arial" w:eastAsia="Arial" w:hAnsi="Arial"/>
                <w:sz w:val="14"/>
                <w:szCs w:val="14"/>
                <w:color w:val="auto"/>
              </w:rPr>
              <w:t>101.CAL</w:t>
            </w:r>
          </w:p>
        </w:tc>
        <w:tc>
          <w:tcPr>
            <w:tcW w:w="3260" w:type="dxa"/>
            <w:vAlign w:val="bottom"/>
            <w:gridSpan w:val="30"/>
          </w:tcPr>
          <w:p>
            <w:pPr>
              <w:spacing w:after="0" w:line="152" w:lineRule="exact"/>
              <w:rPr>
                <w:sz w:val="20"/>
                <w:szCs w:val="20"/>
                <w:color w:val="auto"/>
              </w:rPr>
            </w:pPr>
            <w:r>
              <w:rPr>
                <w:rFonts w:ascii="Arial" w:cs="Arial" w:eastAsia="Arial" w:hAnsi="Arial"/>
                <w:sz w:val="14"/>
                <w:szCs w:val="14"/>
                <w:color w:val="auto"/>
              </w:rPr>
              <w:t>XBRL Taxonomy Extension Calculation Linkbase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vMerge w:val="restart"/>
          </w:tcPr>
          <w:p>
            <w:pPr>
              <w:ind w:left="174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3260" w:type="dxa"/>
            <w:vAlign w:val="bottom"/>
            <w:gridSpan w:val="30"/>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20" w:type="dxa"/>
            <w:vAlign w:val="bottom"/>
            <w:vMerge w:val="restart"/>
          </w:tcPr>
          <w:p>
            <w:pPr>
              <w:spacing w:after="0"/>
              <w:rPr>
                <w:sz w:val="20"/>
                <w:szCs w:val="20"/>
                <w:color w:val="auto"/>
              </w:rPr>
            </w:pPr>
            <w:r>
              <w:rPr>
                <w:rFonts w:ascii="Arial" w:cs="Arial" w:eastAsia="Arial" w:hAnsi="Arial"/>
                <w:sz w:val="14"/>
                <w:szCs w:val="14"/>
                <w:color w:val="auto"/>
              </w:rPr>
              <w:t>101.DEF</w:t>
            </w:r>
          </w:p>
        </w:tc>
        <w:tc>
          <w:tcPr>
            <w:tcW w:w="3260" w:type="dxa"/>
            <w:vAlign w:val="bottom"/>
            <w:gridSpan w:val="30"/>
          </w:tcPr>
          <w:p>
            <w:pPr>
              <w:spacing w:after="0" w:line="152" w:lineRule="exact"/>
              <w:rPr>
                <w:sz w:val="20"/>
                <w:szCs w:val="20"/>
                <w:color w:val="auto"/>
              </w:rPr>
            </w:pPr>
            <w:r>
              <w:rPr>
                <w:rFonts w:ascii="Arial" w:cs="Arial" w:eastAsia="Arial" w:hAnsi="Arial"/>
                <w:sz w:val="14"/>
                <w:szCs w:val="14"/>
                <w:color w:val="auto"/>
              </w:rPr>
              <w:t>XBRL Taxonomy Extension Definition Linkbase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vMerge w:val="restart"/>
          </w:tcPr>
          <w:p>
            <w:pPr>
              <w:ind w:left="174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3260" w:type="dxa"/>
            <w:vAlign w:val="bottom"/>
            <w:gridSpan w:val="30"/>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20" w:type="dxa"/>
            <w:vAlign w:val="bottom"/>
            <w:vMerge w:val="restart"/>
          </w:tcPr>
          <w:p>
            <w:pPr>
              <w:spacing w:after="0"/>
              <w:rPr>
                <w:sz w:val="20"/>
                <w:szCs w:val="20"/>
                <w:color w:val="auto"/>
              </w:rPr>
            </w:pPr>
            <w:r>
              <w:rPr>
                <w:rFonts w:ascii="Arial" w:cs="Arial" w:eastAsia="Arial" w:hAnsi="Arial"/>
                <w:sz w:val="14"/>
                <w:szCs w:val="14"/>
                <w:color w:val="auto"/>
              </w:rPr>
              <w:t>101.LAB</w:t>
            </w:r>
          </w:p>
        </w:tc>
        <w:tc>
          <w:tcPr>
            <w:tcW w:w="3260" w:type="dxa"/>
            <w:vAlign w:val="bottom"/>
            <w:gridSpan w:val="30"/>
          </w:tcPr>
          <w:p>
            <w:pPr>
              <w:spacing w:after="0" w:line="152" w:lineRule="exact"/>
              <w:rPr>
                <w:sz w:val="20"/>
                <w:szCs w:val="20"/>
                <w:color w:val="auto"/>
              </w:rPr>
            </w:pPr>
            <w:r>
              <w:rPr>
                <w:rFonts w:ascii="Arial" w:cs="Arial" w:eastAsia="Arial" w:hAnsi="Arial"/>
                <w:sz w:val="14"/>
                <w:szCs w:val="14"/>
                <w:color w:val="auto"/>
              </w:rPr>
              <w:t>XBRL Taxonomy Extension Labels Linkbase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vMerge w:val="restart"/>
          </w:tcPr>
          <w:p>
            <w:pPr>
              <w:ind w:left="174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3260" w:type="dxa"/>
            <w:vAlign w:val="bottom"/>
            <w:gridSpan w:val="30"/>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20" w:type="dxa"/>
            <w:vAlign w:val="bottom"/>
            <w:vMerge w:val="restart"/>
          </w:tcPr>
          <w:p>
            <w:pPr>
              <w:spacing w:after="0"/>
              <w:rPr>
                <w:sz w:val="20"/>
                <w:szCs w:val="20"/>
                <w:color w:val="auto"/>
              </w:rPr>
            </w:pPr>
            <w:r>
              <w:rPr>
                <w:rFonts w:ascii="Arial" w:cs="Arial" w:eastAsia="Arial" w:hAnsi="Arial"/>
                <w:sz w:val="14"/>
                <w:szCs w:val="14"/>
                <w:color w:val="auto"/>
              </w:rPr>
              <w:t>101.PRE</w:t>
            </w:r>
          </w:p>
        </w:tc>
        <w:tc>
          <w:tcPr>
            <w:tcW w:w="3260" w:type="dxa"/>
            <w:vAlign w:val="bottom"/>
            <w:gridSpan w:val="30"/>
          </w:tcPr>
          <w:p>
            <w:pPr>
              <w:spacing w:after="0" w:line="152" w:lineRule="exact"/>
              <w:rPr>
                <w:sz w:val="20"/>
                <w:szCs w:val="20"/>
                <w:color w:val="auto"/>
              </w:rPr>
            </w:pPr>
            <w:r>
              <w:rPr>
                <w:rFonts w:ascii="Arial" w:cs="Arial" w:eastAsia="Arial" w:hAnsi="Arial"/>
                <w:sz w:val="14"/>
                <w:szCs w:val="14"/>
                <w:color w:val="auto"/>
              </w:rPr>
              <w:t>XBRL Taxonomy Extension Presentation</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vMerge w:val="restart"/>
          </w:tcPr>
          <w:p>
            <w:pPr>
              <w:ind w:left="174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3260" w:type="dxa"/>
            <w:vAlign w:val="bottom"/>
            <w:gridSpan w:val="30"/>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3260" w:type="dxa"/>
            <w:vAlign w:val="bottom"/>
            <w:gridSpan w:val="30"/>
          </w:tcPr>
          <w:p>
            <w:pPr>
              <w:spacing w:after="0" w:line="152" w:lineRule="exact"/>
              <w:rPr>
                <w:sz w:val="20"/>
                <w:szCs w:val="20"/>
                <w:color w:val="auto"/>
              </w:rPr>
            </w:pPr>
            <w:r>
              <w:rPr>
                <w:rFonts w:ascii="Arial" w:cs="Arial" w:eastAsia="Arial" w:hAnsi="Arial"/>
                <w:sz w:val="14"/>
                <w:szCs w:val="14"/>
                <w:color w:val="auto"/>
              </w:rPr>
              <w:t>The cover page from the Company's Annual</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3260" w:type="dxa"/>
            <w:vAlign w:val="bottom"/>
            <w:gridSpan w:val="30"/>
          </w:tcPr>
          <w:p>
            <w:pPr>
              <w:spacing w:after="0" w:line="135" w:lineRule="exact"/>
              <w:rPr>
                <w:sz w:val="20"/>
                <w:szCs w:val="20"/>
                <w:color w:val="auto"/>
              </w:rPr>
            </w:pPr>
            <w:r>
              <w:rPr>
                <w:rFonts w:ascii="Arial" w:cs="Arial" w:eastAsia="Arial" w:hAnsi="Arial"/>
                <w:sz w:val="14"/>
                <w:szCs w:val="14"/>
                <w:color w:val="auto"/>
              </w:rPr>
              <w:t>Report on Form 10-K for the year ended</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2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3260" w:type="dxa"/>
            <w:vAlign w:val="bottom"/>
            <w:gridSpan w:val="30"/>
          </w:tcPr>
          <w:p>
            <w:pPr>
              <w:spacing w:after="0" w:line="135" w:lineRule="exact"/>
              <w:rPr>
                <w:sz w:val="20"/>
                <w:szCs w:val="20"/>
                <w:color w:val="auto"/>
              </w:rPr>
            </w:pPr>
            <w:r>
              <w:rPr>
                <w:rFonts w:ascii="Arial" w:cs="Arial" w:eastAsia="Arial" w:hAnsi="Arial"/>
                <w:sz w:val="14"/>
                <w:szCs w:val="14"/>
                <w:color w:val="auto"/>
              </w:rPr>
              <w:t>December 31, 2021, has been formatted in Inline</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ind w:left="174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3260" w:type="dxa"/>
            <w:vAlign w:val="bottom"/>
            <w:gridSpan w:val="30"/>
          </w:tcPr>
          <w:p>
            <w:pPr>
              <w:spacing w:after="0"/>
              <w:rPr>
                <w:sz w:val="20"/>
                <w:szCs w:val="20"/>
                <w:color w:val="auto"/>
              </w:rPr>
            </w:pPr>
            <w:r>
              <w:rPr>
                <w:rFonts w:ascii="Arial" w:cs="Arial" w:eastAsia="Arial" w:hAnsi="Arial"/>
                <w:sz w:val="14"/>
                <w:szCs w:val="14"/>
                <w:color w:val="auto"/>
              </w:rPr>
              <w:t>XBRL.</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643" w:hanging="643"/>
        <w:spacing w:after="0" w:line="250" w:lineRule="auto"/>
        <w:tabs>
          <w:tab w:leader="none" w:pos="315"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303" w:hanging="303"/>
        <w:spacing w:after="0"/>
        <w:tabs>
          <w:tab w:leader="none" w:pos="30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4743" w:right="2440" w:hanging="4743"/>
        <w:spacing w:after="0" w:line="903" w:lineRule="auto"/>
        <w:tabs>
          <w:tab w:leader="none" w:pos="2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for confidentiality purposes.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-306070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937" w:right="67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9"/>
        </w:trPr>
        <w:tc>
          <w:tcPr>
            <w:tcW w:w="3980" w:type="dxa"/>
            <w:vAlign w:val="bottom"/>
          </w:tcPr>
          <w:p>
            <w:pPr>
              <w:spacing w:after="0"/>
              <w:rPr>
                <w:sz w:val="20"/>
                <w:szCs w:val="20"/>
                <w:color w:val="auto"/>
              </w:rPr>
            </w:pPr>
            <w:r>
              <w:rPr>
                <w:rFonts w:ascii="Arial" w:cs="Arial" w:eastAsia="Arial" w:hAnsi="Arial"/>
                <w:sz w:val="18"/>
                <w:szCs w:val="18"/>
                <w:color w:val="auto"/>
              </w:rPr>
              <w:t>Date: March 22, 2022</w:t>
            </w:r>
          </w:p>
        </w:tc>
        <w:tc>
          <w:tcPr>
            <w:tcW w:w="2860" w:type="dxa"/>
            <w:vAlign w:val="bottom"/>
          </w:tcPr>
          <w:p>
            <w:pPr>
              <w:ind w:left="2240"/>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23"/>
        </w:trPr>
        <w:tc>
          <w:tcPr>
            <w:tcW w:w="3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229"/>
        </w:trPr>
        <w:tc>
          <w:tcPr>
            <w:tcW w:w="3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Fortunato Ron Rocca and Kamal Adawi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spacing w:after="0" w:line="23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29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Fortunato Ron Rocca</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President, Chief Executive Officer and 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22, 2022</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Fortunato Ron Rocca</w:t>
            </w:r>
          </w:p>
        </w:tc>
        <w:tc>
          <w:tcPr>
            <w:tcW w:w="100" w:type="dxa"/>
            <w:vAlign w:val="bottom"/>
          </w:tcPr>
          <w:p>
            <w:pPr>
              <w:spacing w:after="0"/>
              <w:rPr>
                <w:sz w:val="17"/>
                <w:szCs w:val="17"/>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Executive Officer)</w:t>
            </w: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Kamal Adawi</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Chief Financial Officer and Corporate Secretary</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22, 2022</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Kamal Adawi</w:t>
            </w:r>
          </w:p>
        </w:tc>
        <w:tc>
          <w:tcPr>
            <w:tcW w:w="100" w:type="dxa"/>
            <w:vAlign w:val="bottom"/>
          </w:tcPr>
          <w:p>
            <w:pPr>
              <w:spacing w:after="0"/>
              <w:rPr>
                <w:sz w:val="17"/>
                <w:szCs w:val="17"/>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Financial and Accounting Officer)</w:t>
            </w: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Brian Birk</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Chairman of the Board of Directors</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22, 2022</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Brian Birk</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Ana Hooker</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22, 2022</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Ana Hooker</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Wendy S. Johnson</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22, 2022</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Wendy S. Johnson</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Tina S. Nova,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22, 2022</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Tina S. Nova, Ph.D.</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Ebetuel Pallares,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22, 2022</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Ebetuel Pallares, Ph.D.</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Bruce C. Robertson,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22, 2022</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Bruce C. Robertson, Ph.D.</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Frank Stokes</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22, 2022</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Frank Stokes</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James L.L. Tullis</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22, 2022</w:t>
            </w:r>
          </w:p>
        </w:tc>
      </w:tr>
      <w:tr>
        <w:trPr>
          <w:trHeight w:val="206"/>
        </w:trPr>
        <w:tc>
          <w:tcPr>
            <w:tcW w:w="2780" w:type="dxa"/>
            <w:vAlign w:val="bottom"/>
          </w:tcPr>
          <w:p>
            <w:pPr>
              <w:jc w:val="center"/>
              <w:spacing w:after="0"/>
              <w:rPr>
                <w:sz w:val="20"/>
                <w:szCs w:val="20"/>
                <w:color w:val="auto"/>
              </w:rPr>
            </w:pPr>
            <w:r>
              <w:rPr>
                <w:rFonts w:ascii="Arial" w:cs="Arial" w:eastAsia="Arial" w:hAnsi="Arial"/>
                <w:sz w:val="16"/>
                <w:szCs w:val="16"/>
                <w:color w:val="auto"/>
                <w:w w:val="99"/>
              </w:rPr>
              <w:t>James L.L. Tullis</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9180"/>
          </w:cols>
          <w:pgMar w:left="1360" w:top="931" w:right="1359" w:bottom="1440" w:gutter="0" w:footer="0" w:header="0"/>
        </w:sectPr>
      </w:pPr>
    </w:p>
    <w:bookmarkStart w:id="126" w:name="page127"/>
    <w:bookmarkEnd w:id="126"/>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hereby consent to the incorporation by reference in the Registration Statement Form S-3 (No. 333-250015) and Form S-8 (Nos. 333-233878 and 333-256014) of Exagen Inc. of our report dated March 22, 2022, relating to the financial statements, which appears in this Annual Report on Form 10-K.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2022</w:t>
      </w:r>
    </w:p>
    <w:p>
      <w:pPr>
        <w:sectPr>
          <w:pgSz w:w="11900" w:h="16838" w:orient="portrait"/>
          <w:cols w:equalWidth="0" w:num="1">
            <w:col w:w="11240"/>
          </w:cols>
          <w:pgMar w:left="320" w:top="1440"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sz w:val="20"/>
          <w:szCs w:val="20"/>
          <w:color w:val="auto"/>
        </w:rPr>
      </w:pPr>
    </w:p>
    <w:p>
      <w:pPr>
        <w:jc w:val="both"/>
        <w:ind w:right="480" w:firstLine="8"/>
        <w:spacing w:after="0" w:line="350" w:lineRule="auto"/>
        <w:tabs>
          <w:tab w:leader="none" w:pos="4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firstLine="8"/>
        <w:spacing w:after="0" w:line="350" w:lineRule="auto"/>
        <w:tabs>
          <w:tab w:leader="none" w:pos="4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right="80" w:firstLine="8"/>
        <w:spacing w:after="0" w:line="355" w:lineRule="auto"/>
        <w:tabs>
          <w:tab w:leader="none" w:pos="4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right="20" w:firstLine="8"/>
        <w:spacing w:after="0" w:line="350"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460" w:firstLine="8"/>
        <w:spacing w:after="0" w:line="350" w:lineRule="auto"/>
        <w:tabs>
          <w:tab w:leader="none" w:pos="3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128" w:name="page129"/>
    <w:bookmarkEnd w:id="128"/>
    <w:p>
      <w:pPr>
        <w:ind w:left="-8" w:right="400" w:firstLine="8"/>
        <w:spacing w:after="0" w:line="355" w:lineRule="auto"/>
        <w:tabs>
          <w:tab w:leader="none" w:pos="4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 w:firstLine="8"/>
        <w:spacing w:after="0" w:line="355" w:lineRule="auto"/>
        <w:tabs>
          <w:tab w:leader="none" w:pos="4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12"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March 22,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Fortunato Ron Rocca</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Fortunato Ron Rocca</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92"/>
          </w:cols>
          <w:pgMar w:left="328" w:top="1111" w:right="37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sz w:val="20"/>
          <w:szCs w:val="20"/>
          <w:color w:val="auto"/>
        </w:rPr>
      </w:pPr>
    </w:p>
    <w:p>
      <w:pPr>
        <w:jc w:val="both"/>
        <w:ind w:right="480" w:firstLine="8"/>
        <w:spacing w:after="0" w:line="350" w:lineRule="auto"/>
        <w:tabs>
          <w:tab w:leader="none" w:pos="4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firstLine="8"/>
        <w:spacing w:after="0" w:line="350" w:lineRule="auto"/>
        <w:tabs>
          <w:tab w:leader="none" w:pos="4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right="80" w:firstLine="8"/>
        <w:spacing w:after="0" w:line="355"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right="20" w:firstLine="8"/>
        <w:spacing w:after="0" w:line="350"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460" w:firstLine="8"/>
        <w:spacing w:after="0" w:line="350" w:lineRule="auto"/>
        <w:tabs>
          <w:tab w:leader="none" w:pos="3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130" w:name="page131"/>
    <w:bookmarkEnd w:id="130"/>
    <w:p>
      <w:pPr>
        <w:ind w:left="-8" w:right="400" w:firstLine="8"/>
        <w:spacing w:after="0" w:line="355" w:lineRule="auto"/>
        <w:tabs>
          <w:tab w:leader="none" w:pos="4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 w:firstLine="8"/>
        <w:spacing w:after="0" w:line="355" w:lineRule="auto"/>
        <w:tabs>
          <w:tab w:leader="none" w:pos="4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12"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March 22,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92"/>
          </w:cols>
          <w:pgMar w:left="328" w:top="1111" w:right="3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jc w:val="both"/>
        <w:ind w:left="660" w:right="240" w:hanging="4"/>
        <w:spacing w:after="0" w:line="350" w:lineRule="auto"/>
        <w:tabs>
          <w:tab w:leader="none" w:pos="11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2021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2022</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Fortunato Ron Rocca</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jc w:val="both"/>
        <w:ind w:left="660" w:right="240" w:hanging="4"/>
        <w:spacing w:after="0" w:line="350" w:lineRule="auto"/>
        <w:tabs>
          <w:tab w:leader="none" w:pos="11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2021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2022</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9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65" Type="http://schemas.openxmlformats.org/officeDocument/2006/relationships/image" Target="media/image138.png"/><Relationship Id="rId183" Type="http://schemas.openxmlformats.org/officeDocument/2006/relationships/image" Target="media/image139.png"/><Relationship Id="rId202" Type="http://schemas.openxmlformats.org/officeDocument/2006/relationships/image" Target="media/image140.png"/><Relationship Id="rId210" Type="http://schemas.openxmlformats.org/officeDocument/2006/relationships/image" Target="media/image141.png"/><Relationship Id="rId211" Type="http://schemas.openxmlformats.org/officeDocument/2006/relationships/image" Target="media/image142.png"/><Relationship Id="rId212" Type="http://schemas.openxmlformats.org/officeDocument/2006/relationships/image" Target="media/image143.png"/><Relationship Id="rId213" Type="http://schemas.openxmlformats.org/officeDocument/2006/relationships/image" Target="media/image144.png"/><Relationship Id="rId145" Type="http://schemas.openxmlformats.org/officeDocument/2006/relationships/hyperlink" Target="http://www.sec.gov/Archives/edgar/data/1274737/000119312519252366/d769261dex31.htm" TargetMode="External"/><Relationship Id="rId146" Type="http://schemas.openxmlformats.org/officeDocument/2006/relationships/hyperlink" Target="http://www.sec.gov/Archives/edgar/data/1274737/000127473721000017/ex31-amendedandrestatedbyl.htm" TargetMode="External"/><Relationship Id="rId147" Type="http://schemas.openxmlformats.org/officeDocument/2006/relationships/hyperlink" Target="http://www.sec.gov/Archives/edgar/data/1274737/000119312519240403/d692844dex41.htm" TargetMode="External"/><Relationship Id="rId148" Type="http://schemas.openxmlformats.org/officeDocument/2006/relationships/hyperlink" Target="http://www.sec.gov/Archives/edgar/data/1274737/000119312519228011/d692844dex42.htm" TargetMode="External"/><Relationship Id="rId149" Type="http://schemas.openxmlformats.org/officeDocument/2006/relationships/hyperlink" Target="http://www.sec.gov/Archives/edgar/data/1274737/000119312519228011/d692844dex43.htm" TargetMode="External"/><Relationship Id="rId150" Type="http://schemas.openxmlformats.org/officeDocument/2006/relationships/hyperlink" Target="http://www.sec.gov/Archives/edgar/data/1274737/000119312519228011/d692844dex44.htm" TargetMode="External"/><Relationship Id="rId151" Type="http://schemas.openxmlformats.org/officeDocument/2006/relationships/hyperlink" Target="http://www.sec.gov/Archives/edgar/data/1274737/000119312519228011/d692844dex48.htm" TargetMode="External"/><Relationship Id="rId152" Type="http://schemas.openxmlformats.org/officeDocument/2006/relationships/hyperlink" Target="http://www.sec.gov/Archives/edgar/data/1274737/000119312519228011/d692844dex49.htm" TargetMode="External"/><Relationship Id="rId153" Type="http://schemas.openxmlformats.org/officeDocument/2006/relationships/hyperlink" Target="http://www.sec.gov/Archives/edgar/data/1274737/000127473721000094/ex45-formofprexfundedwarra.htm" TargetMode="External"/><Relationship Id="rId154" Type="http://schemas.openxmlformats.org/officeDocument/2006/relationships/hyperlink" Target="http://www.sec.gov/Archives/edgar/data/1274737/000119312519228011/d692844dex101.htm" TargetMode="External"/><Relationship Id="rId155" Type="http://schemas.openxmlformats.org/officeDocument/2006/relationships/hyperlink" Target="http://www.sec.gov/Archives/edgar/data/1274737/000119312519228011/d692844dex102.htm" TargetMode="External"/><Relationship Id="rId156" Type="http://schemas.openxmlformats.org/officeDocument/2006/relationships/hyperlink" Target="http://www.sec.gov/Archives/edgar/data/1274737/000119312519240403/d692844dex103.htm" TargetMode="External"/><Relationship Id="rId157" Type="http://schemas.openxmlformats.org/officeDocument/2006/relationships/hyperlink" Target="http://www.sec.gov/Archives/edgar/data/1274737/000119312519240403/d692844dex104.htm" TargetMode="External"/><Relationship Id="rId158" Type="http://schemas.openxmlformats.org/officeDocument/2006/relationships/hyperlink" Target="http://www.sec.gov/Archives/edgar/data/1274737/000127473721000015/ex105-formofrsuagreement20.htm" TargetMode="External"/><Relationship Id="rId159" Type="http://schemas.openxmlformats.org/officeDocument/2006/relationships/hyperlink" Target="http://www.sec.gov/Archives/edgar/data/1274737/000119312519240403/d692844dex105.htm" TargetMode="External"/><Relationship Id="rId160" Type="http://schemas.openxmlformats.org/officeDocument/2006/relationships/hyperlink" Target="http://www.sec.gov/Archives/edgar/data/1274737/000119312519228011/d692844dex105.htm" TargetMode="External"/><Relationship Id="rId161" Type="http://schemas.openxmlformats.org/officeDocument/2006/relationships/hyperlink" Target="http://www.sec.gov/Archives/edgar/data/1274737/000119312519228011/d692844dex106.htm" TargetMode="External"/><Relationship Id="rId162" Type="http://schemas.openxmlformats.org/officeDocument/2006/relationships/hyperlink" Target="http://www.sec.gov/Archives/edgar/data/1274737/000127473721000115/ex106-letteragreementippur.htm" TargetMode="External"/><Relationship Id="rId163" Type="http://schemas.openxmlformats.org/officeDocument/2006/relationships/hyperlink" Target="http://www.sec.gov/Archives/edgar/data/1274737/000119312519228011/d692844dex1010.htm" TargetMode="External"/><Relationship Id="rId164" Type="http://schemas.openxmlformats.org/officeDocument/2006/relationships/hyperlink" Target="http://www.sec.gov/Archives/edgar/data/1274737/000119312519228011/d692844dex1011.htm" TargetMode="External"/><Relationship Id="rId166" Type="http://schemas.openxmlformats.org/officeDocument/2006/relationships/hyperlink" Target="http://www.sec.gov/Archives/edgar/data/1274737/000119312519228011/d692844dex1012.htm" TargetMode="External"/><Relationship Id="rId167" Type="http://schemas.openxmlformats.org/officeDocument/2006/relationships/hyperlink" Target="http://www.sec.gov/Archives/edgar/data/1274737/000119312519228011/d692844dex1013.htm" TargetMode="External"/><Relationship Id="rId168" Type="http://schemas.openxmlformats.org/officeDocument/2006/relationships/hyperlink" Target="http://www.sec.gov/Archives/edgar/data/1274737/000119312519228011/d692844dex1014.htm" TargetMode="External"/><Relationship Id="rId169" Type="http://schemas.openxmlformats.org/officeDocument/2006/relationships/hyperlink" Target="http://www.sec.gov/Archives/edgar/data/1274737/000119312519228011/d692844dex1015.htm" TargetMode="External"/><Relationship Id="rId170" Type="http://schemas.openxmlformats.org/officeDocument/2006/relationships/hyperlink" Target="http://www.sec.gov/Archives/edgar/data/1274737/000119312519228011/d692844dex1016.htm" TargetMode="External"/><Relationship Id="rId171" Type="http://schemas.openxmlformats.org/officeDocument/2006/relationships/hyperlink" Target="http://www.sec.gov/Archives/edgar/data/1274737/000119312519228011/d692844dex1017.htm" TargetMode="External"/><Relationship Id="rId172" Type="http://schemas.openxmlformats.org/officeDocument/2006/relationships/hyperlink" Target="http://www.sec.gov/Archives/edgar/data/1274737/000119312519228011/d692844dex1018.htm" TargetMode="External"/><Relationship Id="rId173" Type="http://schemas.openxmlformats.org/officeDocument/2006/relationships/hyperlink" Target="http://www.sec.gov/Archives/edgar/data/1274737/000119312519228011/d692844dex1019.htm" TargetMode="External"/><Relationship Id="rId174" Type="http://schemas.openxmlformats.org/officeDocument/2006/relationships/hyperlink" Target="http://www.sec.gov/Archives/edgar/data/1274737/000119312519228011/d692844dex1020.htm" TargetMode="External"/><Relationship Id="rId175" Type="http://schemas.openxmlformats.org/officeDocument/2006/relationships/hyperlink" Target="http://www.sec.gov/Archives/edgar/data/1274737/000119312519228011/d692844dex1021.htm" TargetMode="External"/><Relationship Id="rId176" Type="http://schemas.openxmlformats.org/officeDocument/2006/relationships/hyperlink" Target="http://www.sec.gov/Archives/edgar/data/1274737/000119312519228011/d692844dex1022.htm" TargetMode="External"/><Relationship Id="rId177" Type="http://schemas.openxmlformats.org/officeDocument/2006/relationships/hyperlink" Target="http://www.sec.gov/Archives/edgar/data/1274737/000119312519228011/d692844dex1023.htm" TargetMode="External"/><Relationship Id="rId178" Type="http://schemas.openxmlformats.org/officeDocument/2006/relationships/hyperlink" Target="http://www.sec.gov/Archives/edgar/data/1274737/000127473720000077/ex101-amend1tocoxpromo.htm" TargetMode="External"/><Relationship Id="rId179" Type="http://schemas.openxmlformats.org/officeDocument/2006/relationships/hyperlink" Target="http://www.sec.gov/Archives/edgar/data/1274737/000127473720000077/ex102-amend2tocoxpromo.htm" TargetMode="External"/><Relationship Id="rId180" Type="http://schemas.openxmlformats.org/officeDocument/2006/relationships/hyperlink" Target="http://www.sec.gov/Archives/edgar/data/1274737/000127473721000015/ex1025-amend3tocoxpromotio.htm" TargetMode="External"/><Relationship Id="rId181" Type="http://schemas.openxmlformats.org/officeDocument/2006/relationships/hyperlink" Target="http://www.sec.gov/Archives/edgar/data/1274737/000127473721000094/ex101-amend4tocoxpromotion.htm" TargetMode="External"/><Relationship Id="rId182" Type="http://schemas.openxmlformats.org/officeDocument/2006/relationships/hyperlink" Target="http://www.sec.gov/Archives/edgar/data/1274737/000119312519228011/d692844dex1024.htm" TargetMode="External"/><Relationship Id="rId184" Type="http://schemas.openxmlformats.org/officeDocument/2006/relationships/hyperlink" Target="http://www.sec.gov/Archives/edgar/data/1274737/000119312519228011/d692844dex1025.htm" TargetMode="External"/><Relationship Id="rId185" Type="http://schemas.openxmlformats.org/officeDocument/2006/relationships/hyperlink" Target="http://www.sec.gov/Archives/edgar/data/1274737/000127473720000026/secondamend1261suitebc.htm" TargetMode="External"/><Relationship Id="rId186" Type="http://schemas.openxmlformats.org/officeDocument/2006/relationships/hyperlink" Target="http://www.sec.gov/Archives/edgar/data/1274737/000127473720000026/thirdamend1261suitebc.htm" TargetMode="External"/><Relationship Id="rId187" Type="http://schemas.openxmlformats.org/officeDocument/2006/relationships/hyperlink" Target="http://www.sec.gov/Archives/edgar/data/1274737/000127473720000026/fourthamendmenttolease.htm" TargetMode="External"/><Relationship Id="rId188" Type="http://schemas.openxmlformats.org/officeDocument/2006/relationships/hyperlink" Target="http://www.sec.gov/Archives/edgar/data/1274737/000127473721000115/ex103-fifthaddendumtolease.htm" TargetMode="External"/><Relationship Id="rId189" Type="http://schemas.openxmlformats.org/officeDocument/2006/relationships/hyperlink" Target="http://www.sec.gov/Archives/edgar/data/1274737/000119312519228011/d692844dex1030.htm" TargetMode="External"/><Relationship Id="rId190" Type="http://schemas.openxmlformats.org/officeDocument/2006/relationships/hyperlink" Target="http://www.sec.gov/Archives/edgar/data/1274737/000127473720000026/firstamend1221lease.htm" TargetMode="External"/><Relationship Id="rId191" Type="http://schemas.openxmlformats.org/officeDocument/2006/relationships/hyperlink" Target="http://www.sec.gov/Archives/edgar/data/1274737/000127473720000026/a1221libertyway-leasea.htm" TargetMode="External"/><Relationship Id="rId192" Type="http://schemas.openxmlformats.org/officeDocument/2006/relationships/hyperlink" Target="http://www.sec.gov/Archives/edgar/data/1274737/000127473721000015/ex1034-amend1to1221liberty.htm" TargetMode="External"/><Relationship Id="rId193" Type="http://schemas.openxmlformats.org/officeDocument/2006/relationships/hyperlink" Target="http://www.sec.gov/Archives/edgar/data/1274737/000127473721000115/ex102-amend2to1221libertyw.htm" TargetMode="External"/><Relationship Id="rId194" Type="http://schemas.openxmlformats.org/officeDocument/2006/relationships/hyperlink" Target="http://www.sec.gov/Archives/edgar/data/1274737/000127473720000026/ex10331261suitealeasev2.htm" TargetMode="External"/><Relationship Id="rId195" Type="http://schemas.openxmlformats.org/officeDocument/2006/relationships/hyperlink" Target="http://www.sec.gov/Archives/edgar/data/1274737/000127473721000115/ex104-firstaddendumtolease.htm" TargetMode="External"/><Relationship Id="rId196" Type="http://schemas.openxmlformats.org/officeDocument/2006/relationships/hyperlink" Target="http://www.sec.gov/Archives/edgar/data/1274737/000127473721000115/ex101-subleaseagreement819.htm" TargetMode="External"/><Relationship Id="rId197" Type="http://schemas.openxmlformats.org/officeDocument/2006/relationships/hyperlink" Target="http://www.sec.gov/Archives/edgar/data/1274737/000119312519228011/d692844dex1031.htm" TargetMode="External"/><Relationship Id="rId198" Type="http://schemas.openxmlformats.org/officeDocument/2006/relationships/hyperlink" Target="http://www.sec.gov/Archives/edgar/data/1274737/000119312519228011/d692844dex1032.htm" TargetMode="External"/><Relationship Id="rId199" Type="http://schemas.openxmlformats.org/officeDocument/2006/relationships/hyperlink" Target="http://www.sec.gov/Archives/edgar/data/1274737/000127473720000026/ex1036-innovatusxexage.htm" TargetMode="External"/><Relationship Id="rId200" Type="http://schemas.openxmlformats.org/officeDocument/2006/relationships/hyperlink" Target="http://www.sec.gov/Archives/edgar/data/1274737/000127473720000097/ex101-innovatusacknowl.htm" TargetMode="External"/><Relationship Id="rId201" Type="http://schemas.openxmlformats.org/officeDocument/2006/relationships/hyperlink" Target="http://www.sec.gov/Archives/edgar/data/1274737/000127473721000115/ex105-secondamendmentloana.htm" TargetMode="External"/><Relationship Id="rId203" Type="http://schemas.openxmlformats.org/officeDocument/2006/relationships/hyperlink" Target="http://www.sec.gov/Archives/edgar/data/1274737/000119312519240403/d692844dex1034.htm" TargetMode="External"/><Relationship Id="rId204" Type="http://schemas.openxmlformats.org/officeDocument/2006/relationships/hyperlink" Target="http://www.sec.gov/Archives/edgar/data/1274737/000119312519228011/d692844dex1034.htm" TargetMode="External"/><Relationship Id="rId205" Type="http://schemas.openxmlformats.org/officeDocument/2006/relationships/hyperlink" Target="http://www.sec.gov/Archives/edgar/data/1274737/000119312519240403/d692844dex1036.htm" TargetMode="External"/><Relationship Id="rId206" Type="http://schemas.openxmlformats.org/officeDocument/2006/relationships/hyperlink" Target="http://www.sec.gov/Archives/edgar/data/1274737/000119312519240403/d692844dex1037.htm" TargetMode="External"/><Relationship Id="rId207" Type="http://schemas.openxmlformats.org/officeDocument/2006/relationships/hyperlink" Target="http://www.sec.gov/Archives/edgar/data/1274737/000127473720000026/ex1041-zackofferletter.htm" TargetMode="External"/><Relationship Id="rId208" Type="http://schemas.openxmlformats.org/officeDocument/2006/relationships/hyperlink" Target="http://www.sec.gov/Archives/edgar/data/1274737/000119312519240403/d692844dex1038.htm" TargetMode="External"/><Relationship Id="rId209" Type="http://schemas.openxmlformats.org/officeDocument/2006/relationships/hyperlink" Target="http://www.sec.gov/Archives/edgar/data/1274737/000127473721000015/ex1046-executivecicsever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2022-03-22T16:25:08Z</dcterms:created>
  <dcterms:modified xsi:type="dcterms:W3CDTF">2022-03-22T16:25:08Z</dcterms:modified>
</cp:coreProperties>
</file>