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155"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8-K</w:t>
      </w:r>
    </w:p>
    <w:p>
      <w:pPr>
        <w:spacing w:after="0" w:line="199"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55"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Date of report (Date of earliest event reported): May 11, 2021</w:t>
      </w:r>
    </w:p>
    <w:p>
      <w:pPr>
        <w:spacing w:after="0" w:line="177"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EXAGEN INC.</w:t>
      </w:r>
    </w:p>
    <w:p>
      <w:pPr>
        <w:spacing w:after="0" w:line="5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180"/>
          </w:cols>
          <w:pgMar w:left="320" w:top="1259" w:right="399" w:bottom="1440" w:gutter="0" w:footer="0" w:header="0"/>
        </w:sectPr>
      </w:pPr>
    </w:p>
    <w:p>
      <w:pPr>
        <w:spacing w:after="0" w:line="300" w:lineRule="exact"/>
        <w:rPr>
          <w:sz w:val="24"/>
          <w:szCs w:val="24"/>
          <w:color w:val="auto"/>
        </w:rPr>
      </w:pPr>
    </w:p>
    <w:p>
      <w:pPr>
        <w:ind w:left="18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80" w:lineRule="exact"/>
        <w:rPr>
          <w:sz w:val="24"/>
          <w:szCs w:val="24"/>
          <w:color w:val="auto"/>
        </w:rPr>
      </w:pPr>
    </w:p>
    <w:p>
      <w:pPr>
        <w:jc w:val="center"/>
        <w:ind w:right="1840"/>
        <w:spacing w:after="0"/>
        <w:rPr>
          <w:sz w:val="20"/>
          <w:szCs w:val="20"/>
          <w:color w:val="auto"/>
        </w:rPr>
      </w:pPr>
      <w:r>
        <w:rPr>
          <w:rFonts w:ascii="Arial" w:cs="Arial" w:eastAsia="Arial" w:hAnsi="Arial"/>
          <w:sz w:val="16"/>
          <w:szCs w:val="16"/>
          <w:b w:val="1"/>
          <w:bCs w:val="1"/>
          <w:color w:val="auto"/>
        </w:rPr>
        <w:t>001-39049</w:t>
      </w:r>
    </w:p>
    <w:p>
      <w:pPr>
        <w:spacing w:after="0" w:line="20" w:lineRule="exact"/>
        <w:rPr>
          <w:sz w:val="24"/>
          <w:szCs w:val="24"/>
          <w:color w:val="auto"/>
        </w:rPr>
      </w:pPr>
      <w:r>
        <w:rPr>
          <w:sz w:val="24"/>
          <w:szCs w:val="24"/>
          <w:color w:val="auto"/>
        </w:rPr>
        <w:br w:type="column"/>
      </w:r>
    </w:p>
    <w:p>
      <w:pPr>
        <w:spacing w:after="0" w:line="28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20-0434866</w:t>
      </w:r>
    </w:p>
    <w:p>
      <w:pPr>
        <w:spacing w:after="0" w:line="68" w:lineRule="exact"/>
        <w:rPr>
          <w:sz w:val="24"/>
          <w:szCs w:val="24"/>
          <w:color w:val="auto"/>
        </w:rPr>
      </w:pPr>
    </w:p>
    <w:p>
      <w:pPr>
        <w:sectPr>
          <w:pgSz w:w="11900" w:h="16838" w:orient="portrait"/>
          <w:cols w:equalWidth="0" w:num="3">
            <w:col w:w="4620" w:space="720"/>
            <w:col w:w="2620" w:space="720"/>
            <w:col w:w="2500"/>
          </w:cols>
          <w:pgMar w:left="320" w:top="1259" w:right="399" w:bottom="1440" w:gutter="0" w:footer="0" w:header="0"/>
          <w:type w:val="continuous"/>
        </w:sectPr>
      </w:pPr>
    </w:p>
    <w:p>
      <w:pPr>
        <w:jc w:val="center"/>
        <w:ind w:right="120"/>
        <w:spacing w:after="0"/>
        <w:rPr>
          <w:sz w:val="20"/>
          <w:szCs w:val="20"/>
          <w:color w:val="auto"/>
        </w:rPr>
      </w:pPr>
      <w:r>
        <w:rPr>
          <w:rFonts w:ascii="Arial" w:cs="Arial" w:eastAsia="Arial" w:hAnsi="Arial"/>
          <w:sz w:val="14"/>
          <w:szCs w:val="14"/>
          <w:b w:val="1"/>
          <w:bCs w:val="1"/>
          <w:color w:val="auto"/>
        </w:rPr>
        <w:t>(State or other jurisdiction</w:t>
      </w:r>
    </w:p>
    <w:p>
      <w:pPr>
        <w:spacing w:after="0" w:line="17" w:lineRule="exact"/>
        <w:rPr>
          <w:sz w:val="24"/>
          <w:szCs w:val="24"/>
          <w:color w:val="auto"/>
        </w:rPr>
      </w:pPr>
    </w:p>
    <w:p>
      <w:pPr>
        <w:jc w:val="center"/>
        <w:ind w:right="120"/>
        <w:spacing w:after="0"/>
        <w:rPr>
          <w:sz w:val="20"/>
          <w:szCs w:val="20"/>
          <w:color w:val="auto"/>
        </w:rPr>
      </w:pPr>
      <w:r>
        <w:rPr>
          <w:rFonts w:ascii="Arial" w:cs="Arial" w:eastAsia="Arial" w:hAnsi="Arial"/>
          <w:sz w:val="13"/>
          <w:szCs w:val="13"/>
          <w:b w:val="1"/>
          <w:bCs w:val="1"/>
          <w:color w:val="auto"/>
        </w:rPr>
        <w:t>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0"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line="17"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Identification No.)</w:t>
      </w:r>
    </w:p>
    <w:p>
      <w:pPr>
        <w:spacing w:after="0" w:line="200" w:lineRule="exact"/>
        <w:rPr>
          <w:sz w:val="24"/>
          <w:szCs w:val="24"/>
          <w:color w:val="auto"/>
        </w:rPr>
      </w:pPr>
    </w:p>
    <w:p>
      <w:pPr>
        <w:sectPr>
          <w:pgSz w:w="11900" w:h="16838" w:orient="portrait"/>
          <w:cols w:equalWidth="0" w:num="3">
            <w:col w:w="4600" w:space="720"/>
            <w:col w:w="2520" w:space="720"/>
            <w:col w:w="2620"/>
          </w:cols>
          <w:pgMar w:left="320" w:top="1259" w:right="399" w:bottom="1440" w:gutter="0" w:footer="0" w:header="0"/>
          <w:type w:val="continuous"/>
        </w:sectPr>
      </w:pPr>
    </w:p>
    <w:p>
      <w:pPr>
        <w:spacing w:after="0" w:line="11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1261 Liberty Way</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Vista, CA 92081</w:t>
      </w:r>
    </w:p>
    <w:p>
      <w:pPr>
        <w:spacing w:after="0" w:line="2"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6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(760) 560-1501</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(Registrant’s telephone number, include area code)</w:t>
      </w:r>
    </w:p>
    <w:p>
      <w:pPr>
        <w:spacing w:after="0" w:line="16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ectPr>
          <w:pgSz w:w="11900" w:h="16838" w:orient="portrait"/>
          <w:cols w:equalWidth="0" w:num="1">
            <w:col w:w="11180"/>
          </w:cols>
          <w:pgMar w:left="320" w:top="1259" w:right="399" w:bottom="1440" w:gutter="0" w:footer="0" w:header="0"/>
          <w:type w:val="continuous"/>
        </w:sectPr>
      </w:pPr>
    </w:p>
    <w:p>
      <w:pPr>
        <w:spacing w:after="0" w:line="198"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57"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54"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 CFR 240.14a-12)</w:t>
      </w:r>
    </w:p>
    <w:p>
      <w:pPr>
        <w:spacing w:after="0" w:line="40"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40"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283"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316"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3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3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Trading</w:t>
            </w:r>
          </w:p>
        </w:tc>
        <w:tc>
          <w:tcPr>
            <w:tcW w:w="322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r>
      <w:tr>
        <w:trPr>
          <w:trHeight w:val="219"/>
        </w:trPr>
        <w:tc>
          <w:tcPr>
            <w:tcW w:w="36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Title of each class</w:t>
            </w:r>
          </w:p>
        </w:tc>
        <w:tc>
          <w:tcPr>
            <w:tcW w:w="33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Symbol(s)</w:t>
            </w:r>
          </w:p>
        </w:tc>
        <w:tc>
          <w:tcPr>
            <w:tcW w:w="322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r>
      <w:tr>
        <w:trPr>
          <w:trHeight w:val="234"/>
        </w:trPr>
        <w:tc>
          <w:tcPr>
            <w:tcW w:w="34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160" w:type="dxa"/>
            <w:vAlign w:val="bottom"/>
          </w:tcPr>
          <w:p>
            <w:pPr>
              <w:spacing w:after="0"/>
              <w:rPr>
                <w:sz w:val="20"/>
                <w:szCs w:val="20"/>
                <w:color w:val="auto"/>
              </w:rPr>
            </w:pPr>
          </w:p>
        </w:tc>
        <w:tc>
          <w:tcPr>
            <w:tcW w:w="32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XGN</w:t>
            </w:r>
          </w:p>
        </w:tc>
        <w:tc>
          <w:tcPr>
            <w:tcW w:w="160" w:type="dxa"/>
            <w:vAlign w:val="bottom"/>
          </w:tcPr>
          <w:p>
            <w:pPr>
              <w:spacing w:after="0"/>
              <w:rPr>
                <w:sz w:val="20"/>
                <w:szCs w:val="20"/>
                <w:color w:val="auto"/>
              </w:rPr>
            </w:pPr>
          </w:p>
        </w:tc>
        <w:tc>
          <w:tcPr>
            <w:tcW w:w="32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The Nasdaq Global Market</w:t>
            </w:r>
          </w:p>
        </w:tc>
      </w:tr>
    </w:tbl>
    <w:p>
      <w:pPr>
        <w:spacing w:after="0" w:line="255" w:lineRule="exact"/>
        <w:rPr>
          <w:sz w:val="24"/>
          <w:szCs w:val="24"/>
          <w:color w:val="auto"/>
        </w:rPr>
      </w:pPr>
    </w:p>
    <w:p>
      <w:pPr>
        <w:spacing w:after="0" w:line="218" w:lineRule="exact"/>
        <w:rPr>
          <w:sz w:val="20"/>
          <w:szCs w:val="20"/>
          <w:color w:val="auto"/>
        </w:rPr>
      </w:pPr>
      <w:r>
        <w:rPr>
          <w:rFonts w:ascii="Arial" w:cs="Arial" w:eastAsia="Arial" w:hAnsi="Arial"/>
          <w:sz w:val="16"/>
          <w:szCs w:val="16"/>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7"/>
          <w:szCs w:val="17"/>
          <w:color w:val="auto"/>
        </w:rPr>
        <w:t>☒</w:t>
      </w:r>
    </w:p>
    <w:p>
      <w:pPr>
        <w:spacing w:after="0" w:line="146" w:lineRule="exact"/>
        <w:rPr>
          <w:sz w:val="24"/>
          <w:szCs w:val="24"/>
          <w:color w:val="auto"/>
        </w:rPr>
      </w:pPr>
    </w:p>
    <w:p>
      <w:pPr>
        <w:ind w:right="520"/>
        <w:spacing w:after="0" w:line="218"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ectPr>
          <w:pgSz w:w="11900" w:h="16838" w:orient="portrait"/>
          <w:cols w:equalWidth="0" w:num="1">
            <w:col w:w="11180"/>
          </w:cols>
          <w:pgMar w:left="320" w:top="1259" w:right="3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On May 11, 2021, Exagen Inc. (the “Company”) reported its financial results for the three months ended March 31, 2021. A copy of the press release issued by the Company is furnished as Exhibit 99.1 to this report.</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furnished with Item 2.02 of this report, including Exhibit 99.1, is being furnished and shall not be deemed “filed” for purposes of Section 18 of the Securities Exchange Act of 1934, as amended (the “Exchange Act”), or otherwise subject to the liabilities of that section, nor shall it be deemed incorporated by reference into any other filings under the Exchange Act or under the Securities Act of 1933, as amended, whether made before or after the date hereof, regardless of any general incorporation language in such filing.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Exhibit No.</w:t>
            </w:r>
          </w:p>
        </w:tc>
        <w:tc>
          <w:tcPr>
            <w:tcW w:w="500" w:type="dxa"/>
            <w:vAlign w:val="bottom"/>
          </w:tcPr>
          <w:p>
            <w:pPr>
              <w:spacing w:after="0"/>
              <w:rPr>
                <w:sz w:val="16"/>
                <w:szCs w:val="16"/>
                <w:color w:val="auto"/>
              </w:rPr>
            </w:pPr>
          </w:p>
        </w:tc>
        <w:tc>
          <w:tcPr>
            <w:tcW w:w="2460" w:type="dxa"/>
            <w:vAlign w:val="bottom"/>
          </w:tcPr>
          <w:p>
            <w:pPr>
              <w:spacing w:after="0"/>
              <w:rPr>
                <w:sz w:val="20"/>
                <w:szCs w:val="20"/>
                <w:color w:val="auto"/>
              </w:rPr>
            </w:pPr>
            <w:r>
              <w:rPr>
                <w:rFonts w:ascii="Arial" w:cs="Arial" w:eastAsia="Arial" w:hAnsi="Arial"/>
                <w:sz w:val="14"/>
                <w:szCs w:val="14"/>
                <w:b w:val="1"/>
                <w:bCs w:val="1"/>
                <w:color w:val="auto"/>
              </w:rPr>
              <w:t>Description</w:t>
            </w:r>
          </w:p>
        </w:tc>
      </w:tr>
      <w:tr>
        <w:trPr>
          <w:trHeight w:val="445"/>
        </w:trPr>
        <w:tc>
          <w:tcPr>
            <w:tcW w:w="960" w:type="dxa"/>
            <w:vAlign w:val="bottom"/>
          </w:tcPr>
          <w:p>
            <w:pPr>
              <w:jc w:val="right"/>
              <w:ind w:right="539"/>
              <w:spacing w:after="0"/>
              <w:rPr>
                <w:sz w:val="20"/>
                <w:szCs w:val="20"/>
                <w:color w:val="auto"/>
              </w:rPr>
            </w:pPr>
            <w:r>
              <w:rPr>
                <w:rFonts w:ascii="Arial" w:cs="Arial" w:eastAsia="Arial" w:hAnsi="Arial"/>
                <w:sz w:val="18"/>
                <w:szCs w:val="18"/>
                <w:color w:val="auto"/>
                <w:w w:val="91"/>
              </w:rPr>
              <w:t>99.1</w:t>
            </w:r>
          </w:p>
        </w:tc>
        <w:tc>
          <w:tcPr>
            <w:tcW w:w="500" w:type="dxa"/>
            <w:vAlign w:val="bottom"/>
          </w:tcPr>
          <w:p>
            <w:pPr>
              <w:spacing w:after="0"/>
              <w:rPr>
                <w:sz w:val="24"/>
                <w:szCs w:val="24"/>
                <w:color w:val="auto"/>
              </w:rPr>
            </w:pPr>
          </w:p>
        </w:tc>
        <w:tc>
          <w:tcPr>
            <w:tcW w:w="2460" w:type="dxa"/>
            <w:vAlign w:val="bottom"/>
            <w:tcBorders>
              <w:bottom w:val="single" w:sz="8" w:color="0000FF"/>
            </w:tcBorders>
          </w:tcPr>
          <w:p>
            <w:pPr>
              <w:spacing w:after="0"/>
              <w:rPr>
                <w:rFonts w:ascii="Arial" w:cs="Arial" w:eastAsia="Arial" w:hAnsi="Arial"/>
                <w:sz w:val="18"/>
                <w:szCs w:val="18"/>
                <w:color w:val="0000FF"/>
                <w:w w:val="86"/>
              </w:rPr>
            </w:pPr>
            <w:hyperlink w:anchor="page4">
              <w:r>
                <w:rPr>
                  <w:rFonts w:ascii="Arial" w:cs="Arial" w:eastAsia="Arial" w:hAnsi="Arial"/>
                  <w:sz w:val="18"/>
                  <w:szCs w:val="18"/>
                  <w:color w:val="0000FF"/>
                  <w:w w:val="86"/>
                </w:rPr>
                <w:t>Press Release dated May 11, 2021</w:t>
              </w:r>
            </w:hyperlink>
          </w:p>
        </w:tc>
      </w:tr>
    </w:tbl>
    <w:p>
      <w:pPr>
        <w:sectPr>
          <w:pgSz w:w="11900" w:h="16838" w:orient="portrait"/>
          <w:cols w:equalWidth="0" w:num="1">
            <w:col w:w="11140"/>
          </w:cols>
          <w:pgMar w:left="320" w:top="1336" w:right="4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6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EXAGEN INC.</w:t>
      </w:r>
    </w:p>
    <w:p>
      <w:pPr>
        <w:spacing w:after="0" w:line="279" w:lineRule="exact"/>
        <w:rPr>
          <w:sz w:val="20"/>
          <w:szCs w:val="20"/>
          <w:color w:val="auto"/>
        </w:rPr>
      </w:pPr>
    </w:p>
    <w:p>
      <w:pPr>
        <w:ind w:left="20"/>
        <w:spacing w:after="0"/>
        <w:tabs>
          <w:tab w:leader="none" w:pos="5200" w:val="left"/>
          <w:tab w:leader="none" w:pos="5780" w:val="left"/>
        </w:tabs>
        <w:rPr>
          <w:sz w:val="20"/>
          <w:szCs w:val="20"/>
          <w:color w:val="auto"/>
        </w:rPr>
      </w:pPr>
      <w:r>
        <w:rPr>
          <w:rFonts w:ascii="Arial" w:cs="Arial" w:eastAsia="Arial" w:hAnsi="Arial"/>
          <w:sz w:val="18"/>
          <w:szCs w:val="18"/>
          <w:color w:val="auto"/>
        </w:rPr>
        <w:t>Date: May 11,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Kamal Adawi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23495</wp:posOffset>
            </wp:positionV>
            <wp:extent cx="28371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30"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Kamal Adawi</w:t>
      </w:r>
    </w:p>
    <w:p>
      <w:pPr>
        <w:spacing w:after="0" w:line="2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00"/>
          </w:cols>
          <w:pgMar w:left="320" w:top="1097" w:right="37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1465580" cy="5403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465580"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Exagen Inc. Reports First Quarter 2021 Results</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i w:val="1"/>
          <w:iCs w:val="1"/>
          <w:color w:val="auto"/>
        </w:rPr>
        <w:t>Quarterly Records: AVISE® CTD Volumes, Ordering Healthcare Providers and Adopters</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20"/>
          <w:szCs w:val="20"/>
          <w:color w:val="auto"/>
        </w:rPr>
        <w:t>May 11, 2021</w:t>
      </w:r>
    </w:p>
    <w:p>
      <w:pPr>
        <w:spacing w:after="0" w:line="256" w:lineRule="exact"/>
        <w:rPr>
          <w:sz w:val="20"/>
          <w:szCs w:val="20"/>
          <w:color w:val="auto"/>
        </w:rPr>
      </w:pPr>
    </w:p>
    <w:p>
      <w:pPr>
        <w:ind w:right="120"/>
        <w:spacing w:after="0" w:line="261" w:lineRule="auto"/>
        <w:rPr>
          <w:sz w:val="20"/>
          <w:szCs w:val="20"/>
          <w:color w:val="auto"/>
        </w:rPr>
      </w:pPr>
      <w:r>
        <w:rPr>
          <w:rFonts w:ascii="Arial" w:cs="Arial" w:eastAsia="Arial" w:hAnsi="Arial"/>
          <w:sz w:val="20"/>
          <w:szCs w:val="20"/>
          <w:color w:val="auto"/>
        </w:rPr>
        <w:t>SAN DIEGO – Exagen Inc. (Nasdaq: XGN), a leading provider of autoimmune testing solutions, today reported financial results for the quarter ended March 31, 2021.</w:t>
      </w:r>
    </w:p>
    <w:p>
      <w:pPr>
        <w:spacing w:after="0" w:line="1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First Quarter Highlights:</w:t>
      </w:r>
    </w:p>
    <w:p>
      <w:pPr>
        <w:spacing w:after="0" w:line="172" w:lineRule="exact"/>
        <w:rPr>
          <w:sz w:val="20"/>
          <w:szCs w:val="20"/>
          <w:color w:val="auto"/>
        </w:rPr>
      </w:pPr>
    </w:p>
    <w:p>
      <w:pPr>
        <w:ind w:left="940" w:hanging="284"/>
        <w:spacing w:after="0"/>
        <w:tabs>
          <w:tab w:leader="none" w:pos="940" w:val="left"/>
        </w:tabs>
        <w:numPr>
          <w:ilvl w:val="0"/>
          <w:numId w:val="2"/>
        </w:numPr>
        <w:rPr>
          <w:rFonts w:ascii="Arial" w:cs="Arial" w:eastAsia="Arial" w:hAnsi="Arial"/>
          <w:sz w:val="20"/>
          <w:szCs w:val="20"/>
          <w:color w:val="auto"/>
        </w:rPr>
      </w:pPr>
      <w:r>
        <w:rPr>
          <w:rFonts w:ascii="Arial" w:cs="Arial" w:eastAsia="Arial" w:hAnsi="Arial"/>
          <w:sz w:val="20"/>
          <w:szCs w:val="20"/>
          <w:color w:val="auto"/>
        </w:rPr>
        <w:t>Generated total revenue of $10.6 million for the quarter ended March 31, 2021.</w:t>
      </w:r>
    </w:p>
    <w:p>
      <w:pPr>
        <w:spacing w:after="0" w:line="161" w:lineRule="exact"/>
        <w:rPr>
          <w:rFonts w:ascii="Arial" w:cs="Arial" w:eastAsia="Arial" w:hAnsi="Arial"/>
          <w:sz w:val="20"/>
          <w:szCs w:val="20"/>
          <w:color w:val="auto"/>
        </w:rPr>
      </w:pPr>
    </w:p>
    <w:p>
      <w:pPr>
        <w:ind w:left="940" w:hanging="284"/>
        <w:spacing w:after="0"/>
        <w:tabs>
          <w:tab w:leader="none" w:pos="940" w:val="left"/>
        </w:tabs>
        <w:numPr>
          <w:ilvl w:val="0"/>
          <w:numId w:val="2"/>
        </w:numPr>
        <w:rPr>
          <w:rFonts w:ascii="Arial" w:cs="Arial" w:eastAsia="Arial" w:hAnsi="Arial"/>
          <w:sz w:val="20"/>
          <w:szCs w:val="20"/>
          <w:color w:val="auto"/>
        </w:rPr>
      </w:pPr>
      <w:r>
        <w:rPr>
          <w:rFonts w:ascii="Arial" w:cs="Arial" w:eastAsia="Arial" w:hAnsi="Arial"/>
          <w:sz w:val="20"/>
          <w:szCs w:val="20"/>
          <w:color w:val="auto"/>
        </w:rPr>
        <w:t>Delivered a record 29,029 flagship AVISE® CTD tests, including AVISE® Lupus, in the first quarter 2021.</w:t>
      </w:r>
    </w:p>
    <w:p>
      <w:pPr>
        <w:spacing w:after="0" w:line="161" w:lineRule="exact"/>
        <w:rPr>
          <w:rFonts w:ascii="Arial" w:cs="Arial" w:eastAsia="Arial" w:hAnsi="Arial"/>
          <w:sz w:val="20"/>
          <w:szCs w:val="20"/>
          <w:color w:val="auto"/>
        </w:rPr>
      </w:pPr>
    </w:p>
    <w:p>
      <w:pPr>
        <w:ind w:left="980" w:right="300" w:hanging="324"/>
        <w:spacing w:after="0" w:line="257" w:lineRule="auto"/>
        <w:tabs>
          <w:tab w:leader="none" w:pos="941" w:val="left"/>
        </w:tabs>
        <w:numPr>
          <w:ilvl w:val="0"/>
          <w:numId w:val="2"/>
        </w:numPr>
        <w:rPr>
          <w:rFonts w:ascii="Arial" w:cs="Arial" w:eastAsia="Arial" w:hAnsi="Arial"/>
          <w:sz w:val="20"/>
          <w:szCs w:val="20"/>
          <w:color w:val="auto"/>
        </w:rPr>
      </w:pPr>
      <w:r>
        <w:rPr>
          <w:rFonts w:ascii="Arial" w:cs="Arial" w:eastAsia="Arial" w:hAnsi="Arial"/>
          <w:sz w:val="20"/>
          <w:szCs w:val="20"/>
          <w:color w:val="auto"/>
        </w:rPr>
        <w:t>Record number of ordering healthcare providers totaling 1,763 in the first quarter, including a record 659 adopters, and sequential quarterly retention rate of approximately 99% among adopting healthcare providers from the prior quarter.</w:t>
      </w:r>
    </w:p>
    <w:p>
      <w:pPr>
        <w:spacing w:after="0" w:line="125" w:lineRule="exact"/>
        <w:rPr>
          <w:rFonts w:ascii="Arial" w:cs="Arial" w:eastAsia="Arial" w:hAnsi="Arial"/>
          <w:sz w:val="20"/>
          <w:szCs w:val="20"/>
          <w:color w:val="auto"/>
        </w:rPr>
      </w:pPr>
    </w:p>
    <w:p>
      <w:pPr>
        <w:ind w:left="980" w:right="260" w:hanging="324"/>
        <w:spacing w:after="0" w:line="261" w:lineRule="auto"/>
        <w:tabs>
          <w:tab w:leader="none" w:pos="941" w:val="left"/>
        </w:tabs>
        <w:numPr>
          <w:ilvl w:val="0"/>
          <w:numId w:val="2"/>
        </w:numPr>
        <w:rPr>
          <w:rFonts w:ascii="Arial" w:cs="Arial" w:eastAsia="Arial" w:hAnsi="Arial"/>
          <w:sz w:val="20"/>
          <w:szCs w:val="20"/>
          <w:color w:val="auto"/>
        </w:rPr>
      </w:pPr>
      <w:r>
        <w:rPr>
          <w:rFonts w:ascii="Arial" w:cs="Arial" w:eastAsia="Arial" w:hAnsi="Arial"/>
          <w:sz w:val="20"/>
          <w:szCs w:val="20"/>
          <w:color w:val="auto"/>
        </w:rPr>
        <w:t>Expanded sales force to 60 representatives to cover 63 territories as of March 31, 2021, and launched inside sales team to focus on covering white space and furthering our reach and frequency with rheumatologists.</w:t>
      </w:r>
    </w:p>
    <w:p>
      <w:pPr>
        <w:spacing w:after="0" w:line="134" w:lineRule="exact"/>
        <w:rPr>
          <w:rFonts w:ascii="Arial" w:cs="Arial" w:eastAsia="Arial" w:hAnsi="Arial"/>
          <w:sz w:val="20"/>
          <w:szCs w:val="20"/>
          <w:color w:val="auto"/>
        </w:rPr>
      </w:pPr>
    </w:p>
    <w:p>
      <w:pPr>
        <w:ind w:left="980" w:right="40" w:hanging="324"/>
        <w:spacing w:after="0" w:line="257" w:lineRule="auto"/>
        <w:tabs>
          <w:tab w:leader="none" w:pos="941" w:val="left"/>
        </w:tabs>
        <w:numPr>
          <w:ilvl w:val="0"/>
          <w:numId w:val="2"/>
        </w:numPr>
        <w:rPr>
          <w:rFonts w:ascii="Arial" w:cs="Arial" w:eastAsia="Arial" w:hAnsi="Arial"/>
          <w:sz w:val="20"/>
          <w:szCs w:val="20"/>
          <w:color w:val="auto"/>
        </w:rPr>
      </w:pPr>
      <w:r>
        <w:rPr>
          <w:rFonts w:ascii="Arial" w:cs="Arial" w:eastAsia="Arial" w:hAnsi="Arial"/>
          <w:sz w:val="20"/>
          <w:szCs w:val="20"/>
          <w:color w:val="auto"/>
        </w:rPr>
        <w:t>Completed follow-on public offering of common stock in March resulting in aggregate net proceeds to the company of $64.7 million to focus on growth initiatives and working capital; total cash and cash equivalents were approximately $118.1 million at quarter-end.</w:t>
      </w:r>
    </w:p>
    <w:p>
      <w:pPr>
        <w:spacing w:after="0" w:line="200" w:lineRule="exact"/>
        <w:rPr>
          <w:sz w:val="20"/>
          <w:szCs w:val="20"/>
          <w:color w:val="auto"/>
        </w:rPr>
      </w:pPr>
    </w:p>
    <w:p>
      <w:pPr>
        <w:spacing w:after="0" w:line="303"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“We are very pleased with our continued performance in the first quarter of 2021. With our expanded sales force and over 67 million lives in-network, we continue to build on our momentum with March recognized as an all-time record volume month," said Ron Rocca, President and Chief Executive Officer of Exagen. "Throughout the quarter we continued to position Exagen as a leading autoimmune testing solutions company that places patient care first. With the additional capital raised in the first quarter, we are making further investments in our world-class R&amp;D organization and focusing on new products that will improve patient care, improve efficiencies and build upon our already robust portfolio."</w:t>
      </w:r>
    </w:p>
    <w:p>
      <w:pPr>
        <w:spacing w:after="0" w:line="3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First Quarter 2021 Financial Results</w:t>
      </w:r>
    </w:p>
    <w:p>
      <w:pPr>
        <w:spacing w:after="0" w:line="186" w:lineRule="exact"/>
        <w:rPr>
          <w:sz w:val="20"/>
          <w:szCs w:val="20"/>
          <w:color w:val="auto"/>
        </w:rPr>
      </w:pPr>
    </w:p>
    <w:p>
      <w:pPr>
        <w:ind w:right="160"/>
        <w:spacing w:after="0" w:line="257" w:lineRule="auto"/>
        <w:rPr>
          <w:sz w:val="20"/>
          <w:szCs w:val="20"/>
          <w:color w:val="auto"/>
        </w:rPr>
      </w:pPr>
      <w:r>
        <w:rPr>
          <w:rFonts w:ascii="Arial" w:cs="Arial" w:eastAsia="Arial" w:hAnsi="Arial"/>
          <w:sz w:val="20"/>
          <w:szCs w:val="20"/>
          <w:color w:val="auto"/>
        </w:rPr>
        <w:t>Revenue for the three months ended March 31, 2021 was $10.6 million, compared with $9.6 million in the first quarter of 2020. Testing revenue was $10.3 million for the first quarter of 2021, compared to $9.6 million in the first quarter of 2020, due to increased testing volumes. Our SIMPONI® co-promotion</w:t>
      </w:r>
    </w:p>
    <w:p>
      <w:pPr>
        <w:sectPr>
          <w:pgSz w:w="11900" w:h="16838" w:orient="portrait"/>
          <w:cols w:equalWidth="0" w:num="1">
            <w:col w:w="11220"/>
          </w:cols>
          <w:pgMar w:left="320" w:top="1440" w:right="359" w:bottom="1440" w:gutter="0" w:footer="0" w:header="0"/>
        </w:sectPr>
      </w:pPr>
    </w:p>
    <w:bookmarkStart w:id="4" w:name="page5"/>
    <w:bookmarkEnd w:id="4"/>
    <w:p>
      <w:pPr>
        <w:spacing w:after="0" w:line="6" w:lineRule="exact"/>
        <w:rPr>
          <w:sz w:val="20"/>
          <w:szCs w:val="20"/>
          <w:color w:val="auto"/>
        </w:rPr>
      </w:pPr>
    </w:p>
    <w:p>
      <w:pPr>
        <w:ind w:right="220"/>
        <w:spacing w:after="0" w:line="257" w:lineRule="auto"/>
        <w:rPr>
          <w:sz w:val="20"/>
          <w:szCs w:val="20"/>
          <w:color w:val="auto"/>
        </w:rPr>
      </w:pPr>
      <w:r>
        <w:rPr>
          <w:rFonts w:ascii="Arial" w:cs="Arial" w:eastAsia="Arial" w:hAnsi="Arial"/>
          <w:sz w:val="20"/>
          <w:szCs w:val="20"/>
          <w:color w:val="auto"/>
        </w:rPr>
        <w:t>efforts contributed $0.3 million in the first quarter of 2021, compared to no co-promotion revenue in the first quarter of 2020. Gross margin was 56% in the first quarter of 2021 compared to 53% in the first quarter of 2020, benefiting from an increase in SIMPONI® revenues and a decrease in royalty costs.</w:t>
      </w:r>
    </w:p>
    <w:p>
      <w:pPr>
        <w:spacing w:after="0" w:line="139" w:lineRule="exact"/>
        <w:rPr>
          <w:sz w:val="20"/>
          <w:szCs w:val="20"/>
          <w:color w:val="auto"/>
        </w:rPr>
      </w:pPr>
    </w:p>
    <w:p>
      <w:pPr>
        <w:ind w:right="140"/>
        <w:spacing w:after="0" w:line="257" w:lineRule="auto"/>
        <w:rPr>
          <w:sz w:val="20"/>
          <w:szCs w:val="20"/>
          <w:color w:val="auto"/>
        </w:rPr>
      </w:pPr>
      <w:r>
        <w:rPr>
          <w:rFonts w:ascii="Arial" w:cs="Arial" w:eastAsia="Arial" w:hAnsi="Arial"/>
          <w:sz w:val="20"/>
          <w:szCs w:val="20"/>
          <w:color w:val="auto"/>
        </w:rPr>
        <w:t>Operating expenses were $16.2 million in the first quarter of 2021, compared with $14.8 million in the first quarter of 2020, due to increases in employee related expenses from headcount growth, including stock-based compensation, and research and development expenses.</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color w:val="auto"/>
        </w:rPr>
        <w:t>For the first quarter of 2021, net loss was $6.2 million, compared to a net loss of $5.6 million for the first quarter of 2020.</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Cash and cash equivalents were approximately $118.1 million as of March 31, 2021.</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2021 Guidance</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auto"/>
        </w:rPr>
        <w:t>For the full year 2021, Exagen reaffirms its prior guidance and expects revenue to be in the range of $47 million to $49 million.</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w:t>
      </w:r>
    </w:p>
    <w:p>
      <w:pPr>
        <w:spacing w:after="0" w:line="186" w:lineRule="exact"/>
        <w:rPr>
          <w:sz w:val="20"/>
          <w:szCs w:val="20"/>
          <w:color w:val="auto"/>
        </w:rPr>
      </w:pPr>
    </w:p>
    <w:p>
      <w:pPr>
        <w:ind w:right="140"/>
        <w:spacing w:after="0" w:line="256" w:lineRule="auto"/>
        <w:rPr>
          <w:sz w:val="20"/>
          <w:szCs w:val="20"/>
          <w:color w:val="auto"/>
        </w:rPr>
      </w:pPr>
      <w:r>
        <w:rPr>
          <w:rFonts w:ascii="Arial" w:cs="Arial" w:eastAsia="Arial" w:hAnsi="Arial"/>
          <w:sz w:val="20"/>
          <w:szCs w:val="20"/>
          <w:color w:val="auto"/>
        </w:rPr>
        <w:t>A conference call to review first quarter 2021 financial results and to provide a business update is scheduled for today May 11, 2021 at 4:30 PM Eastern Time (1:30 PM Pacific Time). Interested parties may access the conference call by dialing (877) 407-3982 (U.S.) or (201) 493-6780 (international). Additionally, a link to a live webcast of the call will be available in the Investor Relations section of Exagen's website at http://investors.exagen.com.</w:t>
      </w:r>
    </w:p>
    <w:p>
      <w:pPr>
        <w:spacing w:after="0" w:line="126" w:lineRule="exact"/>
        <w:rPr>
          <w:sz w:val="20"/>
          <w:szCs w:val="20"/>
          <w:color w:val="auto"/>
        </w:rPr>
      </w:pPr>
    </w:p>
    <w:p>
      <w:pPr>
        <w:ind w:right="220"/>
        <w:spacing w:after="0" w:line="256" w:lineRule="auto"/>
        <w:rPr>
          <w:sz w:val="20"/>
          <w:szCs w:val="20"/>
          <w:color w:val="auto"/>
        </w:rPr>
      </w:pPr>
      <w:r>
        <w:rPr>
          <w:rFonts w:ascii="Arial" w:cs="Arial" w:eastAsia="Arial" w:hAnsi="Arial"/>
          <w:sz w:val="20"/>
          <w:szCs w:val="20"/>
          <w:color w:val="auto"/>
        </w:rPr>
        <w:t>Participants are asked to join a few minutes prior to the call to register for the event. A replay of the conference call will be available until Tuesday, May 18, 2021 at 11:59 PM Eastern Time (8:59 PM Pacific Time). Interested parties may access the replay by dialing (844) 512-2921 (U.S.) or (412) 317-6671 (international) using passcode 13718936. A link to the replay of the webcast will also be available in the investor relations section of Exagen's website.</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Exagen</w:t>
      </w:r>
    </w:p>
    <w:p>
      <w:pPr>
        <w:spacing w:after="0" w:line="186" w:lineRule="exact"/>
        <w:rPr>
          <w:sz w:val="20"/>
          <w:szCs w:val="20"/>
          <w:color w:val="auto"/>
        </w:rPr>
      </w:pPr>
    </w:p>
    <w:p>
      <w:pPr>
        <w:spacing w:after="0" w:line="255" w:lineRule="auto"/>
        <w:rPr>
          <w:sz w:val="20"/>
          <w:szCs w:val="20"/>
          <w:color w:val="auto"/>
        </w:rPr>
      </w:pPr>
      <w:r>
        <w:rPr>
          <w:rFonts w:ascii="Arial" w:cs="Arial" w:eastAsia="Arial" w:hAnsi="Arial"/>
          <w:sz w:val="20"/>
          <w:szCs w:val="20"/>
          <w:color w:val="auto"/>
        </w:rPr>
        <w:t xml:space="preserve">Exagen is dedicated to transforming the care continuum for patients suffering from debilitating and chronic autoimmune diseases by enabling timely differential diagnosis and optimizing therapeutic intervention. Exagen has developed and is commercializing a portfolio of innovative testing products under its AVISE® brand, several of which are based on our proprietary Cell-Bound Complement Activation Products, or CB-CAPs, technology. Exagen’s goal is to enable providers to improve care for patients through the differential diagnosis, prognosis and monitoring of complex autoimmune and autoimmune-related diseases, including rheumatoid arthritis and lupus. For more information, please visit </w:t>
      </w:r>
      <w:r>
        <w:rPr>
          <w:rFonts w:ascii="Arial" w:cs="Arial" w:eastAsia="Arial" w:hAnsi="Arial"/>
          <w:sz w:val="20"/>
          <w:szCs w:val="20"/>
          <w:u w:val="single" w:color="auto"/>
          <w:color w:val="0563C1"/>
        </w:rPr>
        <w:t>www.Exagen.com</w:t>
      </w:r>
      <w:r>
        <w:rPr>
          <w:rFonts w:ascii="Arial" w:cs="Arial" w:eastAsia="Arial" w:hAnsi="Arial"/>
          <w:sz w:val="20"/>
          <w:szCs w:val="20"/>
          <w:color w:val="auto"/>
        </w:rPr>
        <w:t>.</w:t>
      </w:r>
    </w:p>
    <w:p>
      <w:pPr>
        <w:spacing w:after="0" w:line="1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 Looking Statements</w:t>
      </w:r>
    </w:p>
    <w:p>
      <w:pPr>
        <w:spacing w:after="0" w:line="186" w:lineRule="exact"/>
        <w:rPr>
          <w:sz w:val="20"/>
          <w:szCs w:val="20"/>
          <w:color w:val="auto"/>
        </w:rPr>
      </w:pPr>
    </w:p>
    <w:p>
      <w:pPr>
        <w:ind w:right="120"/>
        <w:spacing w:after="0" w:line="255" w:lineRule="auto"/>
        <w:rPr>
          <w:sz w:val="20"/>
          <w:szCs w:val="20"/>
          <w:color w:val="auto"/>
        </w:rPr>
      </w:pPr>
      <w:r>
        <w:rPr>
          <w:rFonts w:ascii="Arial" w:cs="Arial" w:eastAsia="Arial" w:hAnsi="Arial"/>
          <w:sz w:val="20"/>
          <w:szCs w:val="20"/>
          <w:color w:val="auto"/>
        </w:rPr>
        <w:t>Exagen cautions you that statements contained in this press release regarding matters that are not historical facts are forward-looking statements. These statements are based on the company’s current beliefs and expectations. Such forward-looking statements include, but are not limited to, statements regarding: the potential benefit of the company's testing products and promoted therapeutic for patients and physicians in autoimmune disease treatment; the expected impact and results of further investments in our business; the company's future potential growth in 2021; and the 2021 guidance. The inclusion of forward-looking statements should not be regarded as a representation by Exagen that any</w:t>
      </w:r>
    </w:p>
    <w:p>
      <w:pPr>
        <w:sectPr>
          <w:pgSz w:w="11900" w:h="16838" w:orient="portrait"/>
          <w:cols w:equalWidth="0" w:num="1">
            <w:col w:w="11200"/>
          </w:cols>
          <w:pgMar w:left="320" w:top="1440" w:right="379" w:bottom="1440" w:gutter="0" w:footer="0" w:header="0"/>
        </w:sectPr>
      </w:pPr>
    </w:p>
    <w:bookmarkStart w:id="5" w:name="page6"/>
    <w:bookmarkEnd w:id="5"/>
    <w:p>
      <w:pPr>
        <w:spacing w:after="0" w:line="6" w:lineRule="exact"/>
        <w:rPr>
          <w:sz w:val="20"/>
          <w:szCs w:val="20"/>
          <w:color w:val="auto"/>
        </w:rPr>
      </w:pPr>
    </w:p>
    <w:p>
      <w:pPr>
        <w:spacing w:after="0" w:line="254" w:lineRule="auto"/>
        <w:rPr>
          <w:sz w:val="20"/>
          <w:szCs w:val="20"/>
          <w:color w:val="auto"/>
        </w:rPr>
      </w:pPr>
      <w:r>
        <w:rPr>
          <w:rFonts w:ascii="Arial" w:cs="Arial" w:eastAsia="Arial" w:hAnsi="Arial"/>
          <w:sz w:val="20"/>
          <w:szCs w:val="20"/>
          <w:color w:val="auto"/>
        </w:rPr>
        <w:t>of its plans will be achieved. Actual results may differ from those set forth in this press release due to the risks and uncertainties inherent in Exagen’s business, including, without limitation: the COVID-19 pandemic may continue to adversely affect our business, financial condition and results of operations, including as a result of shutdowns of our facilities and operations as well as those of our suppliers and courier services, impeding patient movement and interruptions to healthcare services causing a decrease in test volumes, disruptions to the supply chain of material needed for our tests, our sales and commercialization activities and our ability to receive specimens and perform or deliver the results from our tests, delays in reimbursement and coverage decisions from Medicare and third-party payors and in interactions with regulatory authorities, and delays in ongoing and planned clinical trials involving our tests; the company’s commercial success depends upon attaining and maintaining significant market acceptance of its testing products and promoted therapeutics among rheumatologists, patients, third-party payers and others in the medical community; the company’s ability to successfully execute on its business strategy, including its promotion efforts for SIMPONI®; third party payers not providing coverage and adequate reimbursement for the company’s testing products or promoted therapeutics; the company’s ability to obtain and maintain intellectual property protection for its testing products; regulatory developments affecting the company’s business; and other risks described in the company’s prior press releases and the Company’s filings with the Securities and Exchange Commission (SEC), including under the heading “Risk Factors” in the company’s Annual Report on Form 10-K and any subsequent filings with the SEC. You are cautioned not to place undue reliance on these forward-looking statements, which speak only as of the date hereof, and Exagen undertakes no obligation to update such statements to reflect events that occur or circumstances that exist after the date hereof. All forward-looking statements are qualified in their entirety by this cautionary statement, which is made under the safe harbor provisions of the Private Securities Litigation Reform Act of 1995.</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color w:val="auto"/>
        </w:rPr>
        <w:t>CONTACTS:</w:t>
      </w:r>
    </w:p>
    <w:p>
      <w:pPr>
        <w:spacing w:after="0" w:line="1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Investors</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Westwicke Partners</w:t>
      </w:r>
    </w:p>
    <w:p>
      <w:pPr>
        <w:spacing w:after="0"/>
        <w:rPr>
          <w:sz w:val="20"/>
          <w:szCs w:val="20"/>
          <w:color w:val="auto"/>
        </w:rPr>
      </w:pPr>
      <w:r>
        <w:rPr>
          <w:rFonts w:ascii="Arial" w:cs="Arial" w:eastAsia="Arial" w:hAnsi="Arial"/>
          <w:sz w:val="20"/>
          <w:szCs w:val="20"/>
          <w:color w:val="auto"/>
        </w:rPr>
        <w:t>Mike Cavanaugh</w:t>
      </w:r>
    </w:p>
    <w:p>
      <w:pPr>
        <w:spacing w:after="0"/>
        <w:rPr>
          <w:sz w:val="20"/>
          <w:szCs w:val="20"/>
          <w:color w:val="auto"/>
        </w:rPr>
      </w:pPr>
      <w:r>
        <w:rPr>
          <w:rFonts w:ascii="Arial" w:cs="Arial" w:eastAsia="Arial" w:hAnsi="Arial"/>
          <w:sz w:val="20"/>
          <w:szCs w:val="20"/>
          <w:u w:val="single" w:color="auto"/>
          <w:color w:val="0563C1"/>
        </w:rPr>
        <w:t>Mike.Cavanaugh@westwicke.com</w:t>
      </w:r>
    </w:p>
    <w:p>
      <w:pPr>
        <w:spacing w:after="0"/>
        <w:rPr>
          <w:sz w:val="20"/>
          <w:szCs w:val="20"/>
          <w:color w:val="auto"/>
        </w:rPr>
      </w:pPr>
      <w:r>
        <w:rPr>
          <w:rFonts w:ascii="Arial" w:cs="Arial" w:eastAsia="Arial" w:hAnsi="Arial"/>
          <w:sz w:val="20"/>
          <w:szCs w:val="20"/>
          <w:color w:val="auto"/>
        </w:rPr>
        <w:t>646.677.1838</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Company</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Exagen Inc.</w:t>
      </w:r>
    </w:p>
    <w:p>
      <w:pPr>
        <w:spacing w:after="0"/>
        <w:rPr>
          <w:sz w:val="20"/>
          <w:szCs w:val="20"/>
          <w:color w:val="auto"/>
        </w:rPr>
      </w:pPr>
      <w:r>
        <w:rPr>
          <w:rFonts w:ascii="Arial" w:cs="Arial" w:eastAsia="Arial" w:hAnsi="Arial"/>
          <w:sz w:val="20"/>
          <w:szCs w:val="20"/>
          <w:color w:val="auto"/>
        </w:rPr>
        <w:t>Kamal Adawi, Chief Financial Officer</w:t>
      </w:r>
    </w:p>
    <w:p>
      <w:pPr>
        <w:spacing w:after="0"/>
        <w:rPr>
          <w:sz w:val="20"/>
          <w:szCs w:val="20"/>
          <w:color w:val="auto"/>
        </w:rPr>
      </w:pPr>
      <w:r>
        <w:rPr>
          <w:rFonts w:ascii="Arial" w:cs="Arial" w:eastAsia="Arial" w:hAnsi="Arial"/>
          <w:sz w:val="20"/>
          <w:szCs w:val="20"/>
          <w:u w:val="single" w:color="auto"/>
          <w:color w:val="0563C1"/>
        </w:rPr>
        <w:t>kadawi@exagen.com</w:t>
      </w:r>
    </w:p>
    <w:p>
      <w:pPr>
        <w:spacing w:after="0"/>
        <w:rPr>
          <w:sz w:val="20"/>
          <w:szCs w:val="20"/>
          <w:color w:val="auto"/>
        </w:rPr>
      </w:pPr>
      <w:r>
        <w:rPr>
          <w:rFonts w:ascii="Arial" w:cs="Arial" w:eastAsia="Arial" w:hAnsi="Arial"/>
          <w:sz w:val="20"/>
          <w:szCs w:val="20"/>
          <w:color w:val="auto"/>
        </w:rPr>
        <w:t>760.477.5514</w:t>
      </w:r>
    </w:p>
    <w:p>
      <w:pPr>
        <w:sectPr>
          <w:pgSz w:w="11900" w:h="16838" w:orient="portrait"/>
          <w:cols w:equalWidth="0" w:num="1">
            <w:col w:w="11200"/>
          </w:cols>
          <w:pgMar w:left="320" w:top="1440" w:right="379" w:bottom="1440" w:gutter="0" w:footer="0" w:header="0"/>
        </w:sectPr>
      </w:pPr>
    </w:p>
    <w:bookmarkStart w:id="6" w:name="page7"/>
    <w:bookmarkEnd w:id="6"/>
    <w:p>
      <w:pPr>
        <w:ind w:left="5100"/>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Unaudited Condensed Statements of Operations</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428"/>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83"/>
        </w:trPr>
        <w:tc>
          <w:tcPr>
            <w:tcW w:w="80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4"/>
        </w:trPr>
        <w:tc>
          <w:tcPr>
            <w:tcW w:w="8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0" w:type="dxa"/>
            <w:vAlign w:val="bottom"/>
            <w:gridSpan w:val="3"/>
          </w:tcPr>
          <w:p>
            <w:pPr>
              <w:jc w:val="right"/>
              <w:ind w:right="68"/>
              <w:spacing w:after="0"/>
              <w:rPr>
                <w:sz w:val="20"/>
                <w:szCs w:val="20"/>
                <w:color w:val="auto"/>
              </w:rPr>
            </w:pPr>
            <w:r>
              <w:rPr>
                <w:rFonts w:ascii="Arial" w:cs="Arial" w:eastAsia="Arial" w:hAnsi="Arial"/>
                <w:sz w:val="14"/>
                <w:szCs w:val="14"/>
                <w:b w:val="1"/>
                <w:bCs w:val="1"/>
                <w:color w:val="auto"/>
              </w:rPr>
              <w:t>(Unaudited)</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80" w:type="dxa"/>
            <w:vAlign w:val="bottom"/>
          </w:tcPr>
          <w:p>
            <w:pPr>
              <w:spacing w:after="0"/>
              <w:rPr>
                <w:sz w:val="20"/>
                <w:szCs w:val="20"/>
                <w:color w:val="auto"/>
              </w:rPr>
            </w:pPr>
            <w:r>
              <w:rPr>
                <w:rFonts w:ascii="Arial" w:cs="Arial" w:eastAsia="Arial" w:hAnsi="Arial"/>
                <w:sz w:val="14"/>
                <w:szCs w:val="14"/>
                <w:color w:val="auto"/>
              </w:rPr>
              <w:t>Revenue</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10,587</w:t>
            </w:r>
          </w:p>
        </w:tc>
        <w:tc>
          <w:tcPr>
            <w:tcW w:w="120" w:type="dxa"/>
            <w:vAlign w:val="bottom"/>
          </w:tcPr>
          <w:p>
            <w:pPr>
              <w:spacing w:after="0"/>
              <w:rPr>
                <w:sz w:val="16"/>
                <w:szCs w:val="16"/>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9,584</w:t>
            </w:r>
          </w:p>
        </w:tc>
        <w:tc>
          <w:tcPr>
            <w:tcW w:w="0" w:type="dxa"/>
            <w:vAlign w:val="bottom"/>
          </w:tcPr>
          <w:p>
            <w:pPr>
              <w:spacing w:after="0"/>
              <w:rPr>
                <w:sz w:val="1"/>
                <w:szCs w:val="1"/>
                <w:color w:val="auto"/>
              </w:rPr>
            </w:pPr>
          </w:p>
        </w:tc>
      </w:tr>
      <w:tr>
        <w:trPr>
          <w:trHeight w:val="189"/>
        </w:trPr>
        <w:tc>
          <w:tcPr>
            <w:tcW w:w="8080" w:type="dxa"/>
            <w:vAlign w:val="bottom"/>
          </w:tcPr>
          <w:p>
            <w:pPr>
              <w:spacing w:after="0"/>
              <w:rPr>
                <w:sz w:val="20"/>
                <w:szCs w:val="20"/>
                <w:color w:val="auto"/>
              </w:rPr>
            </w:pPr>
            <w:r>
              <w:rPr>
                <w:rFonts w:ascii="Arial" w:cs="Arial" w:eastAsia="Arial" w:hAnsi="Arial"/>
                <w:sz w:val="14"/>
                <w:szCs w:val="14"/>
                <w:color w:val="auto"/>
              </w:rPr>
              <w:t>Operating expenses:</w:t>
            </w: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80" w:type="dxa"/>
            <w:vAlign w:val="bottom"/>
          </w:tcPr>
          <w:p>
            <w:pPr>
              <w:ind w:left="340"/>
              <w:spacing w:after="0"/>
              <w:rPr>
                <w:sz w:val="20"/>
                <w:szCs w:val="20"/>
                <w:color w:val="auto"/>
              </w:rPr>
            </w:pPr>
            <w:r>
              <w:rPr>
                <w:rFonts w:ascii="Arial" w:cs="Arial" w:eastAsia="Arial" w:hAnsi="Arial"/>
                <w:sz w:val="14"/>
                <w:szCs w:val="14"/>
                <w:color w:val="auto"/>
              </w:rPr>
              <w:t>Costs of revenue</w:t>
            </w:r>
          </w:p>
        </w:tc>
        <w:tc>
          <w:tcPr>
            <w:tcW w:w="3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4,711</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4,545</w:t>
            </w:r>
          </w:p>
        </w:tc>
        <w:tc>
          <w:tcPr>
            <w:tcW w:w="0" w:type="dxa"/>
            <w:vAlign w:val="bottom"/>
          </w:tcPr>
          <w:p>
            <w:pPr>
              <w:spacing w:after="0"/>
              <w:rPr>
                <w:sz w:val="1"/>
                <w:szCs w:val="1"/>
                <w:color w:val="auto"/>
              </w:rPr>
            </w:pPr>
          </w:p>
        </w:tc>
      </w:tr>
      <w:tr>
        <w:trPr>
          <w:trHeight w:val="189"/>
        </w:trPr>
        <w:tc>
          <w:tcPr>
            <w:tcW w:w="8080" w:type="dxa"/>
            <w:vAlign w:val="bottom"/>
          </w:tcPr>
          <w:p>
            <w:pPr>
              <w:ind w:left="340"/>
              <w:spacing w:after="0"/>
              <w:rPr>
                <w:sz w:val="20"/>
                <w:szCs w:val="20"/>
                <w:color w:val="auto"/>
              </w:rPr>
            </w:pPr>
            <w:r>
              <w:rPr>
                <w:rFonts w:ascii="Arial" w:cs="Arial" w:eastAsia="Arial" w:hAnsi="Arial"/>
                <w:sz w:val="14"/>
                <w:szCs w:val="14"/>
                <w:color w:val="auto"/>
              </w:rPr>
              <w:t>Selling, general and administrative expenses</w:t>
            </w:r>
          </w:p>
        </w:tc>
        <w:tc>
          <w:tcPr>
            <w:tcW w:w="3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10,040</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9,626</w:t>
            </w:r>
          </w:p>
        </w:tc>
        <w:tc>
          <w:tcPr>
            <w:tcW w:w="0" w:type="dxa"/>
            <w:vAlign w:val="bottom"/>
          </w:tcPr>
          <w:p>
            <w:pPr>
              <w:spacing w:after="0"/>
              <w:rPr>
                <w:sz w:val="1"/>
                <w:szCs w:val="1"/>
                <w:color w:val="auto"/>
              </w:rPr>
            </w:pPr>
          </w:p>
        </w:tc>
      </w:tr>
      <w:tr>
        <w:trPr>
          <w:trHeight w:val="188"/>
        </w:trPr>
        <w:tc>
          <w:tcPr>
            <w:tcW w:w="8080" w:type="dxa"/>
            <w:vAlign w:val="bottom"/>
          </w:tcPr>
          <w:p>
            <w:pPr>
              <w:ind w:left="340"/>
              <w:spacing w:after="0"/>
              <w:rPr>
                <w:sz w:val="20"/>
                <w:szCs w:val="20"/>
                <w:color w:val="auto"/>
              </w:rPr>
            </w:pPr>
            <w:r>
              <w:rPr>
                <w:rFonts w:ascii="Arial" w:cs="Arial" w:eastAsia="Arial" w:hAnsi="Arial"/>
                <w:sz w:val="14"/>
                <w:szCs w:val="14"/>
                <w:color w:val="auto"/>
              </w:rPr>
              <w:t>Research and development expenses</w:t>
            </w: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1,403</w:t>
            </w:r>
          </w:p>
        </w:tc>
        <w:tc>
          <w:tcPr>
            <w:tcW w:w="1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634</w:t>
            </w:r>
          </w:p>
        </w:tc>
        <w:tc>
          <w:tcPr>
            <w:tcW w:w="0" w:type="dxa"/>
            <w:vAlign w:val="bottom"/>
          </w:tcPr>
          <w:p>
            <w:pPr>
              <w:spacing w:after="0"/>
              <w:rPr>
                <w:sz w:val="1"/>
                <w:szCs w:val="1"/>
                <w:color w:val="auto"/>
              </w:rPr>
            </w:pPr>
          </w:p>
        </w:tc>
      </w:tr>
      <w:tr>
        <w:trPr>
          <w:trHeight w:val="183"/>
        </w:trPr>
        <w:tc>
          <w:tcPr>
            <w:tcW w:w="8080" w:type="dxa"/>
            <w:vAlign w:val="bottom"/>
          </w:tcPr>
          <w:p>
            <w:pPr>
              <w:ind w:left="660"/>
              <w:spacing w:after="0"/>
              <w:rPr>
                <w:sz w:val="20"/>
                <w:szCs w:val="20"/>
                <w:color w:val="auto"/>
              </w:rPr>
            </w:pPr>
            <w:r>
              <w:rPr>
                <w:rFonts w:ascii="Arial" w:cs="Arial" w:eastAsia="Arial" w:hAnsi="Arial"/>
                <w:sz w:val="14"/>
                <w:szCs w:val="14"/>
                <w:color w:val="auto"/>
              </w:rPr>
              <w:t>Total operating expenses</w:t>
            </w: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16,154</w:t>
            </w:r>
          </w:p>
        </w:tc>
        <w:tc>
          <w:tcPr>
            <w:tcW w:w="12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14,805</w:t>
            </w:r>
          </w:p>
        </w:tc>
        <w:tc>
          <w:tcPr>
            <w:tcW w:w="0" w:type="dxa"/>
            <w:vAlign w:val="bottom"/>
          </w:tcPr>
          <w:p>
            <w:pPr>
              <w:spacing w:after="0"/>
              <w:rPr>
                <w:sz w:val="1"/>
                <w:szCs w:val="1"/>
                <w:color w:val="auto"/>
              </w:rPr>
            </w:pPr>
          </w:p>
        </w:tc>
      </w:tr>
      <w:tr>
        <w:trPr>
          <w:trHeight w:val="184"/>
        </w:trPr>
        <w:tc>
          <w:tcPr>
            <w:tcW w:w="8080" w:type="dxa"/>
            <w:vAlign w:val="bottom"/>
          </w:tcPr>
          <w:p>
            <w:pPr>
              <w:spacing w:after="0"/>
              <w:rPr>
                <w:sz w:val="20"/>
                <w:szCs w:val="20"/>
                <w:color w:val="auto"/>
              </w:rPr>
            </w:pPr>
            <w:r>
              <w:rPr>
                <w:rFonts w:ascii="Arial" w:cs="Arial" w:eastAsia="Arial" w:hAnsi="Arial"/>
                <w:sz w:val="14"/>
                <w:szCs w:val="14"/>
                <w:color w:val="auto"/>
              </w:rPr>
              <w:t>Loss from operations</w:t>
            </w:r>
          </w:p>
        </w:tc>
        <w:tc>
          <w:tcPr>
            <w:tcW w:w="3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(5,567)</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(5,221)</w:t>
            </w:r>
          </w:p>
        </w:tc>
        <w:tc>
          <w:tcPr>
            <w:tcW w:w="0" w:type="dxa"/>
            <w:vAlign w:val="bottom"/>
          </w:tcPr>
          <w:p>
            <w:pPr>
              <w:spacing w:after="0"/>
              <w:rPr>
                <w:sz w:val="1"/>
                <w:szCs w:val="1"/>
                <w:color w:val="auto"/>
              </w:rPr>
            </w:pPr>
          </w:p>
        </w:tc>
      </w:tr>
      <w:tr>
        <w:trPr>
          <w:trHeight w:val="189"/>
        </w:trPr>
        <w:tc>
          <w:tcPr>
            <w:tcW w:w="8080" w:type="dxa"/>
            <w:vAlign w:val="bottom"/>
          </w:tcPr>
          <w:p>
            <w:pPr>
              <w:spacing w:after="0"/>
              <w:rPr>
                <w:sz w:val="20"/>
                <w:szCs w:val="20"/>
                <w:color w:val="auto"/>
              </w:rPr>
            </w:pPr>
            <w:r>
              <w:rPr>
                <w:rFonts w:ascii="Arial" w:cs="Arial" w:eastAsia="Arial" w:hAnsi="Arial"/>
                <w:sz w:val="14"/>
                <w:szCs w:val="14"/>
                <w:color w:val="auto"/>
              </w:rPr>
              <w:t>Interest expense</w:t>
            </w:r>
          </w:p>
        </w:tc>
        <w:tc>
          <w:tcPr>
            <w:tcW w:w="3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(645)</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(631)</w:t>
            </w:r>
          </w:p>
        </w:tc>
        <w:tc>
          <w:tcPr>
            <w:tcW w:w="0" w:type="dxa"/>
            <w:vAlign w:val="bottom"/>
          </w:tcPr>
          <w:p>
            <w:pPr>
              <w:spacing w:after="0"/>
              <w:rPr>
                <w:sz w:val="1"/>
                <w:szCs w:val="1"/>
                <w:color w:val="auto"/>
              </w:rPr>
            </w:pPr>
          </w:p>
        </w:tc>
      </w:tr>
      <w:tr>
        <w:trPr>
          <w:trHeight w:val="188"/>
        </w:trPr>
        <w:tc>
          <w:tcPr>
            <w:tcW w:w="8080" w:type="dxa"/>
            <w:vAlign w:val="bottom"/>
          </w:tcPr>
          <w:p>
            <w:pPr>
              <w:spacing w:after="0"/>
              <w:rPr>
                <w:sz w:val="20"/>
                <w:szCs w:val="20"/>
                <w:color w:val="auto"/>
              </w:rPr>
            </w:pPr>
            <w:r>
              <w:rPr>
                <w:rFonts w:ascii="Arial" w:cs="Arial" w:eastAsia="Arial" w:hAnsi="Arial"/>
                <w:sz w:val="14"/>
                <w:szCs w:val="14"/>
                <w:color w:val="auto"/>
              </w:rPr>
              <w:t>Other income, net</w:t>
            </w: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w:t>
            </w:r>
          </w:p>
        </w:tc>
        <w:tc>
          <w:tcPr>
            <w:tcW w:w="0" w:type="dxa"/>
            <w:vAlign w:val="bottom"/>
          </w:tcPr>
          <w:p>
            <w:pPr>
              <w:spacing w:after="0"/>
              <w:rPr>
                <w:sz w:val="1"/>
                <w:szCs w:val="1"/>
                <w:color w:val="auto"/>
              </w:rPr>
            </w:pPr>
          </w:p>
        </w:tc>
      </w:tr>
      <w:tr>
        <w:trPr>
          <w:trHeight w:val="184"/>
        </w:trPr>
        <w:tc>
          <w:tcPr>
            <w:tcW w:w="8080" w:type="dxa"/>
            <w:vAlign w:val="bottom"/>
          </w:tcPr>
          <w:p>
            <w:pPr>
              <w:spacing w:after="0"/>
              <w:rPr>
                <w:sz w:val="20"/>
                <w:szCs w:val="20"/>
                <w:color w:val="auto"/>
              </w:rPr>
            </w:pPr>
            <w:r>
              <w:rPr>
                <w:rFonts w:ascii="Arial" w:cs="Arial" w:eastAsia="Arial" w:hAnsi="Arial"/>
                <w:sz w:val="14"/>
                <w:szCs w:val="14"/>
                <w:color w:val="auto"/>
              </w:rPr>
              <w:t>Loss before income taxes</w:t>
            </w:r>
          </w:p>
        </w:tc>
        <w:tc>
          <w:tcPr>
            <w:tcW w:w="3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(6,209)</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(5,681)</w:t>
            </w:r>
          </w:p>
        </w:tc>
        <w:tc>
          <w:tcPr>
            <w:tcW w:w="0" w:type="dxa"/>
            <w:vAlign w:val="bottom"/>
          </w:tcPr>
          <w:p>
            <w:pPr>
              <w:spacing w:after="0"/>
              <w:rPr>
                <w:sz w:val="1"/>
                <w:szCs w:val="1"/>
                <w:color w:val="auto"/>
              </w:rPr>
            </w:pPr>
          </w:p>
        </w:tc>
      </w:tr>
      <w:tr>
        <w:trPr>
          <w:trHeight w:val="188"/>
        </w:trPr>
        <w:tc>
          <w:tcPr>
            <w:tcW w:w="8080" w:type="dxa"/>
            <w:vAlign w:val="bottom"/>
          </w:tcPr>
          <w:p>
            <w:pPr>
              <w:spacing w:after="0"/>
              <w:rPr>
                <w:sz w:val="20"/>
                <w:szCs w:val="20"/>
                <w:color w:val="auto"/>
              </w:rPr>
            </w:pPr>
            <w:r>
              <w:rPr>
                <w:rFonts w:ascii="Arial" w:cs="Arial" w:eastAsia="Arial" w:hAnsi="Arial"/>
                <w:sz w:val="14"/>
                <w:szCs w:val="14"/>
                <w:color w:val="auto"/>
              </w:rPr>
              <w:t>Income tax benefit</w:t>
            </w:r>
          </w:p>
        </w:tc>
        <w:tc>
          <w:tcPr>
            <w:tcW w:w="300" w:type="dxa"/>
            <w:vAlign w:val="bottom"/>
          </w:tcPr>
          <w:p>
            <w:pPr>
              <w:spacing w:after="0"/>
              <w:rPr>
                <w:sz w:val="16"/>
                <w:szCs w:val="16"/>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183"/>
        </w:trPr>
        <w:tc>
          <w:tcPr>
            <w:tcW w:w="8080" w:type="dxa"/>
            <w:vAlign w:val="bottom"/>
          </w:tcPr>
          <w:p>
            <w:pPr>
              <w:spacing w:after="0"/>
              <w:rPr>
                <w:sz w:val="20"/>
                <w:szCs w:val="20"/>
                <w:color w:val="auto"/>
              </w:rPr>
            </w:pPr>
            <w:r>
              <w:rPr>
                <w:rFonts w:ascii="Arial" w:cs="Arial" w:eastAsia="Arial" w:hAnsi="Arial"/>
                <w:sz w:val="14"/>
                <w:szCs w:val="14"/>
                <w:color w:val="auto"/>
              </w:rPr>
              <w:t>Net loss</w:t>
            </w: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(6,209)</w:t>
            </w:r>
          </w:p>
        </w:tc>
        <w:tc>
          <w:tcPr>
            <w:tcW w:w="120" w:type="dxa"/>
            <w:vAlign w:val="bottom"/>
          </w:tcPr>
          <w:p>
            <w:pPr>
              <w:spacing w:after="0"/>
              <w:rPr>
                <w:sz w:val="15"/>
                <w:szCs w:val="15"/>
                <w:color w:val="auto"/>
              </w:rPr>
            </w:pPr>
          </w:p>
        </w:tc>
        <w:tc>
          <w:tcPr>
            <w:tcW w:w="48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(5,563)</w:t>
            </w:r>
          </w:p>
        </w:tc>
        <w:tc>
          <w:tcPr>
            <w:tcW w:w="0" w:type="dxa"/>
            <w:vAlign w:val="bottom"/>
          </w:tcPr>
          <w:p>
            <w:pPr>
              <w:spacing w:after="0"/>
              <w:rPr>
                <w:sz w:val="1"/>
                <w:szCs w:val="1"/>
                <w:color w:val="auto"/>
              </w:rPr>
            </w:pPr>
          </w:p>
        </w:tc>
      </w:tr>
      <w:tr>
        <w:trPr>
          <w:trHeight w:val="21"/>
        </w:trPr>
        <w:tc>
          <w:tcPr>
            <w:tcW w:w="8080" w:type="dxa"/>
            <w:vAlign w:val="bottom"/>
            <w:vMerge w:val="restart"/>
          </w:tcPr>
          <w:p>
            <w:pPr>
              <w:spacing w:after="0"/>
              <w:rPr>
                <w:sz w:val="20"/>
                <w:szCs w:val="20"/>
                <w:color w:val="auto"/>
              </w:rPr>
            </w:pPr>
            <w:r>
              <w:rPr>
                <w:rFonts w:ascii="Arial" w:cs="Arial" w:eastAsia="Arial" w:hAnsi="Arial"/>
                <w:sz w:val="14"/>
                <w:szCs w:val="14"/>
                <w:color w:val="auto"/>
              </w:rPr>
              <w:t>Net loss per share, basic and diluted</w:t>
            </w: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8080" w:type="dxa"/>
            <w:vAlign w:val="bottom"/>
            <w:vMerge w:val="continue"/>
          </w:tcPr>
          <w:p>
            <w:pPr>
              <w:spacing w:after="0"/>
              <w:rPr>
                <w:sz w:val="15"/>
                <w:szCs w:val="15"/>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(0.48)</w:t>
            </w:r>
          </w:p>
        </w:tc>
        <w:tc>
          <w:tcPr>
            <w:tcW w:w="120" w:type="dxa"/>
            <w:vAlign w:val="bottom"/>
          </w:tcPr>
          <w:p>
            <w:pPr>
              <w:spacing w:after="0"/>
              <w:rPr>
                <w:sz w:val="15"/>
                <w:szCs w:val="15"/>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(0.44)</w:t>
            </w:r>
          </w:p>
        </w:tc>
        <w:tc>
          <w:tcPr>
            <w:tcW w:w="0" w:type="dxa"/>
            <w:vAlign w:val="bottom"/>
          </w:tcPr>
          <w:p>
            <w:pPr>
              <w:spacing w:after="0"/>
              <w:rPr>
                <w:sz w:val="1"/>
                <w:szCs w:val="1"/>
                <w:color w:val="auto"/>
              </w:rPr>
            </w:pPr>
          </w:p>
        </w:tc>
      </w:tr>
      <w:tr>
        <w:trPr>
          <w:trHeight w:val="20"/>
        </w:trPr>
        <w:tc>
          <w:tcPr>
            <w:tcW w:w="8080" w:type="dxa"/>
            <w:vAlign w:val="bottom"/>
            <w:vMerge w:val="restart"/>
          </w:tcPr>
          <w:p>
            <w:pPr>
              <w:spacing w:after="0"/>
              <w:rPr>
                <w:sz w:val="20"/>
                <w:szCs w:val="20"/>
                <w:color w:val="auto"/>
              </w:rPr>
            </w:pPr>
            <w:r>
              <w:rPr>
                <w:rFonts w:ascii="Arial" w:cs="Arial" w:eastAsia="Arial" w:hAnsi="Arial"/>
                <w:sz w:val="14"/>
                <w:szCs w:val="14"/>
                <w:color w:val="auto"/>
              </w:rPr>
              <w:t>Weighted-average number of shares used to compute net loss per share, basic and diluted</w:t>
            </w: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8080" w:type="dxa"/>
            <w:vAlign w:val="bottom"/>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12,943,237</w:t>
            </w:r>
          </w:p>
        </w:tc>
        <w:tc>
          <w:tcPr>
            <w:tcW w:w="12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12,595,715</w:t>
            </w:r>
          </w:p>
        </w:tc>
        <w:tc>
          <w:tcPr>
            <w:tcW w:w="0" w:type="dxa"/>
            <w:vAlign w:val="bottom"/>
          </w:tcPr>
          <w:p>
            <w:pPr>
              <w:spacing w:after="0"/>
              <w:rPr>
                <w:sz w:val="1"/>
                <w:szCs w:val="1"/>
                <w:color w:val="auto"/>
              </w:rPr>
            </w:pPr>
          </w:p>
        </w:tc>
      </w:tr>
      <w:tr>
        <w:trPr>
          <w:trHeight w:val="21"/>
        </w:trPr>
        <w:tc>
          <w:tcPr>
            <w:tcW w:w="8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40" w:top="1413" w:right="339" w:bottom="1440" w:gutter="0" w:footer="0" w:header="0"/>
        </w:sectPr>
      </w:pPr>
    </w:p>
    <w:bookmarkStart w:id="7" w:name="page8"/>
    <w:bookmarkEnd w:id="7"/>
    <w:p>
      <w:pPr>
        <w:ind w:left="5100"/>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Condensed Balance Sheets</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320" w:type="dxa"/>
            <w:vAlign w:val="bottom"/>
            <w:vMerge w:val="restart"/>
          </w:tcPr>
          <w:p>
            <w:pPr>
              <w:spacing w:after="0"/>
              <w:rPr>
                <w:sz w:val="20"/>
                <w:szCs w:val="20"/>
                <w:color w:val="auto"/>
              </w:rPr>
            </w:pPr>
            <w:r>
              <w:rPr>
                <w:rFonts w:ascii="Arial" w:cs="Arial" w:eastAsia="Arial" w:hAnsi="Arial"/>
                <w:sz w:val="14"/>
                <w:szCs w:val="14"/>
                <w:b w:val="1"/>
                <w:bCs w:val="1"/>
                <w:color w:val="auto"/>
              </w:rPr>
              <w:t>Assets</w:t>
            </w: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March 31, 2021</w:t>
            </w:r>
          </w:p>
        </w:tc>
        <w:tc>
          <w:tcPr>
            <w:tcW w:w="120" w:type="dxa"/>
            <w:vAlign w:val="bottom"/>
          </w:tcPr>
          <w:p>
            <w:pPr>
              <w:spacing w:after="0"/>
              <w:rPr>
                <w:sz w:val="16"/>
                <w:szCs w:val="16"/>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84"/>
        </w:trPr>
        <w:tc>
          <w:tcPr>
            <w:tcW w:w="83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(Unaudited)</w:t>
            </w: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320" w:type="dxa"/>
            <w:vAlign w:val="bottom"/>
          </w:tcPr>
          <w:p>
            <w:pPr>
              <w:spacing w:after="0"/>
              <w:rPr>
                <w:sz w:val="20"/>
                <w:szCs w:val="20"/>
                <w:color w:val="auto"/>
              </w:rPr>
            </w:pPr>
            <w:r>
              <w:rPr>
                <w:rFonts w:ascii="Arial" w:cs="Arial" w:eastAsia="Arial" w:hAnsi="Arial"/>
                <w:sz w:val="14"/>
                <w:szCs w:val="14"/>
                <w:color w:val="auto"/>
              </w:rPr>
              <w:t>Current assets:</w:t>
            </w: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320" w:type="dxa"/>
            <w:vAlign w:val="bottom"/>
          </w:tcPr>
          <w:p>
            <w:pPr>
              <w:ind w:left="340"/>
              <w:spacing w:after="0"/>
              <w:rPr>
                <w:sz w:val="20"/>
                <w:szCs w:val="20"/>
                <w:color w:val="auto"/>
              </w:rPr>
            </w:pPr>
            <w:r>
              <w:rPr>
                <w:rFonts w:ascii="Arial" w:cs="Arial" w:eastAsia="Arial" w:hAnsi="Arial"/>
                <w:sz w:val="14"/>
                <w:szCs w:val="14"/>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118,050</w:t>
            </w:r>
          </w:p>
        </w:tc>
        <w:tc>
          <w:tcPr>
            <w:tcW w:w="120" w:type="dxa"/>
            <w:vAlign w:val="bottom"/>
          </w:tcPr>
          <w:p>
            <w:pPr>
              <w:spacing w:after="0"/>
              <w:rPr>
                <w:sz w:val="16"/>
                <w:szCs w:val="16"/>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57,448</w:t>
            </w:r>
          </w:p>
        </w:tc>
        <w:tc>
          <w:tcPr>
            <w:tcW w:w="0" w:type="dxa"/>
            <w:vAlign w:val="bottom"/>
          </w:tcPr>
          <w:p>
            <w:pPr>
              <w:spacing w:after="0"/>
              <w:rPr>
                <w:sz w:val="1"/>
                <w:szCs w:val="1"/>
                <w:color w:val="auto"/>
              </w:rPr>
            </w:pPr>
          </w:p>
        </w:tc>
      </w:tr>
      <w:tr>
        <w:trPr>
          <w:trHeight w:val="189"/>
        </w:trPr>
        <w:tc>
          <w:tcPr>
            <w:tcW w:w="8320" w:type="dxa"/>
            <w:vAlign w:val="bottom"/>
          </w:tcPr>
          <w:p>
            <w:pPr>
              <w:ind w:left="340"/>
              <w:spacing w:after="0"/>
              <w:rPr>
                <w:sz w:val="20"/>
                <w:szCs w:val="20"/>
                <w:color w:val="auto"/>
              </w:rPr>
            </w:pPr>
            <w:r>
              <w:rPr>
                <w:rFonts w:ascii="Arial" w:cs="Arial" w:eastAsia="Arial" w:hAnsi="Arial"/>
                <w:sz w:val="14"/>
                <w:szCs w:val="14"/>
                <w:color w:val="auto"/>
              </w:rPr>
              <w:t>Accounts receivable, net</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8,221</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8,910</w:t>
            </w:r>
          </w:p>
        </w:tc>
        <w:tc>
          <w:tcPr>
            <w:tcW w:w="0" w:type="dxa"/>
            <w:vAlign w:val="bottom"/>
          </w:tcPr>
          <w:p>
            <w:pPr>
              <w:spacing w:after="0"/>
              <w:rPr>
                <w:sz w:val="1"/>
                <w:szCs w:val="1"/>
                <w:color w:val="auto"/>
              </w:rPr>
            </w:pPr>
          </w:p>
        </w:tc>
      </w:tr>
      <w:tr>
        <w:trPr>
          <w:trHeight w:val="188"/>
        </w:trPr>
        <w:tc>
          <w:tcPr>
            <w:tcW w:w="8320" w:type="dxa"/>
            <w:vAlign w:val="bottom"/>
          </w:tcPr>
          <w:p>
            <w:pPr>
              <w:ind w:left="340"/>
              <w:spacing w:after="0"/>
              <w:rPr>
                <w:sz w:val="20"/>
                <w:szCs w:val="20"/>
                <w:color w:val="auto"/>
              </w:rPr>
            </w:pPr>
            <w:r>
              <w:rPr>
                <w:rFonts w:ascii="Arial" w:cs="Arial" w:eastAsia="Arial" w:hAnsi="Arial"/>
                <w:sz w:val="14"/>
                <w:szCs w:val="14"/>
                <w:color w:val="auto"/>
              </w:rPr>
              <w:t>Prepaid expenses and other current assets</w:t>
            </w: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3,098</w:t>
            </w: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4,159</w:t>
            </w:r>
          </w:p>
        </w:tc>
        <w:tc>
          <w:tcPr>
            <w:tcW w:w="0" w:type="dxa"/>
            <w:vAlign w:val="bottom"/>
          </w:tcPr>
          <w:p>
            <w:pPr>
              <w:spacing w:after="0"/>
              <w:rPr>
                <w:sz w:val="1"/>
                <w:szCs w:val="1"/>
                <w:color w:val="auto"/>
              </w:rPr>
            </w:pPr>
          </w:p>
        </w:tc>
      </w:tr>
      <w:tr>
        <w:trPr>
          <w:trHeight w:val="184"/>
        </w:trPr>
        <w:tc>
          <w:tcPr>
            <w:tcW w:w="8320" w:type="dxa"/>
            <w:vAlign w:val="bottom"/>
          </w:tcPr>
          <w:p>
            <w:pPr>
              <w:ind w:left="660"/>
              <w:spacing w:after="0"/>
              <w:rPr>
                <w:sz w:val="20"/>
                <w:szCs w:val="20"/>
                <w:color w:val="auto"/>
              </w:rPr>
            </w:pPr>
            <w:r>
              <w:rPr>
                <w:rFonts w:ascii="Arial" w:cs="Arial" w:eastAsia="Arial" w:hAnsi="Arial"/>
                <w:sz w:val="14"/>
                <w:szCs w:val="14"/>
                <w:color w:val="auto"/>
              </w:rPr>
              <w:t>Total current assets</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129,369</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70,517</w:t>
            </w:r>
          </w:p>
        </w:tc>
        <w:tc>
          <w:tcPr>
            <w:tcW w:w="0" w:type="dxa"/>
            <w:vAlign w:val="bottom"/>
          </w:tcPr>
          <w:p>
            <w:pPr>
              <w:spacing w:after="0"/>
              <w:rPr>
                <w:sz w:val="1"/>
                <w:szCs w:val="1"/>
                <w:color w:val="auto"/>
              </w:rPr>
            </w:pPr>
          </w:p>
        </w:tc>
      </w:tr>
      <w:tr>
        <w:trPr>
          <w:trHeight w:val="189"/>
        </w:trPr>
        <w:tc>
          <w:tcPr>
            <w:tcW w:w="832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2,378</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2,102</w:t>
            </w:r>
          </w:p>
        </w:tc>
        <w:tc>
          <w:tcPr>
            <w:tcW w:w="0" w:type="dxa"/>
            <w:vAlign w:val="bottom"/>
          </w:tcPr>
          <w:p>
            <w:pPr>
              <w:spacing w:after="0"/>
              <w:rPr>
                <w:sz w:val="1"/>
                <w:szCs w:val="1"/>
                <w:color w:val="auto"/>
              </w:rPr>
            </w:pPr>
          </w:p>
        </w:tc>
      </w:tr>
      <w:tr>
        <w:trPr>
          <w:trHeight w:val="189"/>
        </w:trPr>
        <w:tc>
          <w:tcPr>
            <w:tcW w:w="8320" w:type="dxa"/>
            <w:vAlign w:val="bottom"/>
          </w:tcPr>
          <w:p>
            <w:pPr>
              <w:spacing w:after="0"/>
              <w:rPr>
                <w:sz w:val="20"/>
                <w:szCs w:val="20"/>
                <w:color w:val="auto"/>
              </w:rPr>
            </w:pPr>
            <w:r>
              <w:rPr>
                <w:rFonts w:ascii="Arial" w:cs="Arial" w:eastAsia="Arial" w:hAnsi="Arial"/>
                <w:sz w:val="14"/>
                <w:szCs w:val="14"/>
                <w:color w:val="auto"/>
              </w:rPr>
              <w:t>Goodwill</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5,506</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5,506</w:t>
            </w:r>
          </w:p>
        </w:tc>
        <w:tc>
          <w:tcPr>
            <w:tcW w:w="0" w:type="dxa"/>
            <w:vAlign w:val="bottom"/>
          </w:tcPr>
          <w:p>
            <w:pPr>
              <w:spacing w:after="0"/>
              <w:rPr>
                <w:sz w:val="1"/>
                <w:szCs w:val="1"/>
                <w:color w:val="auto"/>
              </w:rPr>
            </w:pPr>
          </w:p>
        </w:tc>
      </w:tr>
      <w:tr>
        <w:trPr>
          <w:trHeight w:val="188"/>
        </w:trPr>
        <w:tc>
          <w:tcPr>
            <w:tcW w:w="8320" w:type="dxa"/>
            <w:vAlign w:val="bottom"/>
          </w:tcPr>
          <w:p>
            <w:pPr>
              <w:spacing w:after="0"/>
              <w:rPr>
                <w:sz w:val="20"/>
                <w:szCs w:val="20"/>
                <w:color w:val="auto"/>
              </w:rPr>
            </w:pPr>
            <w:r>
              <w:rPr>
                <w:rFonts w:ascii="Arial" w:cs="Arial" w:eastAsia="Arial" w:hAnsi="Arial"/>
                <w:sz w:val="14"/>
                <w:szCs w:val="14"/>
                <w:color w:val="auto"/>
              </w:rPr>
              <w:t>Other assets</w:t>
            </w: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269</w:t>
            </w: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250</w:t>
            </w:r>
          </w:p>
        </w:tc>
        <w:tc>
          <w:tcPr>
            <w:tcW w:w="0" w:type="dxa"/>
            <w:vAlign w:val="bottom"/>
          </w:tcPr>
          <w:p>
            <w:pPr>
              <w:spacing w:after="0"/>
              <w:rPr>
                <w:sz w:val="1"/>
                <w:szCs w:val="1"/>
                <w:color w:val="auto"/>
              </w:rPr>
            </w:pPr>
          </w:p>
        </w:tc>
      </w:tr>
      <w:tr>
        <w:trPr>
          <w:trHeight w:val="183"/>
        </w:trPr>
        <w:tc>
          <w:tcPr>
            <w:tcW w:w="8320" w:type="dxa"/>
            <w:vAlign w:val="bottom"/>
          </w:tcPr>
          <w:p>
            <w:pPr>
              <w:ind w:left="660"/>
              <w:spacing w:after="0"/>
              <w:rPr>
                <w:sz w:val="20"/>
                <w:szCs w:val="20"/>
                <w:color w:val="auto"/>
              </w:rPr>
            </w:pPr>
            <w:r>
              <w:rPr>
                <w:rFonts w:ascii="Arial" w:cs="Arial" w:eastAsia="Arial" w:hAnsi="Arial"/>
                <w:sz w:val="14"/>
                <w:szCs w:val="14"/>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137,522</w:t>
            </w:r>
          </w:p>
        </w:tc>
        <w:tc>
          <w:tcPr>
            <w:tcW w:w="120" w:type="dxa"/>
            <w:vAlign w:val="bottom"/>
          </w:tcPr>
          <w:p>
            <w:pPr>
              <w:spacing w:after="0"/>
              <w:rPr>
                <w:sz w:val="15"/>
                <w:szCs w:val="15"/>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78,375</w:t>
            </w:r>
          </w:p>
        </w:tc>
        <w:tc>
          <w:tcPr>
            <w:tcW w:w="0" w:type="dxa"/>
            <w:vAlign w:val="bottom"/>
          </w:tcPr>
          <w:p>
            <w:pPr>
              <w:spacing w:after="0"/>
              <w:rPr>
                <w:sz w:val="1"/>
                <w:szCs w:val="1"/>
                <w:color w:val="auto"/>
              </w:rPr>
            </w:pPr>
          </w:p>
        </w:tc>
      </w:tr>
      <w:tr>
        <w:trPr>
          <w:trHeight w:val="21"/>
        </w:trPr>
        <w:tc>
          <w:tcPr>
            <w:tcW w:w="832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83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8320" w:type="dxa"/>
            <w:vAlign w:val="bottom"/>
          </w:tcPr>
          <w:p>
            <w:pPr>
              <w:spacing w:after="0"/>
              <w:rPr>
                <w:sz w:val="20"/>
                <w:szCs w:val="20"/>
                <w:color w:val="auto"/>
              </w:rPr>
            </w:pPr>
            <w:r>
              <w:rPr>
                <w:rFonts w:ascii="Arial" w:cs="Arial" w:eastAsia="Arial" w:hAnsi="Arial"/>
                <w:sz w:val="14"/>
                <w:szCs w:val="14"/>
                <w:color w:val="auto"/>
              </w:rPr>
              <w:t>Current liabilities:</w:t>
            </w: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320" w:type="dxa"/>
            <w:vAlign w:val="bottom"/>
          </w:tcPr>
          <w:p>
            <w:pPr>
              <w:ind w:left="340"/>
              <w:spacing w:after="0"/>
              <w:rPr>
                <w:sz w:val="20"/>
                <w:szCs w:val="20"/>
                <w:color w:val="auto"/>
              </w:rPr>
            </w:pPr>
            <w:r>
              <w:rPr>
                <w:rFonts w:ascii="Arial" w:cs="Arial" w:eastAsia="Arial" w:hAnsi="Arial"/>
                <w:sz w:val="14"/>
                <w:szCs w:val="14"/>
                <w:color w:val="auto"/>
              </w:rPr>
              <w:t>Accounts payable</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2,170</w:t>
            </w:r>
          </w:p>
        </w:tc>
        <w:tc>
          <w:tcPr>
            <w:tcW w:w="120" w:type="dxa"/>
            <w:vAlign w:val="bottom"/>
          </w:tcPr>
          <w:p>
            <w:pPr>
              <w:spacing w:after="0"/>
              <w:rPr>
                <w:sz w:val="16"/>
                <w:szCs w:val="16"/>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3,014</w:t>
            </w:r>
          </w:p>
        </w:tc>
        <w:tc>
          <w:tcPr>
            <w:tcW w:w="0" w:type="dxa"/>
            <w:vAlign w:val="bottom"/>
          </w:tcPr>
          <w:p>
            <w:pPr>
              <w:spacing w:after="0"/>
              <w:rPr>
                <w:sz w:val="1"/>
                <w:szCs w:val="1"/>
                <w:color w:val="auto"/>
              </w:rPr>
            </w:pPr>
          </w:p>
        </w:tc>
      </w:tr>
      <w:tr>
        <w:trPr>
          <w:trHeight w:val="188"/>
        </w:trPr>
        <w:tc>
          <w:tcPr>
            <w:tcW w:w="8320" w:type="dxa"/>
            <w:vAlign w:val="bottom"/>
          </w:tcPr>
          <w:p>
            <w:pPr>
              <w:ind w:left="340"/>
              <w:spacing w:after="0"/>
              <w:rPr>
                <w:sz w:val="20"/>
                <w:szCs w:val="20"/>
                <w:color w:val="auto"/>
              </w:rPr>
            </w:pPr>
            <w:r>
              <w:rPr>
                <w:rFonts w:ascii="Arial" w:cs="Arial" w:eastAsia="Arial" w:hAnsi="Arial"/>
                <w:sz w:val="14"/>
                <w:szCs w:val="14"/>
                <w:color w:val="auto"/>
              </w:rPr>
              <w:t>Accrued and other current liabilities</w:t>
            </w: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5,714</w:t>
            </w: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5,757</w:t>
            </w:r>
          </w:p>
        </w:tc>
        <w:tc>
          <w:tcPr>
            <w:tcW w:w="0" w:type="dxa"/>
            <w:vAlign w:val="bottom"/>
          </w:tcPr>
          <w:p>
            <w:pPr>
              <w:spacing w:after="0"/>
              <w:rPr>
                <w:sz w:val="1"/>
                <w:szCs w:val="1"/>
                <w:color w:val="auto"/>
              </w:rPr>
            </w:pPr>
          </w:p>
        </w:tc>
      </w:tr>
      <w:tr>
        <w:trPr>
          <w:trHeight w:val="184"/>
        </w:trPr>
        <w:tc>
          <w:tcPr>
            <w:tcW w:w="8320" w:type="dxa"/>
            <w:vAlign w:val="bottom"/>
          </w:tcPr>
          <w:p>
            <w:pPr>
              <w:ind w:left="660"/>
              <w:spacing w:after="0"/>
              <w:rPr>
                <w:sz w:val="20"/>
                <w:szCs w:val="20"/>
                <w:color w:val="auto"/>
              </w:rPr>
            </w:pPr>
            <w:r>
              <w:rPr>
                <w:rFonts w:ascii="Arial" w:cs="Arial" w:eastAsia="Arial" w:hAnsi="Arial"/>
                <w:sz w:val="14"/>
                <w:szCs w:val="14"/>
                <w:color w:val="auto"/>
              </w:rPr>
              <w:t>Total current liabilities</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7,884</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8,771</w:t>
            </w:r>
          </w:p>
        </w:tc>
        <w:tc>
          <w:tcPr>
            <w:tcW w:w="0" w:type="dxa"/>
            <w:vAlign w:val="bottom"/>
          </w:tcPr>
          <w:p>
            <w:pPr>
              <w:spacing w:after="0"/>
              <w:rPr>
                <w:sz w:val="1"/>
                <w:szCs w:val="1"/>
                <w:color w:val="auto"/>
              </w:rPr>
            </w:pPr>
          </w:p>
        </w:tc>
      </w:tr>
      <w:tr>
        <w:trPr>
          <w:trHeight w:val="189"/>
        </w:trPr>
        <w:tc>
          <w:tcPr>
            <w:tcW w:w="8320" w:type="dxa"/>
            <w:vAlign w:val="bottom"/>
          </w:tcPr>
          <w:p>
            <w:pPr>
              <w:spacing w:after="0"/>
              <w:rPr>
                <w:sz w:val="20"/>
                <w:szCs w:val="20"/>
                <w:color w:val="auto"/>
              </w:rPr>
            </w:pPr>
            <w:r>
              <w:rPr>
                <w:rFonts w:ascii="Arial" w:cs="Arial" w:eastAsia="Arial" w:hAnsi="Arial"/>
                <w:sz w:val="14"/>
                <w:szCs w:val="14"/>
                <w:color w:val="auto"/>
              </w:rPr>
              <w:t>Borrowings-non-current portion, net of discounts and debt issuance costs</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26,864</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26,659</w:t>
            </w:r>
          </w:p>
        </w:tc>
        <w:tc>
          <w:tcPr>
            <w:tcW w:w="0" w:type="dxa"/>
            <w:vAlign w:val="bottom"/>
          </w:tcPr>
          <w:p>
            <w:pPr>
              <w:spacing w:after="0"/>
              <w:rPr>
                <w:sz w:val="1"/>
                <w:szCs w:val="1"/>
                <w:color w:val="auto"/>
              </w:rPr>
            </w:pPr>
          </w:p>
        </w:tc>
      </w:tr>
      <w:tr>
        <w:trPr>
          <w:trHeight w:val="189"/>
        </w:trPr>
        <w:tc>
          <w:tcPr>
            <w:tcW w:w="8320" w:type="dxa"/>
            <w:vAlign w:val="bottom"/>
          </w:tcPr>
          <w:p>
            <w:pPr>
              <w:spacing w:after="0"/>
              <w:rPr>
                <w:sz w:val="20"/>
                <w:szCs w:val="20"/>
                <w:color w:val="auto"/>
              </w:rPr>
            </w:pPr>
            <w:r>
              <w:rPr>
                <w:rFonts w:ascii="Arial" w:cs="Arial" w:eastAsia="Arial" w:hAnsi="Arial"/>
                <w:sz w:val="14"/>
                <w:szCs w:val="14"/>
                <w:color w:val="auto"/>
              </w:rPr>
              <w:t>Deferred tax liabilities</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158</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158</w:t>
            </w:r>
          </w:p>
        </w:tc>
        <w:tc>
          <w:tcPr>
            <w:tcW w:w="0" w:type="dxa"/>
            <w:vAlign w:val="bottom"/>
          </w:tcPr>
          <w:p>
            <w:pPr>
              <w:spacing w:after="0"/>
              <w:rPr>
                <w:sz w:val="1"/>
                <w:szCs w:val="1"/>
                <w:color w:val="auto"/>
              </w:rPr>
            </w:pPr>
          </w:p>
        </w:tc>
      </w:tr>
      <w:tr>
        <w:trPr>
          <w:trHeight w:val="188"/>
        </w:trPr>
        <w:tc>
          <w:tcPr>
            <w:tcW w:w="8320" w:type="dxa"/>
            <w:vAlign w:val="bottom"/>
          </w:tcPr>
          <w:p>
            <w:pPr>
              <w:spacing w:after="0"/>
              <w:rPr>
                <w:sz w:val="20"/>
                <w:szCs w:val="20"/>
                <w:color w:val="auto"/>
              </w:rPr>
            </w:pPr>
            <w:r>
              <w:rPr>
                <w:rFonts w:ascii="Arial" w:cs="Arial" w:eastAsia="Arial" w:hAnsi="Arial"/>
                <w:sz w:val="14"/>
                <w:szCs w:val="14"/>
                <w:color w:val="auto"/>
              </w:rPr>
              <w:t>Other non-current liabilities</w:t>
            </w: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1,146</w:t>
            </w: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948</w:t>
            </w:r>
          </w:p>
        </w:tc>
        <w:tc>
          <w:tcPr>
            <w:tcW w:w="0" w:type="dxa"/>
            <w:vAlign w:val="bottom"/>
          </w:tcPr>
          <w:p>
            <w:pPr>
              <w:spacing w:after="0"/>
              <w:rPr>
                <w:sz w:val="1"/>
                <w:szCs w:val="1"/>
                <w:color w:val="auto"/>
              </w:rPr>
            </w:pPr>
          </w:p>
        </w:tc>
      </w:tr>
      <w:tr>
        <w:trPr>
          <w:trHeight w:val="184"/>
        </w:trPr>
        <w:tc>
          <w:tcPr>
            <w:tcW w:w="8320" w:type="dxa"/>
            <w:vAlign w:val="bottom"/>
          </w:tcPr>
          <w:p>
            <w:pPr>
              <w:ind w:left="660"/>
              <w:spacing w:after="0"/>
              <w:rPr>
                <w:sz w:val="20"/>
                <w:szCs w:val="20"/>
                <w:color w:val="auto"/>
              </w:rPr>
            </w:pPr>
            <w:r>
              <w:rPr>
                <w:rFonts w:ascii="Arial" w:cs="Arial" w:eastAsia="Arial" w:hAnsi="Arial"/>
                <w:sz w:val="14"/>
                <w:szCs w:val="14"/>
                <w:color w:val="auto"/>
              </w:rPr>
              <w:t>Total liabilities</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36,052</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36,536</w:t>
            </w:r>
          </w:p>
        </w:tc>
        <w:tc>
          <w:tcPr>
            <w:tcW w:w="0" w:type="dxa"/>
            <w:vAlign w:val="bottom"/>
          </w:tcPr>
          <w:p>
            <w:pPr>
              <w:spacing w:after="0"/>
              <w:rPr>
                <w:sz w:val="1"/>
                <w:szCs w:val="1"/>
                <w:color w:val="auto"/>
              </w:rPr>
            </w:pPr>
          </w:p>
        </w:tc>
      </w:tr>
      <w:tr>
        <w:trPr>
          <w:trHeight w:val="189"/>
        </w:trPr>
        <w:tc>
          <w:tcPr>
            <w:tcW w:w="8320" w:type="dxa"/>
            <w:vAlign w:val="bottom"/>
          </w:tcPr>
          <w:p>
            <w:pPr>
              <w:spacing w:after="0"/>
              <w:rPr>
                <w:sz w:val="20"/>
                <w:szCs w:val="20"/>
                <w:color w:val="auto"/>
              </w:rPr>
            </w:pPr>
            <w:r>
              <w:rPr>
                <w:rFonts w:ascii="Arial" w:cs="Arial" w:eastAsia="Arial" w:hAnsi="Arial"/>
                <w:sz w:val="14"/>
                <w:szCs w:val="14"/>
                <w:color w:val="auto"/>
              </w:rPr>
              <w:t>Commitments and contingencies</w:t>
            </w: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320" w:type="dxa"/>
            <w:vAlign w:val="bottom"/>
          </w:tcPr>
          <w:p>
            <w:pPr>
              <w:spacing w:after="0"/>
              <w:rPr>
                <w:sz w:val="20"/>
                <w:szCs w:val="20"/>
                <w:color w:val="auto"/>
              </w:rPr>
            </w:pPr>
            <w:r>
              <w:rPr>
                <w:rFonts w:ascii="Arial" w:cs="Arial" w:eastAsia="Arial" w:hAnsi="Arial"/>
                <w:sz w:val="14"/>
                <w:szCs w:val="14"/>
                <w:color w:val="auto"/>
              </w:rPr>
              <w:t>Stockholders' equity:</w:t>
            </w: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8320" w:type="dxa"/>
            <w:vAlign w:val="bottom"/>
          </w:tcPr>
          <w:p>
            <w:pPr>
              <w:ind w:left="340"/>
              <w:spacing w:after="0" w:line="152" w:lineRule="exact"/>
              <w:rPr>
                <w:sz w:val="20"/>
                <w:szCs w:val="20"/>
                <w:color w:val="auto"/>
              </w:rPr>
            </w:pPr>
            <w:r>
              <w:rPr>
                <w:rFonts w:ascii="Arial" w:cs="Arial" w:eastAsia="Arial" w:hAnsi="Arial"/>
                <w:sz w:val="14"/>
                <w:szCs w:val="14"/>
                <w:color w:val="auto"/>
              </w:rPr>
              <w:t>Preferred stock, $0.001 par value; 10,000,000 shares authorized, no shares issued or outstanding at March 31, 2021 and</w:t>
            </w:r>
          </w:p>
        </w:tc>
        <w:tc>
          <w:tcPr>
            <w:tcW w:w="140" w:type="dxa"/>
            <w:vAlign w:val="bottom"/>
          </w:tcPr>
          <w:p>
            <w:pPr>
              <w:spacing w:after="0"/>
              <w:rPr>
                <w:sz w:val="13"/>
                <w:szCs w:val="13"/>
                <w:color w:val="auto"/>
              </w:rPr>
            </w:pPr>
          </w:p>
        </w:tc>
        <w:tc>
          <w:tcPr>
            <w:tcW w:w="13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8320" w:type="dxa"/>
            <w:vAlign w:val="bottom"/>
          </w:tcPr>
          <w:p>
            <w:pPr>
              <w:ind w:left="340"/>
              <w:spacing w:after="0"/>
              <w:rPr>
                <w:sz w:val="20"/>
                <w:szCs w:val="20"/>
                <w:color w:val="auto"/>
              </w:rPr>
            </w:pPr>
            <w:r>
              <w:rPr>
                <w:rFonts w:ascii="Arial" w:cs="Arial" w:eastAsia="Arial" w:hAnsi="Arial"/>
                <w:sz w:val="14"/>
                <w:szCs w:val="14"/>
                <w:color w:val="auto"/>
              </w:rPr>
              <w:t>December 31, 2020</w:t>
            </w:r>
          </w:p>
        </w:tc>
        <w:tc>
          <w:tcPr>
            <w:tcW w:w="14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8320" w:type="dxa"/>
            <w:vAlign w:val="bottom"/>
          </w:tcPr>
          <w:p>
            <w:pPr>
              <w:ind w:left="340"/>
              <w:spacing w:after="0" w:line="152" w:lineRule="exact"/>
              <w:rPr>
                <w:sz w:val="20"/>
                <w:szCs w:val="20"/>
                <w:color w:val="auto"/>
              </w:rPr>
            </w:pPr>
            <w:r>
              <w:rPr>
                <w:rFonts w:ascii="Arial" w:cs="Arial" w:eastAsia="Arial" w:hAnsi="Arial"/>
                <w:sz w:val="14"/>
                <w:szCs w:val="14"/>
                <w:color w:val="auto"/>
              </w:rPr>
              <w:t>Common stock, $0.001 par value; 200,000,000 shares authorized at March 31, 2021 and December 31, 2020; 16,925,680</w:t>
            </w:r>
          </w:p>
        </w:tc>
        <w:tc>
          <w:tcPr>
            <w:tcW w:w="140" w:type="dxa"/>
            <w:vAlign w:val="bottom"/>
          </w:tcPr>
          <w:p>
            <w:pPr>
              <w:spacing w:after="0"/>
              <w:rPr>
                <w:sz w:val="13"/>
                <w:szCs w:val="13"/>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72"/>
        </w:trPr>
        <w:tc>
          <w:tcPr>
            <w:tcW w:w="8320" w:type="dxa"/>
            <w:vAlign w:val="bottom"/>
          </w:tcPr>
          <w:p>
            <w:pPr>
              <w:ind w:left="340"/>
              <w:spacing w:after="0"/>
              <w:rPr>
                <w:sz w:val="20"/>
                <w:szCs w:val="20"/>
                <w:color w:val="auto"/>
              </w:rPr>
            </w:pPr>
            <w:r>
              <w:rPr>
                <w:rFonts w:ascii="Arial" w:cs="Arial" w:eastAsia="Arial" w:hAnsi="Arial"/>
                <w:sz w:val="14"/>
                <w:szCs w:val="14"/>
                <w:color w:val="auto"/>
              </w:rPr>
              <w:t>and 12,652,308 shares issued and outstanding at March 31, 2021 and December 31, 2020, respectively</w:t>
            </w:r>
          </w:p>
        </w:tc>
        <w:tc>
          <w:tcPr>
            <w:tcW w:w="14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320" w:type="dxa"/>
            <w:vAlign w:val="bottom"/>
          </w:tcPr>
          <w:p>
            <w:pPr>
              <w:ind w:left="320"/>
              <w:spacing w:after="0"/>
              <w:rPr>
                <w:sz w:val="20"/>
                <w:szCs w:val="20"/>
                <w:color w:val="auto"/>
              </w:rPr>
            </w:pPr>
            <w:r>
              <w:rPr>
                <w:rFonts w:ascii="Arial" w:cs="Arial" w:eastAsia="Arial" w:hAnsi="Arial"/>
                <w:sz w:val="14"/>
                <w:szCs w:val="14"/>
                <w:color w:val="auto"/>
              </w:rPr>
              <w:t>Additional paid-in capital</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288,951</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223,115</w:t>
            </w:r>
          </w:p>
        </w:tc>
        <w:tc>
          <w:tcPr>
            <w:tcW w:w="0" w:type="dxa"/>
            <w:vAlign w:val="bottom"/>
          </w:tcPr>
          <w:p>
            <w:pPr>
              <w:spacing w:after="0"/>
              <w:rPr>
                <w:sz w:val="1"/>
                <w:szCs w:val="1"/>
                <w:color w:val="auto"/>
              </w:rPr>
            </w:pPr>
          </w:p>
        </w:tc>
      </w:tr>
      <w:tr>
        <w:trPr>
          <w:trHeight w:val="188"/>
        </w:trPr>
        <w:tc>
          <w:tcPr>
            <w:tcW w:w="8320" w:type="dxa"/>
            <w:vAlign w:val="bottom"/>
          </w:tcPr>
          <w:p>
            <w:pPr>
              <w:ind w:left="340"/>
              <w:spacing w:after="0"/>
              <w:rPr>
                <w:sz w:val="20"/>
                <w:szCs w:val="20"/>
                <w:color w:val="auto"/>
              </w:rPr>
            </w:pPr>
            <w:r>
              <w:rPr>
                <w:rFonts w:ascii="Arial" w:cs="Arial" w:eastAsia="Arial" w:hAnsi="Arial"/>
                <w:sz w:val="14"/>
                <w:szCs w:val="14"/>
                <w:color w:val="auto"/>
              </w:rPr>
              <w:t>Accumulated deficit</w:t>
            </w: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(187,498)</w:t>
            </w: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(181,289)</w:t>
            </w:r>
          </w:p>
        </w:tc>
        <w:tc>
          <w:tcPr>
            <w:tcW w:w="0" w:type="dxa"/>
            <w:vAlign w:val="bottom"/>
          </w:tcPr>
          <w:p>
            <w:pPr>
              <w:spacing w:after="0"/>
              <w:rPr>
                <w:sz w:val="1"/>
                <w:szCs w:val="1"/>
                <w:color w:val="auto"/>
              </w:rPr>
            </w:pPr>
          </w:p>
        </w:tc>
      </w:tr>
      <w:tr>
        <w:trPr>
          <w:trHeight w:val="183"/>
        </w:trPr>
        <w:tc>
          <w:tcPr>
            <w:tcW w:w="8320" w:type="dxa"/>
            <w:vAlign w:val="bottom"/>
          </w:tcPr>
          <w:p>
            <w:pPr>
              <w:ind w:left="660"/>
              <w:spacing w:after="0"/>
              <w:rPr>
                <w:sz w:val="20"/>
                <w:szCs w:val="20"/>
                <w:color w:val="auto"/>
              </w:rPr>
            </w:pPr>
            <w:r>
              <w:rPr>
                <w:rFonts w:ascii="Arial" w:cs="Arial" w:eastAsia="Arial" w:hAnsi="Arial"/>
                <w:sz w:val="14"/>
                <w:szCs w:val="14"/>
                <w:color w:val="auto"/>
              </w:rPr>
              <w:t>Total stockholders' equity</w:t>
            </w:r>
          </w:p>
        </w:tc>
        <w:tc>
          <w:tcPr>
            <w:tcW w:w="1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101,470</w:t>
            </w:r>
          </w:p>
        </w:tc>
        <w:tc>
          <w:tcPr>
            <w:tcW w:w="1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41,839</w:t>
            </w:r>
          </w:p>
        </w:tc>
        <w:tc>
          <w:tcPr>
            <w:tcW w:w="0" w:type="dxa"/>
            <w:vAlign w:val="bottom"/>
          </w:tcPr>
          <w:p>
            <w:pPr>
              <w:spacing w:after="0"/>
              <w:rPr>
                <w:sz w:val="1"/>
                <w:szCs w:val="1"/>
                <w:color w:val="auto"/>
              </w:rPr>
            </w:pPr>
          </w:p>
        </w:tc>
      </w:tr>
      <w:tr>
        <w:trPr>
          <w:trHeight w:val="183"/>
        </w:trPr>
        <w:tc>
          <w:tcPr>
            <w:tcW w:w="8320" w:type="dxa"/>
            <w:vAlign w:val="bottom"/>
          </w:tcPr>
          <w:p>
            <w:pPr>
              <w:spacing w:after="0"/>
              <w:rPr>
                <w:sz w:val="20"/>
                <w:szCs w:val="20"/>
                <w:color w:val="auto"/>
              </w:rPr>
            </w:pPr>
            <w:r>
              <w:rPr>
                <w:rFonts w:ascii="Arial" w:cs="Arial" w:eastAsia="Arial" w:hAnsi="Arial"/>
                <w:sz w:val="14"/>
                <w:szCs w:val="14"/>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137,522</w:t>
            </w:r>
          </w:p>
        </w:tc>
        <w:tc>
          <w:tcPr>
            <w:tcW w:w="120" w:type="dxa"/>
            <w:vAlign w:val="bottom"/>
          </w:tcPr>
          <w:p>
            <w:pPr>
              <w:spacing w:after="0"/>
              <w:rPr>
                <w:sz w:val="15"/>
                <w:szCs w:val="15"/>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78,375</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20"/>
      </w:cols>
      <w:pgMar w:left="34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2021-05-11T16:12:46Z</dcterms:created>
  <dcterms:modified xsi:type="dcterms:W3CDTF">2021-05-11T16:12:46Z</dcterms:modified>
</cp:coreProperties>
</file>