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180231.xml.htm"/>
      <w:bookmarkStart w:id="1" w:name="kswkform4_178718023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Kim Paul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EXAGEN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1261 LIBERTY 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VISTA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92081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EXAGEN INC.</w:t>
              </w:r>
            </w:hyperlink>
            <w:r>
              <w:rPr/>
              <w:t xml:space="preserve"> [ </w:t>
            </w:r>
            <w:r>
              <w:rPr>
                <w:rFonts w:ascii="Times;serif" w:hAnsi="Times;serif"/>
                <w:color w:val="0000FF"/>
                <w:sz w:val="24"/>
                <w:shd w:fill="FFFFFF" w:val="clear"/>
              </w:rPr>
              <w:t>XGN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4.31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37,500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06/09/2026</w:t>
            </w: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06/08/2036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37,500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46,500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entire number of shares subject to this option becomes fully vested and exercisable on the first to occur of (a) the first anniversary of the grant date or (b) the next occurring annual meeting of the Issuer's stockholders, subject to the Reporting Person's continued service on the board of directors of the Issuer through such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Jeffrey G. Black,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53820" TargetMode="External"/><Relationship Id="rId5" Type="http://schemas.openxmlformats.org/officeDocument/2006/relationships/hyperlink" Target="http://www.sec.gov/cgi-bin/browse-edgar?action=getcompany&amp;CIK=000127473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629</Words>
  <Characters>3395</Characters>
  <CharactersWithSpaces>3952</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