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13, 2021</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EXAGEN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259" w:right="339" w:bottom="1440" w:gutter="0" w:footer="0" w:header="0"/>
        </w:sectPr>
      </w:pPr>
    </w:p>
    <w:p>
      <w:pPr>
        <w:spacing w:after="0" w:line="300"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840"/>
        <w:spacing w:after="0"/>
        <w:rPr>
          <w:sz w:val="20"/>
          <w:szCs w:val="20"/>
          <w:color w:val="auto"/>
        </w:rPr>
      </w:pPr>
      <w:r>
        <w:rPr>
          <w:rFonts w:ascii="Arial" w:cs="Arial" w:eastAsia="Arial" w:hAnsi="Arial"/>
          <w:sz w:val="16"/>
          <w:szCs w:val="16"/>
          <w:b w:val="1"/>
          <w:bCs w:val="1"/>
          <w:color w:val="auto"/>
        </w:rPr>
        <w:t>001-39049</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20-0434866</w:t>
      </w:r>
    </w:p>
    <w:p>
      <w:pPr>
        <w:spacing w:after="0" w:line="68" w:lineRule="exact"/>
        <w:rPr>
          <w:sz w:val="24"/>
          <w:szCs w:val="24"/>
          <w:color w:val="auto"/>
        </w:rPr>
      </w:pPr>
    </w:p>
    <w:p>
      <w:pPr>
        <w:sectPr>
          <w:pgSz w:w="11900" w:h="16838" w:orient="portrait"/>
          <w:cols w:equalWidth="0" w:num="3">
            <w:col w:w="4620" w:space="720"/>
            <w:col w:w="2620" w:space="720"/>
            <w:col w:w="2560"/>
          </w:cols>
          <w:pgMar w:left="320" w:top="1259" w:right="339" w:bottom="1440" w:gutter="0" w:footer="0" w:header="0"/>
          <w:type w:val="continuous"/>
        </w:sectPr>
      </w:pPr>
    </w:p>
    <w:p>
      <w:pPr>
        <w:jc w:val="center"/>
        <w:ind w:right="120"/>
        <w:spacing w:after="0"/>
        <w:rPr>
          <w:sz w:val="20"/>
          <w:szCs w:val="20"/>
          <w:color w:val="auto"/>
        </w:rPr>
      </w:pPr>
      <w:r>
        <w:rPr>
          <w:rFonts w:ascii="Arial" w:cs="Arial" w:eastAsia="Arial" w:hAnsi="Arial"/>
          <w:sz w:val="13"/>
          <w:szCs w:val="13"/>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Arial" w:cs="Arial" w:eastAsia="Arial" w:hAnsi="Arial"/>
          <w:sz w:val="14"/>
          <w:szCs w:val="14"/>
          <w:b w:val="1"/>
          <w:bCs w:val="1"/>
          <w:color w:val="auto"/>
        </w:rPr>
        <w:t>(IRS Employer</w:t>
      </w:r>
    </w:p>
    <w:p>
      <w:pPr>
        <w:spacing w:after="0" w:line="17" w:lineRule="exact"/>
        <w:rPr>
          <w:sz w:val="24"/>
          <w:szCs w:val="24"/>
          <w:color w:val="auto"/>
        </w:rPr>
      </w:pPr>
    </w:p>
    <w:p>
      <w:pPr>
        <w:jc w:val="center"/>
        <w:ind w:right="15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600" w:space="720"/>
            <w:col w:w="2520" w:space="720"/>
            <w:col w:w="2680"/>
          </w:cols>
          <w:pgMar w:left="320" w:top="1259" w:right="33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1261 Liberty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(760) 560-1501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240"/>
          </w:cols>
          <w:pgMar w:left="320" w:top="1259" w:right="339" w:bottom="1440" w:gutter="0" w:footer="0" w:header="0"/>
          <w:type w:val="continuous"/>
        </w:sectPr>
      </w:pPr>
    </w:p>
    <w:p>
      <w:pPr>
        <w:spacing w:after="0" w:line="198"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54"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Trading</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19"/>
        </w:trPr>
        <w:tc>
          <w:tcPr>
            <w:tcW w:w="3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3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$0.001 per share</w:t>
            </w:r>
          </w:p>
        </w:tc>
        <w:tc>
          <w:tcPr>
            <w:tcW w:w="160" w:type="dxa"/>
            <w:vAlign w:val="bottom"/>
          </w:tcPr>
          <w:p>
            <w:pPr>
              <w:spacing w:after="0"/>
              <w:rPr>
                <w:sz w:val="20"/>
                <w:szCs w:val="20"/>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XGN</w:t>
            </w:r>
          </w:p>
        </w:tc>
        <w:tc>
          <w:tcPr>
            <w:tcW w:w="16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255" w:lineRule="exact"/>
        <w:rPr>
          <w:sz w:val="24"/>
          <w:szCs w:val="24"/>
          <w:color w:val="auto"/>
        </w:rPr>
      </w:pPr>
    </w:p>
    <w:p>
      <w:pPr>
        <w:ind w:right="60"/>
        <w:spacing w:after="0" w:line="218"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46"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of Existing Lease Agreements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13, 2021, Exagen Inc. (the "Company") entered into the Second Amendment of Lease (the “1221 Lease Extension”) with Liberty Vista to amend the Standard Industrial/Commercial Single-Tenant Lease, dated August 15, 2014, by and between Geiger Court, LLC (later assigned to Liberty Vista) and the Company (the “1221 Lease”), relating to office space located at 1221 Liberty Way, Vista, CA 92081, which is located adjacent to the Company’s headquarters. The 1221 Lease Extension extends the term of the 1221 Lease from January 31, 2026 to April 30, 2027. The 1221 Lease Extension provides that the base monthly rent for the leased space shall be $22,470 for the 12-month period beginning on February 1, 2026 and $23,594 for the period from February 1, 2027 through April 30, 2027.</w:t>
      </w:r>
    </w:p>
    <w:p>
      <w:pPr>
        <w:spacing w:after="0" w:line="1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October 19, 2021, the Company entered into the Fifth Addendum (the “1261 Suite B/C Lease Extension”) to the Standard Industrial/Commercial Multi-Tenant Lease, dated January 13, 2012, by and between RGS Properties and the Company (the “1261 Suite B/C Lease”), relating to the Company’s headquarters. The 1261 Suite B/C Lease Extension extends the term of the 1261 Suite B/C Lease from January 31, 2026 to April 30, 2027. The 1261 Suite B/C Lease Extension provides that the base monthly rent for the leased space shall be $20,084.42 for the period between February 1, 2026 and April 30, 2027.</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October 19, 2021, the Company entered into the First Addendum (the "1261 Suite A Lease Extension") to the Standard Industrial/Commercial Multi-Tenant Lease, dated February 27, 2020, by and between RGS Properties and the Company (the "1261 Suite A Lease"), relating to office and laboratory space in the building attached to the Company's headquarters. The 1261 Suite A Lease Extension extends the term of the 1261 Suite A Lease from January 31, 2026 to April 30, 2027. The 1261 Suite A Lease Extension provides that the base monthly rent for the leased space shall be $14,750.63 for the period between February 1, 2026 and April 30, 2027.</w:t>
      </w:r>
    </w:p>
    <w:p>
      <w:pPr>
        <w:spacing w:after="0" w:line="13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foregoing description of the 1221 Lease Extension, 1261 Suite B/C Lease Extension and 1261 Suite A Extension do not purport to be complete and are qualified in their entirety by reference to the full text of the 1221 Lease Extension, 1261 Suite B/C Lease Extension, and 1261 Suite A Extension, respectively, which will be filed as exhibits to the Company’s Quarterly Report on Form 10-Q to be filed for the quarter ending September 30, 2021.</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set forth under Item 1.01 of this Current Report on Form 8-K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Arial" w:cs="Arial" w:eastAsia="Arial" w:hAnsi="Arial"/>
          <w:sz w:val="18"/>
          <w:szCs w:val="18"/>
          <w:color w:val="auto"/>
        </w:rPr>
        <w:t>Date: October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23495</wp:posOffset>
            </wp:positionV>
            <wp:extent cx="2837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Kamal Adawi</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00"/>
      </w:cols>
      <w:pgMar w:left="320" w:top="109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2021-10-19T15:07:20Z</dcterms:created>
  <dcterms:modified xsi:type="dcterms:W3CDTF">2021-10-19T15:07:20Z</dcterms:modified>
</cp:coreProperties>
</file>