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SCHEDULE 13G</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Exagen Inc.</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37"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Common Stock, par value $0.001 per share</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37"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30068X103</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37"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December 31, 2021</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(Date of Event Which Requires Filing of this Statement)</w:t>
      </w:r>
    </w:p>
    <w:p>
      <w:pPr>
        <w:spacing w:after="0" w:line="213"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3" w:lineRule="exact"/>
        <w:rPr>
          <w:sz w:val="24"/>
          <w:szCs w:val="24"/>
          <w:color w:val="auto"/>
        </w:rPr>
      </w:pPr>
    </w:p>
    <w:p>
      <w:pPr>
        <w:spacing w:after="0"/>
        <w:tabs>
          <w:tab w:leader="none" w:pos="60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X</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Rule 13d-1(b)</w:t>
      </w:r>
    </w:p>
    <w:p>
      <w:pPr>
        <w:spacing w:after="0" w:line="229" w:lineRule="exact"/>
        <w:rPr>
          <w:sz w:val="24"/>
          <w:szCs w:val="24"/>
          <w:color w:val="auto"/>
        </w:rPr>
      </w:pPr>
    </w:p>
    <w:p>
      <w:pPr>
        <w:spacing w:after="0"/>
        <w:tabs>
          <w:tab w:leader="none" w:pos="60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X</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Rule 13d-1(c)</w:t>
      </w:r>
    </w:p>
    <w:p>
      <w:pPr>
        <w:spacing w:after="0" w:line="235" w:lineRule="exact"/>
        <w:rPr>
          <w:sz w:val="24"/>
          <w:szCs w:val="24"/>
          <w:color w:val="auto"/>
        </w:rPr>
      </w:pPr>
    </w:p>
    <w:p>
      <w:pPr>
        <w:spacing w:after="0"/>
        <w:tabs>
          <w:tab w:leader="none" w:pos="520" w:val="left"/>
        </w:tabs>
        <w:rPr>
          <w:sz w:val="20"/>
          <w:szCs w:val="20"/>
          <w:color w:val="auto"/>
        </w:rPr>
      </w:pPr>
      <w:r>
        <w:rPr>
          <w:rFonts w:ascii="Arial" w:cs="Arial" w:eastAsia="Arial" w:hAnsi="Arial"/>
          <w:sz w:val="20"/>
          <w:szCs w:val="20"/>
          <w:color w:val="auto"/>
        </w:rPr>
        <w:t>[ ]</w:t>
      </w:r>
      <w:r>
        <w:rPr>
          <w:sz w:val="20"/>
          <w:szCs w:val="20"/>
          <w:color w:val="auto"/>
        </w:rPr>
        <w:tab/>
      </w:r>
      <w:r>
        <w:rPr>
          <w:rFonts w:ascii="Arial" w:cs="Arial" w:eastAsia="Arial" w:hAnsi="Arial"/>
          <w:sz w:val="18"/>
          <w:szCs w:val="18"/>
          <w:color w:val="auto"/>
        </w:rPr>
        <w:t>Rule 13d-1(d)</w:t>
      </w:r>
    </w:p>
    <w:p>
      <w:pPr>
        <w:spacing w:after="0" w:line="229" w:lineRule="exact"/>
        <w:rPr>
          <w:sz w:val="24"/>
          <w:szCs w:val="24"/>
          <w:color w:val="auto"/>
        </w:rPr>
      </w:pPr>
    </w:p>
    <w:p>
      <w:pPr>
        <w:ind w:right="340" w:firstLine="8"/>
        <w:spacing w:after="0" w:line="316" w:lineRule="auto"/>
        <w:tabs>
          <w:tab w:leader="none" w:pos="148"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3"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93" w:lineRule="exact"/>
        <w:rPr>
          <w:sz w:val="24"/>
          <w:szCs w:val="24"/>
          <w:color w:val="auto"/>
        </w:rPr>
      </w:pPr>
    </w:p>
    <w:p>
      <w:pPr>
        <w:ind w:right="280"/>
        <w:spacing w:after="0" w:line="267" w:lineRule="auto"/>
        <w:rPr>
          <w:sz w:val="20"/>
          <w:szCs w:val="20"/>
          <w:color w:val="auto"/>
        </w:rPr>
      </w:pPr>
      <w:r>
        <w:rPr>
          <w:rFonts w:ascii="Arial" w:cs="Arial" w:eastAsia="Arial" w:hAnsi="Arial"/>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8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225"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30068X103</w:t>
      </w:r>
    </w:p>
    <w:p>
      <w:pPr>
        <w:spacing w:after="0" w:line="236"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Stonepine Capital Management, LLC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2"/>
        </w:numPr>
        <w:rPr>
          <w:rFonts w:ascii="Arial" w:cs="Arial" w:eastAsia="Arial" w:hAnsi="Arial"/>
          <w:sz w:val="20"/>
          <w:szCs w:val="20"/>
          <w:color w:val="auto"/>
        </w:rPr>
      </w:pPr>
      <w:r>
        <w:rPr>
          <w:rFonts w:ascii="Arial" w:cs="Arial" w:eastAsia="Arial" w:hAnsi="Arial"/>
          <w:sz w:val="20"/>
          <w:szCs w:val="20"/>
          <w:color w:val="auto"/>
        </w:rPr>
        <w:t>______</w:t>
      </w:r>
    </w:p>
    <w:p>
      <w:pPr>
        <w:spacing w:after="0" w:line="223" w:lineRule="exact"/>
        <w:rPr>
          <w:rFonts w:ascii="Arial" w:cs="Arial" w:eastAsia="Arial" w:hAnsi="Arial"/>
          <w:sz w:val="20"/>
          <w:szCs w:val="20"/>
          <w:color w:val="auto"/>
        </w:rPr>
      </w:pPr>
    </w:p>
    <w:p>
      <w:pPr>
        <w:ind w:left="1580" w:hanging="276"/>
        <w:spacing w:after="0"/>
        <w:tabs>
          <w:tab w:leader="none" w:pos="1580" w:val="left"/>
        </w:tabs>
        <w:numPr>
          <w:ilvl w:val="1"/>
          <w:numId w:val="2"/>
        </w:numPr>
        <w:rPr>
          <w:rFonts w:ascii="Arial" w:cs="Arial" w:eastAsia="Arial" w:hAnsi="Arial"/>
          <w:sz w:val="20"/>
          <w:szCs w:val="20"/>
          <w:color w:val="auto"/>
        </w:rPr>
      </w:pPr>
      <w:r>
        <w:rPr>
          <w:rFonts w:ascii="Arial" w:cs="Arial" w:eastAsia="Arial" w:hAnsi="Arial"/>
          <w:sz w:val="20"/>
          <w:szCs w:val="20"/>
          <w:b w:val="1"/>
          <w:bCs w:val="1"/>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2"/>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California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858,567</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jc w:val="right"/>
              <w:spacing w:after="0" w:line="179" w:lineRule="exact"/>
              <w:rPr>
                <w:sz w:val="20"/>
                <w:szCs w:val="20"/>
                <w:color w:val="auto"/>
              </w:rPr>
            </w:pPr>
            <w:r>
              <w:rPr>
                <w:rFonts w:ascii="Arial" w:cs="Arial" w:eastAsia="Arial" w:hAnsi="Arial"/>
                <w:sz w:val="20"/>
                <w:szCs w:val="20"/>
                <w:color w:val="auto"/>
              </w:rPr>
              <w:t>7.</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858,567</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858,567</w:t>
      </w:r>
    </w:p>
    <w:p>
      <w:pPr>
        <w:spacing w:after="0" w:line="235" w:lineRule="exact"/>
        <w:rPr>
          <w:rFonts w:ascii="Arial" w:cs="Arial" w:eastAsia="Arial" w:hAnsi="Arial"/>
          <w:sz w:val="20"/>
          <w:szCs w:val="20"/>
          <w:color w:val="auto"/>
        </w:rPr>
      </w:pPr>
    </w:p>
    <w:p>
      <w:pPr>
        <w:ind w:left="1300" w:right="4100" w:hanging="644"/>
        <w:spacing w:after="0" w:line="260" w:lineRule="auto"/>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5.3%</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IA, OO</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3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30068X103</w:t>
      </w:r>
    </w:p>
    <w:p>
      <w:pPr>
        <w:spacing w:after="0" w:line="236"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Stonepine Capital, L.P.</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4"/>
        </w:numPr>
        <w:rPr>
          <w:rFonts w:ascii="Arial" w:cs="Arial" w:eastAsia="Arial" w:hAnsi="Arial"/>
          <w:sz w:val="20"/>
          <w:szCs w:val="20"/>
          <w:color w:val="auto"/>
        </w:rPr>
      </w:pPr>
      <w:r>
        <w:rPr>
          <w:rFonts w:ascii="Arial" w:cs="Arial" w:eastAsia="Arial" w:hAnsi="Arial"/>
          <w:sz w:val="20"/>
          <w:szCs w:val="20"/>
          <w:color w:val="auto"/>
        </w:rPr>
        <w:t>______</w:t>
      </w:r>
    </w:p>
    <w:p>
      <w:pPr>
        <w:spacing w:after="0" w:line="223" w:lineRule="exact"/>
        <w:rPr>
          <w:rFonts w:ascii="Arial" w:cs="Arial" w:eastAsia="Arial" w:hAnsi="Arial"/>
          <w:sz w:val="20"/>
          <w:szCs w:val="20"/>
          <w:color w:val="auto"/>
        </w:rPr>
      </w:pPr>
    </w:p>
    <w:p>
      <w:pPr>
        <w:ind w:left="1580" w:hanging="276"/>
        <w:spacing w:after="0"/>
        <w:tabs>
          <w:tab w:leader="none" w:pos="1580" w:val="left"/>
        </w:tabs>
        <w:numPr>
          <w:ilvl w:val="1"/>
          <w:numId w:val="4"/>
        </w:numPr>
        <w:rPr>
          <w:rFonts w:ascii="Arial" w:cs="Arial" w:eastAsia="Arial" w:hAnsi="Arial"/>
          <w:sz w:val="20"/>
          <w:szCs w:val="20"/>
          <w:color w:val="auto"/>
        </w:rPr>
      </w:pPr>
      <w:r>
        <w:rPr>
          <w:rFonts w:ascii="Arial" w:cs="Arial" w:eastAsia="Arial" w:hAnsi="Arial"/>
          <w:sz w:val="20"/>
          <w:szCs w:val="20"/>
          <w:b w:val="1"/>
          <w:bCs w:val="1"/>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858,567</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jc w:val="right"/>
              <w:spacing w:after="0" w:line="179" w:lineRule="exact"/>
              <w:rPr>
                <w:sz w:val="20"/>
                <w:szCs w:val="20"/>
                <w:color w:val="auto"/>
              </w:rPr>
            </w:pPr>
            <w:r>
              <w:rPr>
                <w:rFonts w:ascii="Arial" w:cs="Arial" w:eastAsia="Arial" w:hAnsi="Arial"/>
                <w:sz w:val="20"/>
                <w:szCs w:val="20"/>
                <w:color w:val="auto"/>
              </w:rPr>
              <w:t>7.</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858,567</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858,567</w:t>
      </w:r>
    </w:p>
    <w:p>
      <w:pPr>
        <w:spacing w:after="0" w:line="235" w:lineRule="exact"/>
        <w:rPr>
          <w:rFonts w:ascii="Arial" w:cs="Arial" w:eastAsia="Arial" w:hAnsi="Arial"/>
          <w:sz w:val="20"/>
          <w:szCs w:val="20"/>
          <w:color w:val="auto"/>
        </w:rPr>
      </w:pPr>
    </w:p>
    <w:p>
      <w:pPr>
        <w:ind w:left="1300" w:right="4100" w:hanging="644"/>
        <w:spacing w:after="0" w:line="260" w:lineRule="auto"/>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5.3%</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PN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30068X103</w:t>
      </w:r>
    </w:p>
    <w:p>
      <w:pPr>
        <w:spacing w:after="0" w:line="236"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Jon M. Plexico</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6"/>
        </w:numPr>
        <w:rPr>
          <w:rFonts w:ascii="Arial" w:cs="Arial" w:eastAsia="Arial" w:hAnsi="Arial"/>
          <w:sz w:val="20"/>
          <w:szCs w:val="20"/>
          <w:color w:val="auto"/>
        </w:rPr>
      </w:pPr>
      <w:r>
        <w:rPr>
          <w:rFonts w:ascii="Arial" w:cs="Arial" w:eastAsia="Arial" w:hAnsi="Arial"/>
          <w:sz w:val="20"/>
          <w:szCs w:val="20"/>
          <w:color w:val="auto"/>
        </w:rPr>
        <w:t>______</w:t>
      </w:r>
    </w:p>
    <w:p>
      <w:pPr>
        <w:spacing w:after="0" w:line="223" w:lineRule="exact"/>
        <w:rPr>
          <w:rFonts w:ascii="Arial" w:cs="Arial" w:eastAsia="Arial" w:hAnsi="Arial"/>
          <w:sz w:val="20"/>
          <w:szCs w:val="20"/>
          <w:color w:val="auto"/>
        </w:rPr>
      </w:pPr>
    </w:p>
    <w:p>
      <w:pPr>
        <w:ind w:left="1580" w:hanging="276"/>
        <w:spacing w:after="0"/>
        <w:tabs>
          <w:tab w:leader="none" w:pos="1580" w:val="left"/>
        </w:tabs>
        <w:numPr>
          <w:ilvl w:val="1"/>
          <w:numId w:val="6"/>
        </w:numPr>
        <w:rPr>
          <w:rFonts w:ascii="Arial" w:cs="Arial" w:eastAsia="Arial" w:hAnsi="Arial"/>
          <w:sz w:val="20"/>
          <w:szCs w:val="20"/>
          <w:color w:val="auto"/>
        </w:rPr>
      </w:pPr>
      <w:r>
        <w:rPr>
          <w:rFonts w:ascii="Arial" w:cs="Arial" w:eastAsia="Arial" w:hAnsi="Arial"/>
          <w:sz w:val="20"/>
          <w:szCs w:val="20"/>
          <w:b w:val="1"/>
          <w:bCs w:val="1"/>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6"/>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U.S.A.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858,567</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jc w:val="right"/>
              <w:spacing w:after="0" w:line="179" w:lineRule="exact"/>
              <w:rPr>
                <w:sz w:val="20"/>
                <w:szCs w:val="20"/>
                <w:color w:val="auto"/>
              </w:rPr>
            </w:pPr>
            <w:r>
              <w:rPr>
                <w:rFonts w:ascii="Arial" w:cs="Arial" w:eastAsia="Arial" w:hAnsi="Arial"/>
                <w:sz w:val="20"/>
                <w:szCs w:val="20"/>
                <w:color w:val="auto"/>
              </w:rPr>
              <w:t>7.</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858,567</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858,567</w:t>
      </w:r>
    </w:p>
    <w:p>
      <w:pPr>
        <w:spacing w:after="0" w:line="235" w:lineRule="exact"/>
        <w:rPr>
          <w:rFonts w:ascii="Arial" w:cs="Arial" w:eastAsia="Arial" w:hAnsi="Arial"/>
          <w:sz w:val="20"/>
          <w:szCs w:val="20"/>
          <w:color w:val="auto"/>
        </w:rPr>
      </w:pPr>
    </w:p>
    <w:p>
      <w:pPr>
        <w:ind w:left="1300" w:right="4100" w:hanging="644"/>
        <w:spacing w:after="0" w:line="260" w:lineRule="auto"/>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5.3%</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HC, IN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3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30068X103</w:t>
      </w:r>
    </w:p>
    <w:p>
      <w:pPr>
        <w:spacing w:after="0" w:line="23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Timothy P. Lynch</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8"/>
        </w:numPr>
        <w:rPr>
          <w:rFonts w:ascii="Arial" w:cs="Arial" w:eastAsia="Arial" w:hAnsi="Arial"/>
          <w:sz w:val="20"/>
          <w:szCs w:val="20"/>
          <w:color w:val="auto"/>
        </w:rPr>
      </w:pPr>
      <w:r>
        <w:rPr>
          <w:rFonts w:ascii="Arial" w:cs="Arial" w:eastAsia="Arial" w:hAnsi="Arial"/>
          <w:sz w:val="20"/>
          <w:szCs w:val="20"/>
          <w:color w:val="auto"/>
        </w:rPr>
        <w:t>______</w:t>
      </w:r>
    </w:p>
    <w:p>
      <w:pPr>
        <w:spacing w:after="0" w:line="223" w:lineRule="exact"/>
        <w:rPr>
          <w:rFonts w:ascii="Arial" w:cs="Arial" w:eastAsia="Arial" w:hAnsi="Arial"/>
          <w:sz w:val="20"/>
          <w:szCs w:val="20"/>
          <w:color w:val="auto"/>
        </w:rPr>
      </w:pPr>
    </w:p>
    <w:p>
      <w:pPr>
        <w:ind w:left="1580" w:hanging="276"/>
        <w:spacing w:after="0"/>
        <w:tabs>
          <w:tab w:leader="none" w:pos="1580" w:val="left"/>
        </w:tabs>
        <w:numPr>
          <w:ilvl w:val="1"/>
          <w:numId w:val="8"/>
        </w:numPr>
        <w:rPr>
          <w:rFonts w:ascii="Arial" w:cs="Arial" w:eastAsia="Arial" w:hAnsi="Arial"/>
          <w:sz w:val="20"/>
          <w:szCs w:val="20"/>
          <w:color w:val="auto"/>
        </w:rPr>
      </w:pPr>
      <w:r>
        <w:rPr>
          <w:rFonts w:ascii="Arial" w:cs="Arial" w:eastAsia="Arial" w:hAnsi="Arial"/>
          <w:sz w:val="20"/>
          <w:szCs w:val="20"/>
          <w:b w:val="1"/>
          <w:bCs w:val="1"/>
          <w:color w:val="auto"/>
        </w:rPr>
        <w:t>X</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8"/>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U.S.A.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858,567</w:t>
            </w:r>
          </w:p>
        </w:tc>
        <w:tc>
          <w:tcPr>
            <w:tcW w:w="0" w:type="dxa"/>
            <w:vAlign w:val="bottom"/>
          </w:tcPr>
          <w:p>
            <w:pPr>
              <w:spacing w:after="0"/>
              <w:rPr>
                <w:sz w:val="1"/>
                <w:szCs w:val="1"/>
                <w:color w:val="auto"/>
              </w:rPr>
            </w:pPr>
          </w:p>
        </w:tc>
      </w:tr>
      <w:tr>
        <w:trPr>
          <w:trHeight w:val="240"/>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160" w:type="dxa"/>
            <w:vAlign w:val="bottom"/>
          </w:tcPr>
          <w:p>
            <w:pPr>
              <w:ind w:left="100"/>
              <w:spacing w:after="0" w:line="199" w:lineRule="exact"/>
              <w:rPr>
                <w:sz w:val="20"/>
                <w:szCs w:val="20"/>
                <w:color w:val="auto"/>
              </w:rPr>
            </w:pPr>
            <w:r>
              <w:rPr>
                <w:rFonts w:ascii="Arial" w:cs="Arial" w:eastAsia="Arial" w:hAnsi="Arial"/>
                <w:sz w:val="20"/>
                <w:szCs w:val="20"/>
                <w:color w:val="auto"/>
              </w:rPr>
              <w:t>Beneficially</w:t>
            </w:r>
          </w:p>
        </w:tc>
        <w:tc>
          <w:tcPr>
            <w:tcW w:w="260" w:type="dxa"/>
            <w:vAlign w:val="bottom"/>
          </w:tcPr>
          <w:p>
            <w:pPr>
              <w:jc w:val="right"/>
              <w:spacing w:after="0" w:line="199" w:lineRule="exact"/>
              <w:rPr>
                <w:sz w:val="20"/>
                <w:szCs w:val="20"/>
                <w:color w:val="auto"/>
              </w:rPr>
            </w:pPr>
            <w:r>
              <w:rPr>
                <w:rFonts w:ascii="Arial" w:cs="Arial" w:eastAsia="Arial" w:hAnsi="Arial"/>
                <w:sz w:val="20"/>
                <w:szCs w:val="20"/>
                <w:color w:val="auto"/>
              </w:rPr>
              <w:t>6.</w:t>
            </w:r>
          </w:p>
        </w:tc>
        <w:tc>
          <w:tcPr>
            <w:tcW w:w="8820" w:type="dxa"/>
            <w:vAlign w:val="bottom"/>
          </w:tcPr>
          <w:p>
            <w:pPr>
              <w:ind w:left="20"/>
              <w:spacing w:after="0" w:line="199" w:lineRule="exact"/>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2"/>
                <w:szCs w:val="2"/>
                <w:color w:val="auto"/>
              </w:rPr>
            </w:pPr>
          </w:p>
        </w:tc>
        <w:tc>
          <w:tcPr>
            <w:tcW w:w="8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160" w:type="dxa"/>
            <w:vAlign w:val="bottom"/>
            <w:vMerge w:val="continue"/>
          </w:tcPr>
          <w:p>
            <w:pPr>
              <w:spacing w:after="0"/>
              <w:rPr>
                <w:sz w:val="15"/>
                <w:szCs w:val="15"/>
                <w:color w:val="auto"/>
              </w:rPr>
            </w:pPr>
          </w:p>
        </w:tc>
        <w:tc>
          <w:tcPr>
            <w:tcW w:w="260" w:type="dxa"/>
            <w:vAlign w:val="bottom"/>
          </w:tcPr>
          <w:p>
            <w:pPr>
              <w:jc w:val="right"/>
              <w:spacing w:after="0" w:line="179" w:lineRule="exact"/>
              <w:rPr>
                <w:sz w:val="20"/>
                <w:szCs w:val="20"/>
                <w:color w:val="auto"/>
              </w:rPr>
            </w:pPr>
            <w:r>
              <w:rPr>
                <w:rFonts w:ascii="Arial" w:cs="Arial" w:eastAsia="Arial" w:hAnsi="Arial"/>
                <w:sz w:val="20"/>
                <w:szCs w:val="20"/>
                <w:color w:val="auto"/>
              </w:rPr>
              <w:t>7.</w:t>
            </w:r>
          </w:p>
        </w:tc>
        <w:tc>
          <w:tcPr>
            <w:tcW w:w="8820" w:type="dxa"/>
            <w:vAlign w:val="bottom"/>
          </w:tcPr>
          <w:p>
            <w:pPr>
              <w:ind w:left="20"/>
              <w:spacing w:after="0" w:line="179"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858,567</w:t>
            </w:r>
          </w:p>
        </w:tc>
        <w:tc>
          <w:tcPr>
            <w:tcW w:w="0" w:type="dxa"/>
            <w:vAlign w:val="bottom"/>
          </w:tcPr>
          <w:p>
            <w:pPr>
              <w:spacing w:after="0"/>
              <w:rPr>
                <w:sz w:val="1"/>
                <w:szCs w:val="1"/>
                <w:color w:val="auto"/>
              </w:rPr>
            </w:pPr>
          </w:p>
        </w:tc>
      </w:tr>
      <w:tr>
        <w:trPr>
          <w:trHeight w:val="4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spacing w:after="0" w:line="223" w:lineRule="exact"/>
              <w:rPr>
                <w:sz w:val="20"/>
                <w:szCs w:val="20"/>
                <w:color w:val="auto"/>
              </w:rPr>
            </w:pPr>
            <w:r>
              <w:rPr>
                <w:rFonts w:ascii="Arial" w:cs="Arial" w:eastAsia="Arial" w:hAnsi="Arial"/>
                <w:sz w:val="20"/>
                <w:szCs w:val="20"/>
                <w:color w:val="auto"/>
              </w:rPr>
              <w:t>8.</w:t>
            </w:r>
          </w:p>
        </w:tc>
        <w:tc>
          <w:tcPr>
            <w:tcW w:w="8820" w:type="dxa"/>
            <w:vAlign w:val="bottom"/>
            <w:tcBorders>
              <w:bottom w:val="single" w:sz="8" w:color="auto"/>
            </w:tcBorders>
          </w:tcPr>
          <w:p>
            <w:pPr>
              <w:ind w:left="20"/>
              <w:spacing w:after="0" w:line="223" w:lineRule="exact"/>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858,567</w:t>
      </w:r>
    </w:p>
    <w:p>
      <w:pPr>
        <w:spacing w:after="0" w:line="200" w:lineRule="exact"/>
        <w:rPr>
          <w:rFonts w:ascii="Arial" w:cs="Arial" w:eastAsia="Arial" w:hAnsi="Arial"/>
          <w:sz w:val="20"/>
          <w:szCs w:val="20"/>
          <w:color w:val="auto"/>
        </w:rPr>
      </w:pPr>
    </w:p>
    <w:p>
      <w:pPr>
        <w:spacing w:after="0" w:line="264" w:lineRule="exact"/>
        <w:rPr>
          <w:rFonts w:ascii="Arial" w:cs="Arial" w:eastAsia="Arial" w:hAnsi="Arial"/>
          <w:sz w:val="20"/>
          <w:szCs w:val="20"/>
          <w:color w:val="auto"/>
        </w:rPr>
      </w:pPr>
    </w:p>
    <w:p>
      <w:pPr>
        <w:ind w:left="1300" w:right="4100" w:hanging="644"/>
        <w:spacing w:after="0" w:line="260" w:lineRule="auto"/>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5.3%</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HC, IN</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3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30068X103</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w:t>
      </w:r>
    </w:p>
    <w:p>
      <w:pPr>
        <w:spacing w:after="0" w:line="235"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Name of Issuer</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Exagen Inc.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Address of Issuer’s Principal Executive Offices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1261 Liberty Way, Vista, CA 92081</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w:t>
      </w:r>
    </w:p>
    <w:p>
      <w:pPr>
        <w:spacing w:after="0" w:line="235"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names of the persons filing this statement are:</w:t>
      </w:r>
    </w:p>
    <w:p>
      <w:pPr>
        <w:spacing w:after="0" w:line="223" w:lineRule="exact"/>
        <w:rPr>
          <w:rFonts w:ascii="Arial" w:cs="Arial" w:eastAsia="Arial" w:hAnsi="Arial"/>
          <w:sz w:val="20"/>
          <w:szCs w:val="20"/>
          <w:color w:val="auto"/>
        </w:rPr>
      </w:pPr>
    </w:p>
    <w:p>
      <w:pPr>
        <w:ind w:left="1300" w:right="1380"/>
        <w:spacing w:after="0" w:line="479" w:lineRule="auto"/>
        <w:rPr>
          <w:rFonts w:ascii="Arial" w:cs="Arial" w:eastAsia="Arial" w:hAnsi="Arial"/>
          <w:sz w:val="20"/>
          <w:szCs w:val="20"/>
          <w:color w:val="auto"/>
        </w:rPr>
      </w:pPr>
      <w:r>
        <w:rPr>
          <w:rFonts w:ascii="Arial" w:cs="Arial" w:eastAsia="Arial" w:hAnsi="Arial"/>
          <w:sz w:val="20"/>
          <w:szCs w:val="20"/>
          <w:b w:val="1"/>
          <w:bCs w:val="1"/>
          <w:color w:val="auto"/>
        </w:rPr>
        <w:t>Stonepine Capital Management, LLC, a California limited liability company (the “General Partner”) Stonepine Capital, L.P., a Delaware limited partnership (the “Partnership”)</w:t>
      </w: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Jon M. Plexico</w:t>
      </w:r>
    </w:p>
    <w:p>
      <w:pPr>
        <w:spacing w:after="0" w:line="229"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Timothy P. Lynch (collectively, the “Filers”)</w:t>
      </w:r>
    </w:p>
    <w:p>
      <w:pPr>
        <w:spacing w:after="0" w:line="235" w:lineRule="exact"/>
        <w:rPr>
          <w:rFonts w:ascii="Arial" w:cs="Arial" w:eastAsia="Arial" w:hAnsi="Arial"/>
          <w:sz w:val="20"/>
          <w:szCs w:val="20"/>
          <w:color w:val="auto"/>
        </w:rPr>
      </w:pPr>
    </w:p>
    <w:p>
      <w:pPr>
        <w:ind w:left="1300"/>
        <w:spacing w:after="0" w:line="259" w:lineRule="auto"/>
        <w:rPr>
          <w:rFonts w:ascii="Arial" w:cs="Arial" w:eastAsia="Arial" w:hAnsi="Arial"/>
          <w:sz w:val="20"/>
          <w:szCs w:val="20"/>
          <w:color w:val="auto"/>
        </w:rPr>
      </w:pPr>
      <w:r>
        <w:rPr>
          <w:rFonts w:ascii="Arial" w:cs="Arial" w:eastAsia="Arial" w:hAnsi="Arial"/>
          <w:sz w:val="19"/>
          <w:szCs w:val="19"/>
          <w:color w:val="auto"/>
        </w:rPr>
        <w:t>The General Partner is the general partner and investment adviser of the Partnership. Mr. Plexico and Mr. Lynch are the control persons of the General Partner. The Filers are filing this Schedule 13G jointly, but not as members of a group, and each disclaims membership in a group. Each Filer also disclaims beneficial ownership of the Stock except to the extent of that person’s pecuniary interest therein. In addition, the filing of this Schedule 13G on behalf of the Partnership should not be construed as an admission that it is, and it disclaims that it is, a beneficial owner, as defined in Rule 13d-3 under the Act, of any of the Stock covered by this Schedule 13G.</w:t>
      </w:r>
    </w:p>
    <w:p>
      <w:pPr>
        <w:spacing w:after="0" w:line="191"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principal business office of the Filers is located at</w:t>
      </w:r>
    </w:p>
    <w:p>
      <w:pPr>
        <w:spacing w:after="0" w:line="223" w:lineRule="exact"/>
        <w:rPr>
          <w:rFonts w:ascii="Arial" w:cs="Arial" w:eastAsia="Arial" w:hAnsi="Arial"/>
          <w:sz w:val="20"/>
          <w:szCs w:val="20"/>
          <w:color w:val="auto"/>
        </w:rPr>
      </w:pPr>
    </w:p>
    <w:p>
      <w:pPr>
        <w:ind w:left="1300" w:right="7300"/>
        <w:spacing w:after="0" w:line="267" w:lineRule="auto"/>
        <w:rPr>
          <w:rFonts w:ascii="Arial" w:cs="Arial" w:eastAsia="Arial" w:hAnsi="Arial"/>
          <w:sz w:val="20"/>
          <w:szCs w:val="20"/>
          <w:color w:val="auto"/>
        </w:rPr>
      </w:pPr>
      <w:r>
        <w:rPr>
          <w:rFonts w:ascii="Arial" w:cs="Arial" w:eastAsia="Arial" w:hAnsi="Arial"/>
          <w:sz w:val="20"/>
          <w:szCs w:val="20"/>
          <w:b w:val="1"/>
          <w:bCs w:val="1"/>
          <w:color w:val="auto"/>
        </w:rPr>
        <w:t>919 NW Bond Street, Suite 204 Bend, OR 97703-2767</w:t>
      </w:r>
    </w:p>
    <w:p>
      <w:pPr>
        <w:spacing w:after="0" w:line="182"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For citizenship of Filers, see Item 4 of the cover sheet for each Filer.</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This statement relates to the Issuer’s </w:t>
      </w:r>
      <w:r>
        <w:rPr>
          <w:rFonts w:ascii="Arial" w:cs="Arial" w:eastAsia="Arial" w:hAnsi="Arial"/>
          <w:sz w:val="20"/>
          <w:szCs w:val="20"/>
          <w:b w:val="1"/>
          <w:bCs w:val="1"/>
          <w:color w:val="auto"/>
        </w:rPr>
        <w:t>Common Stock, par value $0.001 per share</w:t>
      </w:r>
      <w:r>
        <w:rPr>
          <w:rFonts w:ascii="Arial" w:cs="Arial" w:eastAsia="Arial" w:hAnsi="Arial"/>
          <w:sz w:val="20"/>
          <w:szCs w:val="20"/>
          <w:color w:val="auto"/>
        </w:rPr>
        <w:t xml:space="preserve"> (the “</w:t>
      </w:r>
      <w:r>
        <w:rPr>
          <w:rFonts w:ascii="Arial" w:cs="Arial" w:eastAsia="Arial" w:hAnsi="Arial"/>
          <w:sz w:val="20"/>
          <w:szCs w:val="20"/>
          <w:b w:val="1"/>
          <w:bCs w:val="1"/>
          <w:color w:val="auto"/>
        </w:rPr>
        <w:t>Stock</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The CUSIP number of the Issuer is: </w:t>
      </w:r>
      <w:r>
        <w:rPr>
          <w:rFonts w:ascii="Arial" w:cs="Arial" w:eastAsia="Arial" w:hAnsi="Arial"/>
          <w:sz w:val="20"/>
          <w:szCs w:val="20"/>
          <w:b w:val="1"/>
          <w:bCs w:val="1"/>
          <w:color w:val="auto"/>
        </w:rPr>
        <w:t>30068X103</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233"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30068X103</w:t>
      </w:r>
    </w:p>
    <w:p>
      <w:pPr>
        <w:spacing w:after="0" w:line="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240.13d-1(b) or 240.13d-2(b) or (c), check whether the person filing is a:</w:t>
      </w:r>
    </w:p>
    <w:p>
      <w:pPr>
        <w:sectPr>
          <w:pgSz w:w="11900" w:h="16838" w:orient="portrait"/>
          <w:cols w:equalWidth="0" w:num="1">
            <w:col w:w="11040"/>
          </w:cols>
          <w:pgMar w:left="320" w:top="233" w:right="539" w:bottom="0" w:gutter="0" w:footer="0" w:header="0"/>
        </w:sect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 Broker or dealer registered under section 15 of the Act (15 U.S.C. 78o).</w:t>
      </w:r>
    </w:p>
    <w:p>
      <w:pPr>
        <w:spacing w:after="0" w:line="200" w:lineRule="exact"/>
        <w:rPr>
          <w:sz w:val="20"/>
          <w:szCs w:val="20"/>
          <w:color w:val="auto"/>
        </w:rPr>
      </w:pPr>
    </w:p>
    <w:p>
      <w:pPr>
        <w:sectPr>
          <w:pgSz w:w="11900" w:h="16838" w:orient="portrait"/>
          <w:cols w:equalWidth="0" w:num="2">
            <w:col w:w="1240" w:space="720"/>
            <w:col w:w="9080"/>
          </w:cols>
          <w:pgMar w:left="320" w:top="233" w:right="539" w:bottom="0" w:gutter="0" w:footer="0" w:header="0"/>
          <w:type w:val="continuous"/>
        </w:sectPr>
      </w:pP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 Bank as defined in section 3(a)(6) of the Act (15 U.S.C. 78c).</w:t>
      </w:r>
    </w:p>
    <w:p>
      <w:pPr>
        <w:spacing w:after="0" w:line="200" w:lineRule="exact"/>
        <w:rPr>
          <w:sz w:val="20"/>
          <w:szCs w:val="20"/>
          <w:color w:val="auto"/>
        </w:rPr>
      </w:pPr>
    </w:p>
    <w:p>
      <w:pPr>
        <w:sectPr>
          <w:pgSz w:w="11900" w:h="16838" w:orient="portrait"/>
          <w:cols w:equalWidth="0" w:num="2">
            <w:col w:w="1240" w:space="720"/>
            <w:col w:w="9080"/>
          </w:cols>
          <w:pgMar w:left="320" w:top="233" w:right="539" w:bottom="0" w:gutter="0" w:footer="0" w:header="0"/>
          <w:type w:val="continuous"/>
        </w:sectPr>
      </w:pP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 Insurance company as defined in section 3(a)(19) of the Act (15 U.S.C. 78c).</w:t>
      </w:r>
    </w:p>
    <w:p>
      <w:pPr>
        <w:spacing w:after="0" w:line="200" w:lineRule="exact"/>
        <w:rPr>
          <w:sz w:val="20"/>
          <w:szCs w:val="20"/>
          <w:color w:val="auto"/>
        </w:rPr>
      </w:pPr>
    </w:p>
    <w:p>
      <w:pPr>
        <w:sectPr>
          <w:pgSz w:w="11900" w:h="16838" w:orient="portrait"/>
          <w:cols w:equalWidth="0" w:num="2">
            <w:col w:w="1240" w:space="720"/>
            <w:col w:w="9080"/>
          </w:cols>
          <w:pgMar w:left="320" w:top="233" w:right="539" w:bottom="0" w:gutter="0" w:footer="0" w:header="0"/>
          <w:type w:val="continuous"/>
        </w:sectPr>
      </w:pPr>
    </w:p>
    <w:p>
      <w:pPr>
        <w:spacing w:after="0" w:line="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 Investment company registered under section 8 of the Investment Company Act of 1940 (15 U.S.C. 80a-8).</w:t>
      </w:r>
    </w:p>
    <w:p>
      <w:pPr>
        <w:spacing w:after="0" w:line="200" w:lineRule="exact"/>
        <w:rPr>
          <w:sz w:val="20"/>
          <w:szCs w:val="20"/>
          <w:color w:val="auto"/>
        </w:rPr>
      </w:pPr>
    </w:p>
    <w:p>
      <w:pPr>
        <w:sectPr>
          <w:pgSz w:w="11900" w:h="16838" w:orient="portrait"/>
          <w:cols w:equalWidth="0" w:num="2">
            <w:col w:w="1240" w:space="720"/>
            <w:col w:w="9080"/>
          </w:cols>
          <w:pgMar w:left="320" w:top="233" w:right="539" w:bottom="0" w:gutter="0" w:footer="0" w:header="0"/>
          <w:type w:val="continuous"/>
        </w:sectPr>
      </w:pPr>
    </w:p>
    <w:p>
      <w:pPr>
        <w:spacing w:after="0" w:line="4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8"/>
          <w:szCs w:val="18"/>
          <w:color w:val="auto"/>
        </w:rPr>
        <w:t xml:space="preserve">[ </w:t>
      </w:r>
      <w:r>
        <w:rPr>
          <w:rFonts w:ascii="Arial" w:cs="Arial" w:eastAsia="Arial" w:hAnsi="Arial"/>
          <w:sz w:val="18"/>
          <w:szCs w:val="18"/>
          <w:b w:val="1"/>
          <w:bCs w:val="1"/>
          <w:color w:val="auto"/>
        </w:rPr>
        <w:t>X</w:t>
      </w:r>
      <w:r>
        <w:rPr>
          <w:rFonts w:ascii="Arial" w:cs="Arial" w:eastAsia="Arial" w:hAnsi="Arial"/>
          <w:sz w:val="18"/>
          <w:szCs w:val="18"/>
          <w:color w:val="auto"/>
        </w:rPr>
        <w:t xml:space="preserve"> ] An investment adviser in accordance with section 240.13d-1(b)(1)(ii)(E). As to the General Partner.</w:t>
      </w:r>
    </w:p>
    <w:p>
      <w:pPr>
        <w:sectPr>
          <w:pgSz w:w="11900" w:h="16838" w:orient="portrait"/>
          <w:cols w:equalWidth="0" w:num="1">
            <w:col w:w="11040"/>
          </w:cols>
          <w:pgMar w:left="320" w:top="233" w:right="539" w:bottom="0" w:gutter="0" w:footer="0" w:header="0"/>
          <w:type w:val="continuous"/>
        </w:sect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 ] An employee benefit plan or endowment fund in accordance with section 240.13d-1(b)(1)(ii)(F).</w:t>
      </w:r>
    </w:p>
    <w:p>
      <w:pPr>
        <w:spacing w:after="0" w:line="222" w:lineRule="exact"/>
        <w:rPr>
          <w:sz w:val="20"/>
          <w:szCs w:val="20"/>
          <w:color w:val="auto"/>
        </w:rPr>
      </w:pPr>
    </w:p>
    <w:p>
      <w:pPr>
        <w:sectPr>
          <w:pgSz w:w="11900" w:h="16838" w:orient="portrait"/>
          <w:cols w:equalWidth="0" w:num="2">
            <w:col w:w="1240" w:space="720"/>
            <w:col w:w="9080"/>
          </w:cols>
          <w:pgMar w:left="320" w:top="233" w:right="539" w:bottom="0" w:gutter="0" w:footer="0" w:header="0"/>
          <w:type w:val="continuous"/>
        </w:sectPr>
      </w:pPr>
    </w:p>
    <w:p>
      <w:pPr>
        <w:spacing w:after="0" w:line="2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18"/>
          <w:szCs w:val="18"/>
          <w:color w:val="auto"/>
        </w:rPr>
        <w:t xml:space="preserve">[ </w:t>
      </w:r>
      <w:r>
        <w:rPr>
          <w:rFonts w:ascii="Arial" w:cs="Arial" w:eastAsia="Arial" w:hAnsi="Arial"/>
          <w:sz w:val="18"/>
          <w:szCs w:val="18"/>
          <w:b w:val="1"/>
          <w:bCs w:val="1"/>
          <w:color w:val="auto"/>
        </w:rPr>
        <w:t>X</w:t>
      </w:r>
      <w:r>
        <w:rPr>
          <w:rFonts w:ascii="Arial" w:cs="Arial" w:eastAsia="Arial" w:hAnsi="Arial"/>
          <w:sz w:val="18"/>
          <w:szCs w:val="18"/>
          <w:color w:val="auto"/>
        </w:rPr>
        <w:t xml:space="preserve"> ] A parent holding company or control person in accordance with 240.13d-1(b)(1)(ii)(G). As to Mr. Plexico and Mr.</w:t>
      </w:r>
    </w:p>
    <w:p>
      <w:pPr>
        <w:spacing w:after="0" w:line="4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Lynch.</w:t>
      </w:r>
    </w:p>
    <w:p>
      <w:pPr>
        <w:sectPr>
          <w:pgSz w:w="11900" w:h="16838" w:orient="portrait"/>
          <w:cols w:equalWidth="0" w:num="1">
            <w:col w:w="11040"/>
          </w:cols>
          <w:pgMar w:left="320" w:top="233" w:right="539" w:bottom="0" w:gutter="0" w:footer="0" w:header="0"/>
          <w:type w:val="continuous"/>
        </w:sect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 A savings association as defined in section 3(b) of the Federal Deposit Insurance Act (12 U.S.C. 1813).</w:t>
      </w:r>
    </w:p>
    <w:p>
      <w:pPr>
        <w:spacing w:after="0" w:line="200" w:lineRule="exact"/>
        <w:rPr>
          <w:sz w:val="20"/>
          <w:szCs w:val="20"/>
          <w:color w:val="auto"/>
        </w:rPr>
      </w:pPr>
    </w:p>
    <w:p>
      <w:pPr>
        <w:sectPr>
          <w:pgSz w:w="11900" w:h="16838" w:orient="portrait"/>
          <w:cols w:equalWidth="0" w:num="2">
            <w:col w:w="1240" w:space="720"/>
            <w:col w:w="9080"/>
          </w:cols>
          <w:pgMar w:left="320" w:top="233" w:right="539" w:bottom="0" w:gutter="0" w:footer="0" w:header="0"/>
          <w:type w:val="continuous"/>
        </w:sectPr>
      </w:pPr>
    </w:p>
    <w:p>
      <w:pPr>
        <w:spacing w:after="0" w:line="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440"/>
        <w:spacing w:after="0" w:line="260" w:lineRule="auto"/>
        <w:rPr>
          <w:sz w:val="20"/>
          <w:szCs w:val="20"/>
          <w:color w:val="auto"/>
        </w:rPr>
      </w:pPr>
      <w:r>
        <w:rPr>
          <w:rFonts w:ascii="Arial" w:cs="Arial" w:eastAsia="Arial" w:hAnsi="Arial"/>
          <w:sz w:val="20"/>
          <w:szCs w:val="20"/>
          <w:color w:val="auto"/>
        </w:rPr>
        <w:t>[ ] A church plan that is excluded from the definition of an investment company under section 3(c)(14) of the Investment Company Act of 1940 (15 U.S.C. 80a-3).</w:t>
      </w:r>
    </w:p>
    <w:p>
      <w:pPr>
        <w:spacing w:after="0" w:line="190" w:lineRule="exact"/>
        <w:rPr>
          <w:sz w:val="20"/>
          <w:szCs w:val="20"/>
          <w:color w:val="auto"/>
        </w:rPr>
      </w:pPr>
    </w:p>
    <w:p>
      <w:pPr>
        <w:sectPr>
          <w:pgSz w:w="11900" w:h="16838" w:orient="portrait"/>
          <w:cols w:equalWidth="0" w:num="2">
            <w:col w:w="1240" w:space="720"/>
            <w:col w:w="9080"/>
          </w:cols>
          <w:pgMar w:left="320" w:top="233" w:right="539" w:bottom="0" w:gutter="0" w:footer="0" w:header="0"/>
          <w:type w:val="continuous"/>
        </w:sectPr>
      </w:pPr>
    </w:p>
    <w:p>
      <w:pPr>
        <w:ind w:left="660"/>
        <w:spacing w:after="0"/>
        <w:rPr>
          <w:sz w:val="20"/>
          <w:szCs w:val="20"/>
          <w:color w:val="auto"/>
        </w:rPr>
      </w:pPr>
      <w:r>
        <w:rPr>
          <w:rFonts w:ascii="Arial" w:cs="Arial" w:eastAsia="Arial" w:hAnsi="Arial"/>
          <w:sz w:val="20"/>
          <w:szCs w:val="20"/>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 A non-U.S. institution in accordance with §240.13d-1(b)(ii)(J).</w:t>
      </w:r>
    </w:p>
    <w:p>
      <w:pPr>
        <w:spacing w:after="0" w:line="222" w:lineRule="exact"/>
        <w:rPr>
          <w:sz w:val="20"/>
          <w:szCs w:val="20"/>
          <w:color w:val="auto"/>
        </w:rPr>
      </w:pPr>
    </w:p>
    <w:p>
      <w:pPr>
        <w:sectPr>
          <w:pgSz w:w="11900" w:h="16838" w:orient="portrait"/>
          <w:cols w:equalWidth="0" w:num="2">
            <w:col w:w="1240" w:space="720"/>
            <w:col w:w="9080"/>
          </w:cols>
          <w:pgMar w:left="320" w:top="233" w:right="539" w:bottom="0" w:gutter="0" w:footer="0" w:header="0"/>
          <w:type w:val="continuous"/>
        </w:sectPr>
      </w:pPr>
    </w:p>
    <w:p>
      <w:pPr>
        <w:spacing w:after="0" w:line="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 Group, in accordance with Rule 13d-1(b)(1)(ii)(K).</w:t>
      </w:r>
    </w:p>
    <w:p>
      <w:pPr>
        <w:spacing w:after="0" w:line="200" w:lineRule="exact"/>
        <w:rPr>
          <w:sz w:val="20"/>
          <w:szCs w:val="20"/>
          <w:color w:val="auto"/>
        </w:rPr>
      </w:pPr>
    </w:p>
    <w:p>
      <w:pPr>
        <w:sectPr>
          <w:pgSz w:w="11900" w:h="16838" w:orient="portrait"/>
          <w:cols w:equalWidth="0" w:num="2">
            <w:col w:w="1240" w:space="720"/>
            <w:col w:w="9080"/>
          </w:cols>
          <w:pgMar w:left="320" w:top="233" w:right="539" w:bottom="0" w:gutter="0" w:footer="0" w:header="0"/>
          <w:type w:val="continuous"/>
        </w:sectPr>
      </w:pPr>
    </w:p>
    <w:p>
      <w:pPr>
        <w:spacing w:after="0" w:line="52" w:lineRule="exact"/>
        <w:rPr>
          <w:sz w:val="20"/>
          <w:szCs w:val="20"/>
          <w:color w:val="auto"/>
        </w:rPr>
      </w:pPr>
    </w:p>
    <w:p>
      <w:pPr>
        <w:ind w:left="660" w:right="1440"/>
        <w:spacing w:after="0" w:line="260" w:lineRule="auto"/>
        <w:rPr>
          <w:sz w:val="20"/>
          <w:szCs w:val="20"/>
          <w:color w:val="auto"/>
        </w:rPr>
      </w:pPr>
      <w:r>
        <w:rPr>
          <w:rFonts w:ascii="Arial" w:cs="Arial" w:eastAsia="Arial" w:hAnsi="Arial"/>
          <w:sz w:val="20"/>
          <w:szCs w:val="20"/>
          <w:color w:val="auto"/>
        </w:rPr>
        <w:t>If filing as a non-U.S. institution in accordance with §240.13d-1(b)(1)(ii)(J), please specify the type of institution _______________________________________________________________.</w:t>
      </w:r>
    </w:p>
    <w:p>
      <w:pPr>
        <w:sectPr>
          <w:pgSz w:w="11900" w:h="16838" w:orient="portrait"/>
          <w:cols w:equalWidth="0" w:num="1">
            <w:col w:w="11040"/>
          </w:cols>
          <w:pgMar w:left="320" w:top="233" w:right="539" w:bottom="0" w:gutter="0" w:footer="0" w:header="0"/>
          <w:type w:val="continuous"/>
        </w:sectPr>
      </w:pP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w:t>
      </w:r>
    </w:p>
    <w:p>
      <w:pPr>
        <w:spacing w:after="0" w:line="222" w:lineRule="exact"/>
        <w:rPr>
          <w:sz w:val="20"/>
          <w:szCs w:val="20"/>
          <w:color w:val="auto"/>
        </w:rPr>
      </w:pPr>
    </w:p>
    <w:p>
      <w:pPr>
        <w:sectPr>
          <w:pgSz w:w="11900" w:h="16838" w:orient="portrait"/>
          <w:cols w:equalWidth="0" w:num="2">
            <w:col w:w="600" w:space="700"/>
            <w:col w:w="9740"/>
          </w:cols>
          <w:pgMar w:left="320" w:top="233" w:right="539" w:bottom="0" w:gutter="0" w:footer="0" w:header="0"/>
          <w:type w:val="continuous"/>
        </w:sectPr>
      </w:pP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color w:val="auto"/>
        </w:rPr>
        <w:t>See Items 5-9 and 11 of the cover page for each Filer.</w:t>
      </w:r>
    </w:p>
    <w:p>
      <w:pPr>
        <w:spacing w:after="0" w:line="229"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The percentages reported in this Schedule 13G are based on 16,164,232 shares of Common Stock outstanding as of November 5, 2021, as reported in the Issuer’s Form 10-Q filed on November 10, 2021.</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five percent of the class of securities, check the following [ ].</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35"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The Partnership holds the Stock for the benefit of its investors and has the right to receive or the power to direct the receipt of dividends from, or the proceeds from the sale of, the Stock.</w:t>
      </w:r>
    </w:p>
    <w:p>
      <w:pPr>
        <w:spacing w:after="0" w:line="184" w:lineRule="exact"/>
        <w:rPr>
          <w:sz w:val="20"/>
          <w:szCs w:val="20"/>
          <w:color w:val="auto"/>
        </w:rPr>
      </w:pPr>
    </w:p>
    <w:p>
      <w:pPr>
        <w:ind w:left="1300" w:right="180" w:hanging="1295"/>
        <w:spacing w:after="0" w:line="267" w:lineRule="auto"/>
        <w:tabs>
          <w:tab w:leader="none" w:pos="12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Material to Be Filed as Exhibits</w:t>
      </w:r>
    </w:p>
    <w:p>
      <w:pPr>
        <w:spacing w:after="0"/>
        <w:rPr>
          <w:sz w:val="20"/>
          <w:szCs w:val="20"/>
          <w:color w:val="auto"/>
        </w:rPr>
      </w:pPr>
      <w:r>
        <w:rPr>
          <w:rFonts w:ascii="Arial" w:cs="Arial" w:eastAsia="Arial" w:hAnsi="Arial"/>
          <w:sz w:val="20"/>
          <w:szCs w:val="20"/>
          <w:b w:val="1"/>
          <w:bCs w:val="1"/>
          <w:color w:val="auto"/>
        </w:rPr>
        <w:t>Item 10.</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Agreement Regarding Joint Filing of Statement on Schedule 13D or 13G.</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11.</w:t>
      </w:r>
      <w:r>
        <w:rPr>
          <w:sz w:val="20"/>
          <w:szCs w:val="20"/>
          <w:color w:val="auto"/>
        </w:rPr>
        <w:tab/>
      </w:r>
      <w:r>
        <w:rPr>
          <w:rFonts w:ascii="Arial" w:cs="Arial" w:eastAsia="Arial" w:hAnsi="Arial"/>
          <w:sz w:val="18"/>
          <w:szCs w:val="18"/>
          <w:b w:val="1"/>
          <w:bCs w:val="1"/>
          <w:color w:val="auto"/>
        </w:rPr>
        <w:t>Certification of the General Partner, Mr. Plexico and Mr. Lynch</w:t>
      </w:r>
    </w:p>
    <w:p>
      <w:pPr>
        <w:spacing w:after="0" w:line="235" w:lineRule="exact"/>
        <w:rPr>
          <w:sz w:val="20"/>
          <w:szCs w:val="20"/>
          <w:color w:val="auto"/>
        </w:rPr>
      </w:pPr>
    </w:p>
    <w:p>
      <w:pPr>
        <w:ind w:left="660" w:right="460"/>
        <w:spacing w:after="0" w:line="244"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040"/>
          </w:cols>
          <w:pgMar w:left="320" w:top="233" w:right="539" w:bottom="0" w:gutter="0" w:footer="0" w:header="0"/>
          <w:type w:val="continuous"/>
        </w:sectPr>
      </w:pPr>
    </w:p>
    <w:bookmarkStart w:id="7" w:name="page8"/>
    <w:bookmarkEnd w:id="7"/>
    <w:p>
      <w:pPr>
        <w:ind w:left="640"/>
        <w:spacing w:after="0"/>
        <w:rPr>
          <w:sz w:val="20"/>
          <w:szCs w:val="20"/>
          <w:color w:val="auto"/>
        </w:rPr>
      </w:pPr>
      <w:r>
        <w:rPr>
          <w:rFonts w:ascii="Arial" w:cs="Arial" w:eastAsia="Arial" w:hAnsi="Arial"/>
          <w:sz w:val="20"/>
          <w:szCs w:val="20"/>
          <w:b w:val="1"/>
          <w:bCs w:val="1"/>
          <w:color w:val="auto"/>
        </w:rPr>
        <w:t>Certification of the Partnership</w:t>
      </w:r>
    </w:p>
    <w:p>
      <w:pPr>
        <w:spacing w:after="0" w:line="221" w:lineRule="exact"/>
        <w:rPr>
          <w:sz w:val="20"/>
          <w:szCs w:val="20"/>
          <w:color w:val="auto"/>
        </w:rPr>
      </w:pPr>
    </w:p>
    <w:p>
      <w:pPr>
        <w:spacing w:after="0" w:line="263"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840"/>
          </w:cols>
          <w:pgMar w:left="980" w:top="118" w:right="107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CUSIP No. 30068X103</w:t>
      </w: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SIGNATURE</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Dated: February 11, 2022</w:t>
      </w:r>
    </w:p>
    <w:p>
      <w:pPr>
        <w:spacing w:after="0" w:line="223"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STONEPINE CAPITAL MANAGEMENT, LLC</w:t>
      </w:r>
    </w:p>
    <w:p>
      <w:pPr>
        <w:spacing w:after="0" w:line="200" w:lineRule="exact"/>
        <w:rPr>
          <w:sz w:val="20"/>
          <w:szCs w:val="20"/>
          <w:color w:val="auto"/>
        </w:rPr>
      </w:pPr>
    </w:p>
    <w:p>
      <w:pPr>
        <w:spacing w:after="0" w:line="265"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i w:val="1"/>
          <w:iCs w:val="1"/>
          <w:u w:val="single" w:color="auto"/>
          <w:color w:val="auto"/>
        </w:rPr>
        <w:t>_/s/ Timothy P. Lynch _</w:t>
      </w:r>
    </w:p>
    <w:p>
      <w:pPr>
        <w:spacing w:after="0" w:line="15"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Timothy P. Lynch</w:t>
      </w:r>
    </w:p>
    <w:p>
      <w:pPr>
        <w:ind w:left="5400"/>
        <w:spacing w:after="0"/>
        <w:rPr>
          <w:sz w:val="20"/>
          <w:szCs w:val="20"/>
          <w:color w:val="auto"/>
        </w:rPr>
      </w:pPr>
      <w:r>
        <w:rPr>
          <w:rFonts w:ascii="Arial" w:cs="Arial" w:eastAsia="Arial" w:hAnsi="Arial"/>
          <w:sz w:val="20"/>
          <w:szCs w:val="20"/>
          <w:color w:val="auto"/>
        </w:rPr>
        <w:t>Managing Member</w:t>
      </w:r>
    </w:p>
    <w:p>
      <w:pPr>
        <w:spacing w:after="0" w:line="207"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STONEPINE CAPITAL, L.P.</w:t>
      </w:r>
    </w:p>
    <w:p>
      <w:pPr>
        <w:spacing w:after="0" w:line="235"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By: Stonepine Capital Management, LLC,</w:t>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General Partner</w:t>
      </w:r>
    </w:p>
    <w:p>
      <w:pPr>
        <w:spacing w:after="0" w:line="213"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i w:val="1"/>
          <w:iCs w:val="1"/>
          <w:u w:val="single" w:color="auto"/>
          <w:color w:val="auto"/>
        </w:rPr>
        <w:t>_/s/ Timothy P. Lynch _</w:t>
      </w:r>
    </w:p>
    <w:p>
      <w:pPr>
        <w:spacing w:after="0" w:line="15"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Timothy P. Lynch</w:t>
      </w:r>
    </w:p>
    <w:p>
      <w:pPr>
        <w:ind w:left="5400"/>
        <w:spacing w:after="0"/>
        <w:rPr>
          <w:sz w:val="20"/>
          <w:szCs w:val="20"/>
          <w:color w:val="auto"/>
        </w:rPr>
      </w:pPr>
      <w:r>
        <w:rPr>
          <w:rFonts w:ascii="Arial" w:cs="Arial" w:eastAsia="Arial" w:hAnsi="Arial"/>
          <w:sz w:val="20"/>
          <w:szCs w:val="20"/>
          <w:color w:val="auto"/>
        </w:rPr>
        <w:t>Managing Member</w:t>
      </w:r>
    </w:p>
    <w:p>
      <w:pPr>
        <w:spacing w:after="0" w:line="200" w:lineRule="exact"/>
        <w:rPr>
          <w:sz w:val="20"/>
          <w:szCs w:val="20"/>
          <w:color w:val="auto"/>
        </w:rPr>
      </w:pPr>
    </w:p>
    <w:p>
      <w:pPr>
        <w:spacing w:after="0" w:line="243" w:lineRule="exact"/>
        <w:rPr>
          <w:sz w:val="20"/>
          <w:szCs w:val="20"/>
          <w:color w:val="auto"/>
        </w:rPr>
      </w:pPr>
    </w:p>
    <w:p>
      <w:pPr>
        <w:ind w:left="5400"/>
        <w:spacing w:after="0"/>
        <w:rPr>
          <w:sz w:val="20"/>
          <w:szCs w:val="20"/>
          <w:color w:val="auto"/>
        </w:rPr>
      </w:pPr>
      <w:r>
        <w:rPr>
          <w:rFonts w:ascii="Arial" w:cs="Arial" w:eastAsia="Arial" w:hAnsi="Arial"/>
          <w:sz w:val="20"/>
          <w:szCs w:val="20"/>
          <w:i w:val="1"/>
          <w:iCs w:val="1"/>
          <w:u w:val="single" w:color="auto"/>
          <w:color w:val="auto"/>
        </w:rPr>
        <w:t>_/s/ Jon M. Plexico</w:t>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Jon M. Plexico</w:t>
      </w:r>
    </w:p>
    <w:p>
      <w:pPr>
        <w:spacing w:after="0" w:line="200" w:lineRule="exact"/>
        <w:rPr>
          <w:sz w:val="20"/>
          <w:szCs w:val="20"/>
          <w:color w:val="auto"/>
        </w:rPr>
      </w:pPr>
    </w:p>
    <w:p>
      <w:pPr>
        <w:spacing w:after="0" w:line="243" w:lineRule="exact"/>
        <w:rPr>
          <w:sz w:val="20"/>
          <w:szCs w:val="20"/>
          <w:color w:val="auto"/>
        </w:rPr>
      </w:pPr>
    </w:p>
    <w:p>
      <w:pPr>
        <w:ind w:left="5400"/>
        <w:spacing w:after="0"/>
        <w:rPr>
          <w:sz w:val="20"/>
          <w:szCs w:val="20"/>
          <w:color w:val="auto"/>
        </w:rPr>
      </w:pPr>
      <w:r>
        <w:rPr>
          <w:rFonts w:ascii="Arial" w:cs="Arial" w:eastAsia="Arial" w:hAnsi="Arial"/>
          <w:sz w:val="20"/>
          <w:szCs w:val="20"/>
          <w:i w:val="1"/>
          <w:iCs w:val="1"/>
          <w:u w:val="single" w:color="auto"/>
          <w:color w:val="auto"/>
        </w:rPr>
        <w:t>_/s/ Timothy P. Lynch _</w:t>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Timothy P. Lynch</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320" w:top="233" w:right="39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CUSIP No. 30068X103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EXHIBIT A</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AGREEMENT REGARDING JOINT FILING</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OF STATEMENT ON SCHEDULE 13D OR 13G</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undersigned agree to file jointly with the Securities and Exchange Commission (the “SEC”) any and all statements on Schedule 13D or Schedule 13G or Forms 3, 4 or 5(and any amendments or supplements thereto) required under section 13(d) and 16(a) of the Securities Exchange Act of 1934, as amended, in connection with purchases by the undersigned of the securities of any issuer. For that purpose, the undersigned hereby constitute and appoint Stonepine Capital Management, LLC, a California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Dated: May 15, 2017</w:t>
      </w:r>
    </w:p>
    <w:p>
      <w:pPr>
        <w:spacing w:after="0" w:line="223"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STONEPINE CAPITAL MANAGEMENT, LLC</w:t>
      </w:r>
    </w:p>
    <w:p>
      <w:pPr>
        <w:spacing w:after="0" w:line="200" w:lineRule="exact"/>
        <w:rPr>
          <w:sz w:val="20"/>
          <w:szCs w:val="20"/>
          <w:color w:val="auto"/>
        </w:rPr>
      </w:pPr>
    </w:p>
    <w:p>
      <w:pPr>
        <w:spacing w:after="0" w:line="265"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By: /s/ Timothy P. Lynch</w:t>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Managing Member</w:t>
      </w:r>
    </w:p>
    <w:p>
      <w:pPr>
        <w:spacing w:after="0" w:line="207" w:lineRule="exact"/>
        <w:rPr>
          <w:sz w:val="20"/>
          <w:szCs w:val="20"/>
          <w:color w:val="auto"/>
        </w:rPr>
      </w:pPr>
    </w:p>
    <w:p>
      <w:pPr>
        <w:ind w:left="5400"/>
        <w:spacing w:after="0"/>
        <w:rPr>
          <w:sz w:val="20"/>
          <w:szCs w:val="20"/>
          <w:color w:val="auto"/>
        </w:rPr>
      </w:pPr>
      <w:r>
        <w:rPr>
          <w:rFonts w:ascii="Arial" w:cs="Arial" w:eastAsia="Arial" w:hAnsi="Arial"/>
          <w:sz w:val="20"/>
          <w:szCs w:val="20"/>
          <w:b w:val="1"/>
          <w:bCs w:val="1"/>
          <w:color w:val="auto"/>
        </w:rPr>
        <w:t>STONEPINE CAPITAL, L.P.</w:t>
      </w:r>
    </w:p>
    <w:p>
      <w:pPr>
        <w:spacing w:after="0" w:line="235"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By: Stonepine Capital Management, LLC,</w:t>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General Partner</w:t>
      </w:r>
    </w:p>
    <w:p>
      <w:pPr>
        <w:spacing w:after="0" w:line="213"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By: /s/ Timothy P. Lynch</w:t>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Managing Member</w:t>
      </w:r>
    </w:p>
    <w:p>
      <w:pPr>
        <w:spacing w:after="0" w:line="200" w:lineRule="exact"/>
        <w:rPr>
          <w:sz w:val="20"/>
          <w:szCs w:val="20"/>
          <w:color w:val="auto"/>
        </w:rPr>
      </w:pPr>
    </w:p>
    <w:p>
      <w:pPr>
        <w:spacing w:after="0" w:line="243"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/s/ Jon M. Plexico</w:t>
      </w:r>
    </w:p>
    <w:p>
      <w:pPr>
        <w:spacing w:after="0" w:line="200" w:lineRule="exact"/>
        <w:rPr>
          <w:sz w:val="20"/>
          <w:szCs w:val="20"/>
          <w:color w:val="auto"/>
        </w:rPr>
      </w:pPr>
    </w:p>
    <w:p>
      <w:pPr>
        <w:spacing w:after="0" w:line="259" w:lineRule="exact"/>
        <w:rPr>
          <w:sz w:val="20"/>
          <w:szCs w:val="20"/>
          <w:color w:val="auto"/>
        </w:rPr>
      </w:pPr>
    </w:p>
    <w:p>
      <w:pPr>
        <w:ind w:left="5400"/>
        <w:spacing w:after="0"/>
        <w:rPr>
          <w:sz w:val="20"/>
          <w:szCs w:val="20"/>
          <w:color w:val="auto"/>
        </w:rPr>
      </w:pPr>
      <w:r>
        <w:rPr>
          <w:rFonts w:ascii="Arial" w:cs="Arial" w:eastAsia="Arial" w:hAnsi="Arial"/>
          <w:sz w:val="20"/>
          <w:szCs w:val="20"/>
          <w:color w:val="auto"/>
        </w:rPr>
        <w:t>/s/ Timothy P. Lynch</w:t>
      </w:r>
    </w:p>
    <w:sectPr>
      <w:pgSz w:w="11900" w:h="16838" w:orient="portrait"/>
      <w:cols w:equalWidth="0" w:num="1">
        <w:col w:w="11240"/>
      </w:cols>
      <w:pgMar w:left="320" w:top="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abstractNum>
  <w:abstractNum w:abstractNumId="2">
    <w:nsid w:val="41B71EFB"/>
    <w:multiLevelType w:val="hybridMultilevel"/>
    <w:lvl w:ilvl="0">
      <w:lvlJc w:val="left"/>
      <w:lvlText w:val="%1."/>
      <w:numFmt w:val="decimal"/>
      <w:start w:val="9"/>
    </w:lvl>
  </w:abstractNum>
  <w:abstractNum w:abstractNumId="3">
    <w:nsid w:val="79E2A9E3"/>
    <w:multiLevelType w:val="hybridMultilevel"/>
    <w:lvl w:ilvl="0">
      <w:lvlJc w:val="left"/>
      <w:lvlText w:val="%1."/>
      <w:numFmt w:val="decimal"/>
      <w:start w:val="1"/>
    </w:lvl>
    <w:lvl w:ilvl="1">
      <w:lvlJc w:val="left"/>
      <w:lvlText w:val="(%2)"/>
      <w:numFmt w:val="lowerLetter"/>
      <w:start w:val="1"/>
    </w:lvl>
  </w:abstractNum>
  <w:abstractNum w:abstractNumId="4">
    <w:nsid w:val="7545E146"/>
    <w:multiLevelType w:val="hybridMultilevel"/>
    <w:lvl w:ilvl="0">
      <w:lvlJc w:val="left"/>
      <w:lvlText w:val="%1."/>
      <w:numFmt w:val="decimal"/>
      <w:start w:val="9"/>
    </w:lvl>
  </w:abstractNum>
  <w:abstractNum w:abstractNumId="5">
    <w:nsid w:val="515F007C"/>
    <w:multiLevelType w:val="hybridMultilevel"/>
    <w:lvl w:ilvl="0">
      <w:lvlJc w:val="left"/>
      <w:lvlText w:val="%1."/>
      <w:numFmt w:val="decimal"/>
      <w:start w:val="1"/>
    </w:lvl>
    <w:lvl w:ilvl="1">
      <w:lvlJc w:val="left"/>
      <w:lvlText w:val="(%2)"/>
      <w:numFmt w:val="lowerLetter"/>
      <w:start w:val="1"/>
    </w:lvl>
  </w:abstractNum>
  <w:abstractNum w:abstractNumId="6">
    <w:nsid w:val="5BD062C2"/>
    <w:multiLevelType w:val="hybridMultilevel"/>
    <w:lvl w:ilvl="0">
      <w:lvlJc w:val="left"/>
      <w:lvlText w:val="%1."/>
      <w:numFmt w:val="decimal"/>
      <w:start w:val="9"/>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9"/>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2022-02-14T05:31:20Z</dcterms:created>
  <dcterms:modified xsi:type="dcterms:W3CDTF">2022-02-14T05:31:20Z</dcterms:modified>
</cp:coreProperties>
</file>