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25400</wp:posOffset>
            </wp:positionV>
            <wp:extent cx="2888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8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4)*</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13G/A is filed:</w:t>
      </w:r>
    </w:p>
    <w:p>
      <w:pPr>
        <w:spacing w:after="0" w:line="229" w:lineRule="exact"/>
        <w:rPr>
          <w:sz w:val="24"/>
          <w:szCs w:val="24"/>
          <w:color w:val="auto"/>
        </w:rPr>
      </w:pPr>
    </w:p>
    <w:p>
      <w:pPr>
        <w:jc w:val="both"/>
        <w:ind w:left="640" w:right="8840"/>
        <w:spacing w:after="0" w:line="258" w:lineRule="exact"/>
        <w:tabs>
          <w:tab w:leader="none" w:pos="101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13d-1(d)</w:t>
      </w:r>
    </w:p>
    <w:p>
      <w:pPr>
        <w:spacing w:after="0" w:line="15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4"/>
          <w:szCs w:val="24"/>
          <w:color w:val="auto"/>
        </w:rPr>
      </w:pPr>
    </w:p>
    <w:p>
      <w:pPr>
        <w:jc w:val="both"/>
        <w:ind w:right="80" w:firstLine="661"/>
        <w:spacing w:after="0" w:line="242" w:lineRule="auto"/>
        <w:tabs>
          <w:tab w:leader="none" w:pos="802"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jc w:val="both"/>
        <w:ind w:firstLine="653"/>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450" w:right="61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30068X103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2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NAMES OF REPORTING PERSONS</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RTW Investments, LP</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3"/>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1,504,602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1,504,602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1,504,602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8.8%</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PN, IA</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3" w:hanging="263"/>
        <w:spacing w:after="0" w:line="282" w:lineRule="exact"/>
        <w:tabs>
          <w:tab w:leader="none" w:pos="263" w:val="left"/>
        </w:tabs>
        <w:numPr>
          <w:ilvl w:val="0"/>
          <w:numId w:val="5"/>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468"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30068X103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2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NAMES OF REPORTING PERSONS</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Roderick Wong, M.D.</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6"/>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7"/>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1,504,602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1,504,602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1,504,602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8.8%</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IN, HC</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63" w:hanging="263"/>
        <w:spacing w:after="0" w:line="282" w:lineRule="exact"/>
        <w:tabs>
          <w:tab w:leader="none" w:pos="263" w:val="left"/>
        </w:tabs>
        <w:numPr>
          <w:ilvl w:val="0"/>
          <w:numId w:val="8"/>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468"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30068X103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7 Pages</w:t>
      </w:r>
    </w:p>
    <w:p>
      <w:pPr>
        <w:sectPr>
          <w:pgSz w:w="11900" w:h="16838" w:orient="portrait"/>
          <w:cols w:equalWidth="0" w:num="1">
            <w:col w:w="11240"/>
          </w:cols>
          <w:pgMar w:left="320" w:top="468" w:right="339" w:bottom="1440" w:gutter="0" w:footer="0" w:header="0"/>
        </w:sectPr>
      </w:pP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2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NAME OF ISSUER.</w:t>
            </w:r>
          </w:p>
        </w:tc>
      </w:tr>
      <w:tr>
        <w:trPr>
          <w:trHeight w:val="413"/>
        </w:trPr>
        <w:tc>
          <w:tcPr>
            <w:tcW w:w="1260" w:type="dxa"/>
            <w:vAlign w:val="bottom"/>
          </w:tcPr>
          <w:p>
            <w:pPr>
              <w:spacing w:after="0"/>
              <w:rPr>
                <w:sz w:val="24"/>
                <w:szCs w:val="24"/>
                <w:color w:val="auto"/>
              </w:rPr>
            </w:pPr>
          </w:p>
        </w:tc>
        <w:tc>
          <w:tcPr>
            <w:tcW w:w="972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The name of the issuer is Exagen Inc. (the "Company").</w:t>
            </w:r>
          </w:p>
        </w:tc>
      </w:tr>
      <w:tr>
        <w:trPr>
          <w:trHeight w:val="20"/>
        </w:trPr>
        <w:tc>
          <w:tcPr>
            <w:tcW w:w="1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7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2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459"/>
        </w:trPr>
        <w:tc>
          <w:tcPr>
            <w:tcW w:w="1260" w:type="dxa"/>
            <w:vAlign w:val="bottom"/>
          </w:tcPr>
          <w:p>
            <w:pPr>
              <w:spacing w:after="0"/>
              <w:rPr>
                <w:sz w:val="24"/>
                <w:szCs w:val="24"/>
                <w:color w:val="auto"/>
              </w:rPr>
            </w:pPr>
          </w:p>
        </w:tc>
        <w:tc>
          <w:tcPr>
            <w:tcW w:w="972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1261 Liberty Way, Vista, California 92081.</w:t>
            </w:r>
          </w:p>
        </w:tc>
      </w:tr>
      <w:tr>
        <w:trPr>
          <w:trHeight w:val="6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2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72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862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w w:val="98"/>
              </w:rPr>
              <w:t>RTW Investments, LP ("RTW Investments"), a Delaware limited partnership, and the investment adviser to</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20" w:type="dxa"/>
            <w:vAlign w:val="bottom"/>
            <w:gridSpan w:val="10"/>
          </w:tcPr>
          <w:p>
            <w:pPr>
              <w:ind w:left="120"/>
              <w:spacing w:after="0" w:line="209" w:lineRule="exact"/>
              <w:rPr>
                <w:sz w:val="20"/>
                <w:szCs w:val="20"/>
                <w:color w:val="auto"/>
              </w:rPr>
            </w:pPr>
            <w:r>
              <w:rPr>
                <w:rFonts w:ascii="Times New Roman" w:cs="Times New Roman" w:eastAsia="Times New Roman" w:hAnsi="Times New Roman"/>
                <w:sz w:val="20"/>
                <w:szCs w:val="20"/>
                <w:color w:val="auto"/>
              </w:rPr>
              <w:t>certain funds (the "RTW Funds"), with respect to the Shares (as defined in Item 2(d) below) directly held</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2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by the RTW Funds; and</w:t>
            </w:r>
          </w:p>
        </w:tc>
      </w:tr>
      <w:tr>
        <w:trPr>
          <w:trHeight w:val="399"/>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w:t>
            </w:r>
          </w:p>
        </w:tc>
        <w:tc>
          <w:tcPr>
            <w:tcW w:w="862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Roderick Wong, M.D. ("Dr. Wong"), the Managing Partner and Chief Investment Officer of RTW</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6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2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Investments, with respect to the Shares directly held by the RTW Funds.</w:t>
            </w:r>
          </w:p>
        </w:tc>
      </w:tr>
      <w:tr>
        <w:trPr>
          <w:trHeight w:val="413"/>
        </w:trPr>
        <w:tc>
          <w:tcPr>
            <w:tcW w:w="1260" w:type="dxa"/>
            <w:vAlign w:val="bottom"/>
          </w:tcPr>
          <w:p>
            <w:pPr>
              <w:spacing w:after="0"/>
              <w:rPr>
                <w:sz w:val="24"/>
                <w:szCs w:val="24"/>
                <w:color w:val="auto"/>
              </w:rPr>
            </w:pPr>
          </w:p>
        </w:tc>
        <w:tc>
          <w:tcPr>
            <w:tcW w:w="972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57"/>
        </w:trPr>
        <w:tc>
          <w:tcPr>
            <w:tcW w:w="1260" w:type="dxa"/>
            <w:vAlign w:val="bottom"/>
          </w:tcPr>
          <w:p>
            <w:pPr>
              <w:spacing w:after="0"/>
              <w:rPr>
                <w:sz w:val="24"/>
                <w:szCs w:val="24"/>
                <w:color w:val="auto"/>
              </w:rPr>
            </w:pPr>
          </w:p>
        </w:tc>
        <w:tc>
          <w:tcPr>
            <w:tcW w:w="972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The filing of this statement should not be construed as an admission that any of the foregoing persons or any</w:t>
            </w:r>
          </w:p>
        </w:tc>
      </w:tr>
      <w:tr>
        <w:trPr>
          <w:trHeight w:val="258"/>
        </w:trPr>
        <w:tc>
          <w:tcPr>
            <w:tcW w:w="1260" w:type="dxa"/>
            <w:vAlign w:val="bottom"/>
          </w:tcPr>
          <w:p>
            <w:pPr>
              <w:spacing w:after="0"/>
              <w:rPr>
                <w:sz w:val="22"/>
                <w:szCs w:val="22"/>
                <w:color w:val="auto"/>
              </w:rPr>
            </w:pPr>
          </w:p>
        </w:tc>
        <w:tc>
          <w:tcPr>
            <w:tcW w:w="972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Reporting Person is, for the purposes of Section 13 of the Act, the beneficial owner of the Shares reported herein.</w:t>
            </w:r>
          </w:p>
        </w:tc>
      </w:tr>
      <w:tr>
        <w:trPr>
          <w:trHeight w:val="44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2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484"/>
        </w:trPr>
        <w:tc>
          <w:tcPr>
            <w:tcW w:w="1260" w:type="dxa"/>
            <w:vAlign w:val="bottom"/>
          </w:tcPr>
          <w:p>
            <w:pPr>
              <w:spacing w:after="0"/>
              <w:rPr>
                <w:sz w:val="24"/>
                <w:szCs w:val="24"/>
                <w:color w:val="auto"/>
              </w:rPr>
            </w:pPr>
          </w:p>
        </w:tc>
        <w:tc>
          <w:tcPr>
            <w:tcW w:w="972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w w:val="97"/>
              </w:rPr>
              <w:t>The address of the business office of each of the Reporting Persons is 40 10</w:t>
            </w:r>
            <w:r>
              <w:rPr>
                <w:rFonts w:ascii="Times New Roman" w:cs="Times New Roman" w:eastAsia="Times New Roman" w:hAnsi="Times New Roman"/>
                <w:sz w:val="32"/>
                <w:szCs w:val="32"/>
                <w:color w:val="auto"/>
                <w:w w:val="97"/>
                <w:vertAlign w:val="superscript"/>
              </w:rPr>
              <w:t>th</w:t>
            </w:r>
            <w:r>
              <w:rPr>
                <w:rFonts w:ascii="Times New Roman" w:cs="Times New Roman" w:eastAsia="Times New Roman" w:hAnsi="Times New Roman"/>
                <w:sz w:val="20"/>
                <w:szCs w:val="20"/>
                <w:color w:val="auto"/>
                <w:w w:val="97"/>
              </w:rPr>
              <w:t xml:space="preserve"> Avenue, Floor 7, New York, New York</w:t>
            </w:r>
          </w:p>
        </w:tc>
      </w:tr>
      <w:tr>
        <w:trPr>
          <w:trHeight w:val="258"/>
        </w:trPr>
        <w:tc>
          <w:tcPr>
            <w:tcW w:w="1260" w:type="dxa"/>
            <w:vAlign w:val="bottom"/>
          </w:tcPr>
          <w:p>
            <w:pPr>
              <w:spacing w:after="0"/>
              <w:rPr>
                <w:sz w:val="22"/>
                <w:szCs w:val="22"/>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10014.</w:t>
            </w:r>
          </w:p>
        </w:tc>
        <w:tc>
          <w:tcPr>
            <w:tcW w:w="1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2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20" w:type="dxa"/>
            <w:vAlign w:val="bottom"/>
            <w:gridSpan w:val="11"/>
          </w:tcPr>
          <w:p>
            <w:pPr>
              <w:ind w:left="560"/>
              <w:spacing w:after="0"/>
              <w:rPr>
                <w:sz w:val="20"/>
                <w:szCs w:val="20"/>
                <w:color w:val="auto"/>
              </w:rPr>
            </w:pPr>
            <w:r>
              <w:rPr>
                <w:rFonts w:ascii="Times New Roman" w:cs="Times New Roman" w:eastAsia="Times New Roman" w:hAnsi="Times New Roman"/>
                <w:sz w:val="20"/>
                <w:szCs w:val="20"/>
                <w:color w:val="auto"/>
              </w:rPr>
              <w:t>RTW Investments is a Delaware limited partnership. Dr. Wong is a citizen of the United States.</w:t>
            </w:r>
          </w:p>
        </w:tc>
      </w:tr>
      <w:tr>
        <w:trPr>
          <w:trHeight w:val="68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2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60" w:type="dxa"/>
            <w:vAlign w:val="bottom"/>
          </w:tcPr>
          <w:p>
            <w:pPr>
              <w:spacing w:after="0"/>
              <w:rPr>
                <w:sz w:val="24"/>
                <w:szCs w:val="24"/>
                <w:color w:val="auto"/>
              </w:rPr>
            </w:pPr>
          </w:p>
        </w:tc>
        <w:tc>
          <w:tcPr>
            <w:tcW w:w="972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Common Stock, par value $0.001 per share (the "Shares").</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ectPr>
          <w:pgSz w:w="11900" w:h="16838" w:orient="portrait"/>
          <w:cols w:equalWidth="0" w:num="1">
            <w:col w:w="11240"/>
          </w:cols>
          <w:pgMar w:left="320" w:top="468"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30068X103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2(e).</w:t>
      </w:r>
      <w:r>
        <w:rPr>
          <w:sz w:val="20"/>
          <w:szCs w:val="20"/>
          <w:color w:val="auto"/>
        </w:rPr>
        <w:tab/>
      </w:r>
      <w:r>
        <w:rPr>
          <w:rFonts w:ascii="Times New Roman" w:cs="Times New Roman" w:eastAsia="Times New Roman" w:hAnsi="Times New Roman"/>
          <w:sz w:val="19"/>
          <w:szCs w:val="19"/>
          <w:b w:val="1"/>
          <w:bCs w:val="1"/>
          <w:color w:val="auto"/>
        </w:rPr>
        <w:t>CUSIP NUMBER:</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30068X103</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 240.13d-1(b) OR 240.13d-2(b) OR (c), CHECK</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WHETHER THE PERSON FILING IS A:</w:t>
      </w:r>
    </w:p>
    <w:p>
      <w:pPr>
        <w:spacing w:after="0" w:line="175" w:lineRule="exact"/>
        <w:rPr>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3040" w:right="280" w:hanging="1247"/>
        <w:spacing w:after="0" w:line="260" w:lineRule="exact"/>
        <w:tabs>
          <w:tab w:leader="none" w:pos="2572"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spacing w:after="0" w:line="15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adviser in accordance with Rule 13d-1(b)(1)(ii)(E);</w:t>
      </w:r>
    </w:p>
    <w:p>
      <w:pPr>
        <w:spacing w:after="0" w:line="22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Employee benefit plan or endowment fund in accordance with</w:t>
      </w:r>
    </w:p>
    <w:p>
      <w:pPr>
        <w:spacing w:after="0" w:line="5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color w:val="auto"/>
        </w:rPr>
        <w:t>Rule 13d-1(b)(1)(ii)(F);</w:t>
      </w:r>
    </w:p>
    <w:p>
      <w:pPr>
        <w:spacing w:after="0" w:line="175" w:lineRule="exact"/>
        <w:rPr>
          <w:sz w:val="20"/>
          <w:szCs w:val="20"/>
          <w:color w:val="auto"/>
        </w:rPr>
      </w:pPr>
    </w:p>
    <w:p>
      <w:pPr>
        <w:ind w:left="3080" w:right="3280" w:hanging="1287"/>
        <w:spacing w:after="0" w:line="260" w:lineRule="exact"/>
        <w:tabs>
          <w:tab w:leader="none" w:pos="2569"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Parent holding company or control person in accordance with Rule 13d-1(b)(1)(ii)(G);</w:t>
      </w:r>
    </w:p>
    <w:p>
      <w:pPr>
        <w:spacing w:after="0" w:line="15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Savings association as defined in Section 3(b) of the Federal Deposit Insurance Act (12 U.S.C. 1813);</w:t>
      </w:r>
    </w:p>
    <w:p>
      <w:pPr>
        <w:spacing w:after="0" w:line="229" w:lineRule="exact"/>
        <w:rPr>
          <w:rFonts w:ascii="Times New Roman" w:cs="Times New Roman" w:eastAsia="Times New Roman" w:hAnsi="Times New Roman"/>
          <w:sz w:val="20"/>
          <w:szCs w:val="20"/>
          <w:color w:val="auto"/>
        </w:rPr>
      </w:pPr>
    </w:p>
    <w:p>
      <w:pPr>
        <w:ind w:left="3040" w:right="200" w:hanging="1247"/>
        <w:spacing w:after="0" w:line="260" w:lineRule="exact"/>
        <w:tabs>
          <w:tab w:leader="none" w:pos="2572"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Church plan that is excluded from the definition of an investment company under Section 3(c)(14) of the Investment Company Act (15 U.S.C. 80a-3);</w:t>
      </w:r>
    </w:p>
    <w:p>
      <w:pPr>
        <w:spacing w:after="0" w:line="16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00" w:lineRule="exact"/>
        <w:rPr>
          <w:sz w:val="20"/>
          <w:szCs w:val="20"/>
          <w:color w:val="auto"/>
        </w:rPr>
      </w:pPr>
    </w:p>
    <w:p>
      <w:pPr>
        <w:spacing w:after="0" w:line="277" w:lineRule="exact"/>
        <w:rPr>
          <w:sz w:val="20"/>
          <w:szCs w:val="20"/>
          <w:color w:val="auto"/>
        </w:rPr>
      </w:pPr>
    </w:p>
    <w:p>
      <w:pPr>
        <w:ind w:left="1800" w:right="2680"/>
        <w:spacing w:after="0" w:line="295" w:lineRule="auto"/>
        <w:rPr>
          <w:sz w:val="20"/>
          <w:szCs w:val="20"/>
          <w:color w:val="auto"/>
        </w:rPr>
      </w:pPr>
      <w:r>
        <w:rPr>
          <w:rFonts w:ascii="Times New Roman" w:cs="Times New Roman" w:eastAsia="Times New Roman" w:hAnsi="Times New Roman"/>
          <w:sz w:val="19"/>
          <w:szCs w:val="19"/>
          <w:color w:val="auto"/>
        </w:rPr>
        <w:t>If filing as a non-U.S. institution in accordance with Rule 13d-1(b)(1)(ii)(J), please specify the type of institution: ____________________________________________</w:t>
      </w:r>
    </w:p>
    <w:p>
      <w:pPr>
        <w:spacing w:after="0" w:line="147" w:lineRule="exact"/>
        <w:rPr>
          <w:sz w:val="20"/>
          <w:szCs w:val="20"/>
          <w:color w:val="auto"/>
        </w:rPr>
      </w:pPr>
    </w:p>
    <w:p>
      <w:pPr>
        <w:ind w:left="100"/>
        <w:spacing w:after="0"/>
        <w:tabs>
          <w:tab w:leader="none" w:pos="166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700" w:right="52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of the Reporting Persons and is incorporated herein by reference.</w:t>
      </w:r>
    </w:p>
    <w:p>
      <w:pPr>
        <w:spacing w:after="0" w:line="173" w:lineRule="exact"/>
        <w:rPr>
          <w:sz w:val="20"/>
          <w:szCs w:val="20"/>
          <w:color w:val="auto"/>
        </w:rPr>
      </w:pPr>
    </w:p>
    <w:p>
      <w:pPr>
        <w:ind w:left="1700" w:right="120"/>
        <w:spacing w:after="0" w:line="254" w:lineRule="auto"/>
        <w:rPr>
          <w:sz w:val="20"/>
          <w:szCs w:val="20"/>
          <w:color w:val="auto"/>
        </w:rPr>
      </w:pPr>
      <w:r>
        <w:rPr>
          <w:rFonts w:ascii="Times New Roman" w:cs="Times New Roman" w:eastAsia="Times New Roman" w:hAnsi="Times New Roman"/>
          <w:sz w:val="20"/>
          <w:szCs w:val="20"/>
          <w:color w:val="auto"/>
        </w:rPr>
        <w:t>The percentages set forth herein are calculated based upon 17,045,827 Shares outstanding as of November 10, 2023, as reported in the Company's Quarterly Report on Form 10-Q for the quarterly period ended September 30, 2023, filed with the Securities and Exchange Commission on November 13, 2023.</w:t>
      </w:r>
    </w:p>
    <w:p>
      <w:pPr>
        <w:sectPr>
          <w:pgSz w:w="11900" w:h="16838" w:orient="portrait"/>
          <w:cols w:equalWidth="0" w:num="1">
            <w:col w:w="11240"/>
          </w:cols>
          <w:pgMar w:left="320" w:top="468"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30068X103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left="1800" w:right="300"/>
        <w:spacing w:after="0" w:line="274" w:lineRule="auto"/>
        <w:rPr>
          <w:sz w:val="20"/>
          <w:szCs w:val="20"/>
          <w:color w:val="auto"/>
        </w:rPr>
      </w:pPr>
      <w:r>
        <w:rPr>
          <w:rFonts w:ascii="Times New Roman" w:cs="Times New Roman" w:eastAsia="Times New Roman" w:hAnsi="Times New Roman"/>
          <w:sz w:val="19"/>
          <w:szCs w:val="19"/>
          <w:color w:val="auto"/>
        </w:rPr>
        <w:t>See Item 2. The RTW Funds have the right to receive or the power to direct the receipt of dividends from, or the proceeds from the sale of, the Shares reported herein. RTW Master Fund Ltd., a RTW Fund, has the right to receive or the power to direct the receipt of dividends or the proceeds from the sale of more than 5% of the Shares.</w:t>
      </w:r>
    </w:p>
    <w:p>
      <w:pPr>
        <w:spacing w:after="0" w:line="166" w:lineRule="exact"/>
        <w:rPr>
          <w:sz w:val="20"/>
          <w:szCs w:val="20"/>
          <w:color w:val="auto"/>
        </w:rPr>
      </w:pPr>
    </w:p>
    <w:p>
      <w:pPr>
        <w:ind w:left="100"/>
        <w:spacing w:after="0"/>
        <w:tabs>
          <w:tab w:leader="none" w:pos="1780" w:val="left"/>
          <w:tab w:leader="none" w:pos="3620" w:val="left"/>
          <w:tab w:leader="none" w:pos="4240" w:val="left"/>
          <w:tab w:leader="none" w:pos="6100" w:val="left"/>
          <w:tab w:leader="none" w:pos="6560" w:val="left"/>
          <w:tab w:leader="none" w:pos="7160" w:val="left"/>
          <w:tab w:leader="none" w:pos="8540" w:val="left"/>
          <w:tab w:leader="none" w:pos="9440" w:val="left"/>
          <w:tab w:leader="none" w:pos="107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w:t>
        <w:tab/>
        <w:t>AND</w:t>
        <w:tab/>
        <w:t>CLASSIFICATION</w:t>
        <w:tab/>
        <w:t>OF</w:t>
        <w:tab/>
        <w:t>THE</w:t>
        <w:tab/>
        <w:t>SUBSIDIARY</w:t>
        <w:tab/>
        <w:t>WHICH</w:t>
        <w:tab/>
        <w:t>ACQUIRED</w:t>
      </w:r>
      <w:r>
        <w:rPr>
          <w:sz w:val="20"/>
          <w:szCs w:val="20"/>
          <w:color w:val="auto"/>
        </w:rPr>
        <w:tab/>
      </w:r>
      <w:r>
        <w:rPr>
          <w:rFonts w:ascii="Times New Roman" w:cs="Times New Roman" w:eastAsia="Times New Roman" w:hAnsi="Times New Roman"/>
          <w:sz w:val="19"/>
          <w:szCs w:val="19"/>
          <w:b w:val="1"/>
          <w:bCs w:val="1"/>
          <w:color w:val="auto"/>
        </w:rPr>
        <w:t>THE</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SECURITY BEING REPORTED ON BY THE PARENT HOLDING COMPANY:</w:t>
      </w:r>
    </w:p>
    <w:p>
      <w:pPr>
        <w:spacing w:after="0" w:line="2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29" w:lineRule="exact"/>
        <w:rPr>
          <w:sz w:val="20"/>
          <w:szCs w:val="20"/>
          <w:color w:val="auto"/>
        </w:rPr>
      </w:pPr>
    </w:p>
    <w:p>
      <w:pPr>
        <w:ind w:left="1800" w:right="16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468"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30068X103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2024</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RTW INVESTMENTS, LP</w:t>
      </w:r>
    </w:p>
    <w:p>
      <w:pPr>
        <w:spacing w:after="0" w:line="200" w:lineRule="exact"/>
        <w:rPr>
          <w:sz w:val="20"/>
          <w:szCs w:val="20"/>
          <w:color w:val="auto"/>
        </w:rPr>
      </w:pPr>
    </w:p>
    <w:p>
      <w:pPr>
        <w:spacing w:after="0" w:line="26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Roderick Wong, M.D.</w:t>
            </w:r>
          </w:p>
        </w:tc>
        <w:tc>
          <w:tcPr>
            <w:tcW w:w="0" w:type="dxa"/>
            <w:vAlign w:val="bottom"/>
          </w:tcPr>
          <w:p>
            <w:pPr>
              <w:spacing w:after="0"/>
              <w:rPr>
                <w:sz w:val="1"/>
                <w:szCs w:val="1"/>
                <w:color w:val="auto"/>
              </w:rPr>
            </w:pPr>
          </w:p>
        </w:tc>
      </w:tr>
      <w:tr>
        <w:trPr>
          <w:trHeight w:val="23"/>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920" w:type="dxa"/>
            <w:vAlign w:val="bottom"/>
            <w:vMerge w:val="continue"/>
          </w:tcPr>
          <w:p>
            <w:pPr>
              <w:spacing w:after="0"/>
              <w:rPr>
                <w:sz w:val="17"/>
                <w:szCs w:val="17"/>
                <w:color w:val="auto"/>
              </w:rPr>
            </w:pPr>
          </w:p>
        </w:tc>
        <w:tc>
          <w:tcPr>
            <w:tcW w:w="494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Roderick Wong, M.D.</w:t>
            </w:r>
          </w:p>
        </w:tc>
        <w:tc>
          <w:tcPr>
            <w:tcW w:w="0" w:type="dxa"/>
            <w:vAlign w:val="bottom"/>
          </w:tcPr>
          <w:p>
            <w:pPr>
              <w:spacing w:after="0"/>
              <w:rPr>
                <w:sz w:val="1"/>
                <w:szCs w:val="1"/>
                <w:color w:val="auto"/>
              </w:rPr>
            </w:pPr>
          </w:p>
        </w:tc>
      </w:tr>
      <w:tr>
        <w:trPr>
          <w:trHeight w:val="25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Managing Partner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80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RODERICK WONG, M.D.</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2024-02-14T06:15:38Z</dcterms:created>
  <dcterms:modified xsi:type="dcterms:W3CDTF">2024-02-14T06:15:38Z</dcterms:modified>
</cp:coreProperties>
</file>