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83702d424b5.htm"/>
        <w:bookmarkStart w:id="1" w:name="ksd783702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424(b)(5) </w:t>
        <w:br/>
        <w:t xml:space="preserve">Registration No. 333-275632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November 29, 2023)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9255" cy="6235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9255" cy="62357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3,350,000 Shares of Common Stock </w:t>
      </w:r>
    </w:p>
    <w:p>
      <w:pPr>
        <w:pStyle w:val="TextBody"/>
        <w:bidi w:val="0"/>
        <w:spacing w:before="480" w:after="0"/>
        <w:jc w:val="left"/>
        <w:rPr>
          <w:rFonts w:ascii="Times New Roman" w:hAnsi="Times New Roman"/>
          <w:sz w:val="18"/>
        </w:rPr>
      </w:pPr>
      <w:r>
        <w:rPr>
          <w:rFonts w:ascii="Times New Roman" w:hAnsi="Times New Roman"/>
          <w:sz w:val="18"/>
        </w:rPr>
        <w:t xml:space="preserve">We are offering 3,350,000 shares of our common stock. </w:t>
      </w:r>
    </w:p>
    <w:p>
      <w:pPr>
        <w:pStyle w:val="TextBody"/>
        <w:bidi w:val="0"/>
        <w:spacing w:before="240" w:after="0"/>
        <w:jc w:val="left"/>
        <w:rPr>
          <w:rFonts w:ascii="Times New Roman" w:hAnsi="Times New Roman"/>
          <w:sz w:val="18"/>
        </w:rPr>
      </w:pPr>
      <w:r>
        <w:rPr>
          <w:rFonts w:ascii="Times New Roman" w:hAnsi="Times New Roman"/>
          <w:sz w:val="18"/>
        </w:rPr>
        <w:t xml:space="preserve">Our common stock is listed on The Nasdaq Global Market under the symbol XGN. On May 7, 2025, the last reported sale price of our common stock on The Nasdaq Global Market was $6.83 per share. </w:t>
      </w:r>
    </w:p>
    <w:p>
      <w:pPr>
        <w:pStyle w:val="TextBody"/>
        <w:bidi w:val="0"/>
        <w:spacing w:before="240" w:after="0"/>
        <w:jc w:val="left"/>
        <w:rPr>
          <w:rFonts w:ascii="Times New Roman" w:hAnsi="Times New Roman"/>
          <w:sz w:val="18"/>
        </w:rPr>
      </w:pPr>
      <w:r>
        <w:rPr>
          <w:rFonts w:ascii="Times New Roman" w:hAnsi="Times New Roman"/>
          <w:sz w:val="18"/>
        </w:rPr>
        <w:t xml:space="preserve">We are a smaller reporting company as defined under the federal securities laws, and, as such, have elected to comply with certain reduced public company reporting requirements for future filings. See Prospectus Supplement SummaryImplications of Being a Smaller Reporting Company. </w:t>
      </w:r>
    </w:p>
    <w:p>
      <w:pPr>
        <w:pStyle w:val="TextBody"/>
        <w:bidi w:val="0"/>
        <w:spacing w:before="240" w:after="0"/>
        <w:jc w:val="left"/>
        <w:rPr/>
      </w:pPr>
      <w:r>
        <w:rPr>
          <w:rFonts w:ascii="Times New Roman" w:hAnsi="Times New Roman"/>
          <w:b/>
          <w:sz w:val="18"/>
        </w:rPr>
        <w:t>Investing in our common stock involves a high degree of risk. Please read </w:t>
      </w:r>
      <w:hyperlink w:anchor="suptoc783702_4">
        <w:r>
          <w:rPr>
            <w:rStyle w:val="InternetLink"/>
            <w:rFonts w:ascii="Times New Roman" w:hAnsi="Times New Roman"/>
            <w:b/>
            <w:sz w:val="18"/>
          </w:rPr>
          <w:t>Risk Factors</w:t>
        </w:r>
      </w:hyperlink>
      <w:r>
        <w:rPr>
          <w:rFonts w:ascii="Times New Roman" w:hAnsi="Times New Roman"/>
          <w:b/>
          <w:sz w:val="18"/>
        </w:rPr>
        <w:t xml:space="preserve"> beginning on page S-8 of this prospectus supplement and under similar headings in documents incorporated by reference into this prospectus supplement.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175"/>
        <w:gridCol w:w="325"/>
        <w:gridCol w:w="174"/>
        <w:gridCol w:w="759"/>
        <w:gridCol w:w="60"/>
        <w:gridCol w:w="325"/>
        <w:gridCol w:w="153"/>
        <w:gridCol w:w="1536"/>
        <w:gridCol w:w="65"/>
      </w:tblGrid>
      <w:tr>
        <w:trPr/>
        <w:tc>
          <w:tcPr>
            <w:tcW w:w="5175"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175"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6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tc>
        <w:tc>
          <w:tcPr>
            <w:tcW w:w="32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5.25</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536" w:type="dxa"/>
            <w:tcBorders/>
            <w:shd w:fill="CCEEFF" w:val="clear"/>
            <w:vAlign w:val="bottom"/>
          </w:tcPr>
          <w:p>
            <w:pPr>
              <w:pStyle w:val="TableContents"/>
              <w:bidi w:val="0"/>
              <w:spacing w:before="0" w:after="283"/>
              <w:jc w:val="right"/>
              <w:rPr/>
            </w:pPr>
            <w:r>
              <w:rPr/>
              <w:t>17,587,500.00</w:t>
            </w:r>
          </w:p>
        </w:tc>
        <w:tc>
          <w:tcPr>
            <w:tcW w:w="65" w:type="dxa"/>
            <w:tcBorders/>
            <w:shd w:fill="CCEEFF" w:val="clear"/>
            <w:vAlign w:val="bottom"/>
          </w:tcPr>
          <w:p>
            <w:pPr>
              <w:pStyle w:val="TableContents"/>
              <w:bidi w:val="0"/>
              <w:spacing w:before="0" w:after="283"/>
              <w:jc w:val="left"/>
              <w:rPr/>
            </w:pPr>
            <w:r>
              <w:rPr/>
              <w:t> </w:t>
            </w:r>
          </w:p>
        </w:tc>
      </w:tr>
      <w:tr>
        <w:trPr/>
        <w:tc>
          <w:tcPr>
            <w:tcW w:w="5175"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discounts and commissions(1)</w:t>
            </w:r>
          </w:p>
        </w:tc>
        <w:tc>
          <w:tcPr>
            <w:tcW w:w="325"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w:t>
            </w:r>
          </w:p>
        </w:tc>
        <w:tc>
          <w:tcPr>
            <w:tcW w:w="759" w:type="dxa"/>
            <w:tcBorders/>
            <w:vAlign w:val="bottom"/>
          </w:tcPr>
          <w:p>
            <w:pPr>
              <w:pStyle w:val="TableContents"/>
              <w:bidi w:val="0"/>
              <w:spacing w:before="0" w:after="283"/>
              <w:jc w:val="right"/>
              <w:rPr/>
            </w:pPr>
            <w:r>
              <w:rPr/>
              <w:t>0.315</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1536" w:type="dxa"/>
            <w:tcBorders/>
            <w:vAlign w:val="bottom"/>
          </w:tcPr>
          <w:p>
            <w:pPr>
              <w:pStyle w:val="TableContents"/>
              <w:bidi w:val="0"/>
              <w:spacing w:before="0" w:after="283"/>
              <w:jc w:val="right"/>
              <w:rPr/>
            </w:pPr>
            <w:r>
              <w:rPr/>
              <w:t>1,055,250.00</w:t>
            </w:r>
          </w:p>
        </w:tc>
        <w:tc>
          <w:tcPr>
            <w:tcW w:w="65" w:type="dxa"/>
            <w:tcBorders/>
            <w:vAlign w:val="bottom"/>
          </w:tcPr>
          <w:p>
            <w:pPr>
              <w:pStyle w:val="TableContents"/>
              <w:bidi w:val="0"/>
              <w:spacing w:before="0" w:after="283"/>
              <w:jc w:val="left"/>
              <w:rPr/>
            </w:pPr>
            <w:r>
              <w:rPr/>
              <w:t> </w:t>
            </w:r>
          </w:p>
        </w:tc>
      </w:tr>
      <w:tr>
        <w:trPr/>
        <w:tc>
          <w:tcPr>
            <w:tcW w:w="517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to us before expenses</w:t>
            </w:r>
          </w:p>
        </w:tc>
        <w:tc>
          <w:tcPr>
            <w:tcW w:w="325"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w:t>
            </w:r>
          </w:p>
        </w:tc>
        <w:tc>
          <w:tcPr>
            <w:tcW w:w="759" w:type="dxa"/>
            <w:tcBorders/>
            <w:shd w:fill="CCEEFF" w:val="clear"/>
            <w:vAlign w:val="bottom"/>
          </w:tcPr>
          <w:p>
            <w:pPr>
              <w:pStyle w:val="TableContents"/>
              <w:bidi w:val="0"/>
              <w:spacing w:before="0" w:after="283"/>
              <w:jc w:val="right"/>
              <w:rPr/>
            </w:pPr>
            <w:r>
              <w:rPr/>
              <w:t>4.935</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1536" w:type="dxa"/>
            <w:tcBorders/>
            <w:shd w:fill="CCEEFF" w:val="clear"/>
            <w:vAlign w:val="bottom"/>
          </w:tcPr>
          <w:p>
            <w:pPr>
              <w:pStyle w:val="TableContents"/>
              <w:bidi w:val="0"/>
              <w:spacing w:before="0" w:after="283"/>
              <w:jc w:val="right"/>
              <w:rPr/>
            </w:pPr>
            <w:r>
              <w:rPr/>
              <w:t>16,532,250.00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We have agreed to reimburse the underwriter for certain expenses. See Underwriting beginning on page S-22 of this prospectus supplement. </w:t>
            </w:r>
          </w:p>
        </w:tc>
      </w:tr>
    </w:tbl>
    <w:p>
      <w:pPr>
        <w:pStyle w:val="TextBody"/>
        <w:bidi w:val="0"/>
        <w:spacing w:before="240" w:after="0"/>
        <w:jc w:val="left"/>
        <w:rPr>
          <w:rFonts w:ascii="Times New Roman" w:hAnsi="Times New Roman"/>
          <w:sz w:val="18"/>
        </w:rPr>
      </w:pPr>
      <w:r>
        <w:rPr>
          <w:rFonts w:ascii="Times New Roman" w:hAnsi="Times New Roman"/>
          <w:sz w:val="18"/>
        </w:rPr>
        <w:t xml:space="preserve">We have granted the underwriter an option to purchase up to 502,500 additional shares of common stock from us at the public offering price, less underwriting discounts and commissions. The underwriter can exercise this right at any time within 30 days after the date of this prospectus supplement. </w:t>
      </w:r>
    </w:p>
    <w:p>
      <w:pPr>
        <w:pStyle w:val="TextBody"/>
        <w:bidi w:val="0"/>
        <w:spacing w:before="240" w:after="0"/>
        <w:jc w:val="left"/>
        <w:rPr>
          <w:rFonts w:ascii="Times New Roman" w:hAnsi="Times New Roman"/>
          <w:sz w:val="18"/>
        </w:rPr>
      </w:pPr>
      <w:r>
        <w:rPr>
          <w:rFonts w:ascii="Times New Roman" w:hAnsi="Times New Roman"/>
          <w:sz w:val="18"/>
        </w:rPr>
        <w:t xml:space="preserve">The underwriter expects to deliver the shares of common stock to purchasers on or about May 9, 2025. </w:t>
      </w:r>
    </w:p>
    <w:p>
      <w:pPr>
        <w:pStyle w:val="TextBody"/>
        <w:bidi w:val="0"/>
        <w:spacing w:before="480" w:after="0"/>
        <w:jc w:val="center"/>
        <w:rPr>
          <w:rFonts w:ascii="Times New Roman" w:hAnsi="Times New Roman"/>
          <w:sz w:val="20"/>
        </w:rPr>
      </w:pPr>
      <w:r>
        <w:rPr>
          <w:rFonts w:ascii="Times New Roman" w:hAnsi="Times New Roman"/>
          <w:i/>
          <w:sz w:val="20"/>
        </w:rPr>
        <w:t>Sole Bookrunner</w:t>
      </w:r>
      <w:r>
        <w:rPr>
          <w:rFonts w:ascii="Times New Roman" w:hAnsi="Times New Roman"/>
          <w:sz w:val="20"/>
        </w:rPr>
        <w:t xml:space="preserve"> </w:t>
      </w:r>
    </w:p>
    <w:p>
      <w:pPr>
        <w:pStyle w:val="TextBody"/>
        <w:bidi w:val="0"/>
        <w:spacing w:before="360" w:after="0"/>
        <w:jc w:val="center"/>
        <w:rPr>
          <w:rFonts w:ascii="Times New Roman" w:hAnsi="Times New Roman"/>
          <w:b/>
          <w:sz w:val="32"/>
        </w:rPr>
      </w:pPr>
      <w:r>
        <w:rPr>
          <w:rFonts w:ascii="Times New Roman" w:hAnsi="Times New Roman"/>
          <w:b/>
          <w:sz w:val="32"/>
        </w:rPr>
        <w:t xml:space="preserve">Canaccord Genuity </w:t>
      </w:r>
    </w:p>
    <w:p>
      <w:pPr>
        <w:pStyle w:val="TextBody"/>
        <w:bidi w:val="0"/>
        <w:spacing w:before="600" w:after="0"/>
        <w:jc w:val="center"/>
        <w:rPr>
          <w:rFonts w:ascii="Times New Roman" w:hAnsi="Times New Roman"/>
          <w:b/>
          <w:sz w:val="18"/>
        </w:rPr>
      </w:pPr>
      <w:r>
        <w:rPr>
          <w:rFonts w:ascii="Times New Roman" w:hAnsi="Times New Roman"/>
          <w:b/>
          <w:sz w:val="18"/>
        </w:rPr>
        <w:t xml:space="preserve">The date of this prospectus supplement is May 8, 2025.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5">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8">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9">
              <w:r>
                <w:rPr>
                  <w:rStyle w:val="InternetLink"/>
                  <w:rFonts w:ascii="Times New Roman" w:hAnsi="Times New Roman"/>
                  <w:sz w:val="20"/>
                </w:rPr>
                <w:t>DESCRIPTION OF SECURITIES OFFERED</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0">
              <w:r>
                <w:rPr>
                  <w:rStyle w:val="InternetLink"/>
                  <w:rFonts w:ascii="Times New Roman" w:hAnsi="Times New Roman"/>
                  <w:sz w:val="20"/>
                </w:rPr>
                <w:t>MATERIAL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1">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4">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2">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4">
              <w:r>
                <w:rPr>
                  <w:rStyle w:val="InternetLink"/>
                  <w:rFonts w:ascii="Times New Roman" w:hAnsi="Times New Roman"/>
                  <w:sz w:val="20"/>
                </w:rPr>
                <w:t>CAUTIONARY NOTE REGARDING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6">
              <w:r>
                <w:rPr>
                  <w:rStyle w:val="InternetLink"/>
                  <w:rFonts w:ascii="Times New Roman" w:hAnsi="Times New Roman"/>
                  <w:sz w:val="20"/>
                </w:rPr>
                <w:t>DIVIDEND POLICY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7">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0">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1">
              <w:r>
                <w:rPr>
                  <w:rStyle w:val="InternetLink"/>
                  <w:rFonts w:ascii="Times New Roman" w:hAnsi="Times New Roman"/>
                  <w:sz w:val="20"/>
                </w:rPr>
                <w:t>GLOBAL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2">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3">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4">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5">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783702_116">
              <w:r>
                <w:rPr>
                  <w:rStyle w:val="InternetLink"/>
                  <w:rFonts w:ascii="Times New Roman" w:hAnsi="Times New Roman"/>
                  <w:sz w:val="20"/>
                </w:rPr>
                <w:t>INCORPORATION OF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toc783702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relate to an offering of our common stock. Before buying any of the common stock that we are offering, we urge you to carefully read this prospectus supplement and the accompanying prospectus, together with the information incorporated by reference as described under the headings Where You Can Find More Information and Incorporation by Reference in this prospectus supplement.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terms of this offering of common stock and also adds to, updates and changes information contained in the accompanying prospectus and the documents incorporated by reference herein and therein. The second part is the accompanying prospectus, which provides more general information, some of which may not apply to this offering. To the extent the information contained in this prospectus supplement differs from or conflicts with the information contained in the accompanying prospectus or any document incorporated by reference herein and therein having an earlier date, the information in this prospectus supplement will control.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the underwriter has not, authorized anyone to provide you with information different from that which is contained in or incorporated by reference in this prospectus supplement, the accompanying prospectus and in any free writing prospectus that we may authorize for use in connection with this offering. Neither we, nor the underwriter, take any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Persons into whose possession this prospectus supplement and the accompanying prospectus come are advised to inform themselves about and to observe any restrictions relating to the offering and the distribution of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accompanying prospectus, as applicable, regardless of the time of delivery of this prospectus supplement, the accompanying prospectus, any related free writing prospectus, or any sale of our common stock.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documents referred to herein have been or will be filed as exhibits to the registration statement of which this prospectus is a part or as exhibits to documents incorporated by reference herein, and you may obtain copies of those documents as described below under the headings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provide estimates, projections and other information concerning our industry, the general business environment, and the markets for certain diseases.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included or incorporated by reference in this prospectus supplement, the accompanying prospectus and any free writing prospectus and the documents incorporated by reference into this prospectus supplement.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Exagen, we, our, us and the Company in this prospectus supplement and the accompanying prospectus, we mean Exagen Inc.,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information incorporated by reference herein and therein, and any free writing prospectuses we have authorized for use in connection with this offering, contains registered marks, trademarks and trade names owned by us or other companies, which are the property of their respective owners.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toc783702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summary description about us, our business and this offering highlights selected information contained elsewhere in this prospectus supplement, the accompanying prospectus or incorporated in this prospectus supplement and the accompanying prospectus by reference. This summary does not contain all of the information you should consider before deciding to invest in our common stock. You should carefully read this entire prospectus supplement, the accompanying prospectus, and each of the documents incorporated herein or therein by reference, before making an investment decision. Investors should carefully consider the information set forth under Risk Factors on page S-8 and in the documents incorporated by reference into this prospectus supplement and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Exagen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medical technology company primarily focused on the design, development and commercialization of a next-generation portfolio of innovative testing products under our AVISE® brand, which allow for the differential diagnosis, prognosis and monitoring of complex rheumatic, autoimmune and autoimmune-related disease including, among others, systemic lupus erythematosus and rheumatoid arthritis. We believe our strong focus and extensive background in the field of rheumatology, combined with our commitment to exceptional customer service and support, position us well to respond to the needs of rheumatologists, primary care physicians, other specialists, and the patients they 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tests are used in a variety of clinical settings to provide clarity in autoimmune disease decision-making with the goal of improving patients clinical outcomes. We commercially launched our flagship testing product, AVISE® CTD, in 2012. AVISE® CTD enables differential diagnosis for patients presenting with symptoms indicative of a wide variety of connective tissue diseases (CTDs) and other related diseases with overlapping symptoms. Traditional screening methods often lack accuracy, resulting in repeat testing and delayed diagnosis. With significant increases in autoimmune incidence in recent years, AVISE® CTD provides unique biomarkers that empower clinicians to confidently and quickly diagnose various CTDs.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Beginning in late 2022, we revitalized our organization with the addition of key members to our senior leadership team, including our Chief Executive Officer, Chief Financial Officer, Vice President of Sales, Chief Medical Officer, and Medical and Laboratory Director. By leveraging our teams extensive experience to create clinically distinct solutions that improve patient lives, we have created a strong foundation for growth and believe that we are well-positioned to positively impact patient care and address unmet clinical needs in autoimmune disease. We strive to become a partner of choice for doctors, hospitals, healthcare systems, and payors.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Under the leadership of our Chief Executive Officer, John Aballi, who joined Exagen in October 2022, we have been executing an operational turnaround of the business, which has resulted in a return to revenue growth and gross margin expansion while significantly reducing operating expenses and cash burn.</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25, 2025 (the Closing Date), we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An initial tranche of $25.0 million (the Tranche A Loan) was funded under the Perceptive Term Loan Facility on the Closing Date. In addition to the Tranche A Loan, the Perceptive Term Loan Facility includes (i) available through March 31, 2026, an additional Tranche B Loan in an aggregate amount of up to $10.0 million (the Tranche B Loan), (ii) available from March 31, 2026 through December 31, 2026, an additional Tranche C Loan in an aggregate amount of up to $10.0 million (the Tranche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 Loan) and (iii) until March 31, 2027, an additional Tranche D Loan in an aggregate amount of up to $30.0 million (the Tranche D Loan and together with the Tranche A Loan, the Tranche B Loan, and the Tranche C Loan, the Term Loans), each of which will be accessible by us so long as the Company satisfies certain customary conditions precedent, including specified revenue milestones (the funding date of the Tranche B Loan, the Tranche B Borrowing Date, the funding date of the Tranche C Loan, the Tranche C Borrowing Date, and the funding date of the Tranche D Loan, the Tranche D Borrowing Date) and, for the Tranche D Loan, subject to certain business development milestones. The Perceptive Term Loan Facility has a maturity date of April 25, 2030 (the Maturity Date) and provides for an interest-only period during the term of the loan with principal due at the Maturity Date. The Perceptive Term Loan Facility accrues interest at an annual rate equal to the greater of (a) Term SOFR (as defined in the Credit Agreement) and (b) 4.75% per annum, plus an applicable margin of 7%. Accrued interest on the Term Loans is payable monthly in arrears. These interest rates are subject to adjustment as described further in the Credit Agreement and the Term Loans may be redeemed at a premium as described further in the Credit Agreement. In connection with the Credit Agreement, we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on the Closing Date, as consideration for the Credit Agreement, we issued to Perceptive a warrant certificate (the Warrant Certificate) to purchase up to 1,150,000 shares (the Warrant Shares) of our common stock. 400,000 Warrant Shares (the Tranche A Warrant Shares) vested and became exercisable on the Closing Date, 150,000 Warrant Shares (the Tranche B Warrant Shares) will vest and become exercisable on the Tranche B Borrowing Date, 150,000 Warrant Shares (the Tranche C Warrant Shares) will vest and become exercisable on the Tranche C Borrowing Date and 450,000 Warrant Shares (the Tranche D Warrant Shares) will vest and become exercisable on the Tranche D Borrowing Date, if such borrowing is made. The per share exercise price for (i) 50% of the Tranche A Warrant Shares is $4.96 and (ii) the remaining balance of the Tranche A Warrant Shares is $5.58. Additionally, the per share exercise price for (i) 50% of each of the Tranche B Warrant Shares, the Tranche C Warrant Shares and the Tranche D Warrant Shares will be equal to the 10-day VWAP of the common stock on the business day immediately preceding the Tranche B Borrowing Date, Tranche C Borrowing Date and Tranche D Borrowing Date, as applicable, and (ii) the remaining balance of each of the Tranche B Warrant Shares, the Tranche C Warrant Shares and the Tranche D Warrant Shares will be equal to 1.125 multiplied by the 10-day VWAP of the common stock on the business day immediately preceding the Tranche B Borrowing Date, Tranche C Borrowing Date and Tranche D Borrowing Date, respectively. The Warrant Certificate will be exercisable, in whole or in part, until the 10th anniversary of the applicable vesting date, and may be exercised on a cashless or net basis. Our net proceeds from the Tranche A Loan were approximately $22.8 million, after deducting estimated debt issuance costs, fees and expenses. Out of these proceeds, we repaid our outstanding obligations pursuant to our credit facility with Innovatus Life Sciences Lending Fund I, LP.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 Our website address is www.exagen.com. The information contained in, or accessible through, our website is not part of, and is not incorporated by reference into, this prospectus supplement. Investors should not rely on any such information in deciding whether to purchase our common stock, and you should not consider any information contained in, or that can be accessed through, our website as part of this prospectus supplement or in deciding whether to purchase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the Securities and Exchange Act of 1934, as amended (the Exchange Act). Smaller reporting companies may take advantage of certain scaled disclosure obligations. We will remain a smaller reporting company until the last day of the fiscal year in which (1) the aggregate value of our voting and non-voting common stock held by non-affiliates equaled or exceeded $250.0 million on the last business day of our second fiscal quarter, or (2) our annual revenues equaled or exceeded $100.0 million during such completed fiscal year and the value of our voting and non-voting common stock held by non-affiliates equaled or exceeded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toc783702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3,350,000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Underwriters option to purchase additional shares from us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We have granted the underwriter an option for a period of 30 days from the date of this prospectus supplement to purchase up to an additional 502,500 shares of our common stock from us at the public offering price, less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after this offering</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21,300,033 shares of common stock (or 21,802,533 shares if the underwriter exercises its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estimate that the net proceeds from this offering will be approximately $16.2 million, or approximately $18.6 million if the underwriter exercises its option to purchase additional shares in full, after deducting underwriting discounts and commissions and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intend to use the net proceeds from the sale of the common stock offered by us hereunder for working capital and other general corporate purposes. We may also use a portion of the net proceeds from this offering to acquire, in-license or invest in products, technologies or businesses that complement our business. However, we do not have binding agreements or commitments for any acquisitions or investments outside the ordinary course of business at this time. See Use of Proceeds on page S-12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Investing in our common stock involves a high degree of risk. See Risk Factors beginning on page S-8 of this prospectus supplement and other information included and incorporated by reference in this prospectus supplement and the accompanying prospectus for a discussion of factors you should carefully consider before deciding to invest in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Nasdaq Global Market symbol</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XGN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common stock that will be outstanding after this offering is based on 17,950,033 shares of common stock outstanding as of March 31, 2025, and excludes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608,146 shares of our common stock issuable upon the exercise of stock options outstanding as of March 31, 2025 under our equity incentive plans at a weighted-average exercise price of $8.60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1,822,547 restricted stock units (RSUs), outstanding as of March 31, 2025 under our equity incentive plans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619,593 shares of our common stock reserved as of March 31, 2025 for future issuance under our 2019 Employee Stock Purchase Plan (the ESPP);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2,434,666 shares of our common stock reserved as of March 31, 2025 for future issuance under our 2019 Incentive Award Plan (the 2019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1,130,281 shares of our common stock issuable upon the exercise of warrants outstanding as of March 31, 2025 at a weighted-average exercise price of $0.76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1,150,000 shares of our common stock issuable upon the vesting and exercise of the Warrant Certificate issued to Perceptive with 200,000 of such vested shares having an exercise price of $4.96 per share, 200,000 of such vested shares having an exercise price of $5.58 per share and the remaining shares of common stock issuable thereunder subject to vesting and exercise prices based upon the future trading prices of our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reflect the potential issuance of shares of common stock that remain available for sale as of the date of this prospectus supplement under our at-the-market offering program, pursuant to which we may sell our common stock from time to time under our sales agreement between us and TD Securities (USA) LLC, dated as of September 15, 2022, as amended on November 17, 2023;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of the outstanding options or warrants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assumes no exercise by the underwriter of its option to purchase additional shares from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toc783702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supplement and the accompanying prospectus involves risks. You should carefully consider the risk factors included in our most recent Annual Report on Form 10-K and any subsequent Annual Reports on Form 10-K, Quarterly Reports on Form 10-Q or Current Reports on Form 8-K we file after the date of this prospectus supplement, and all other information contained or incorporated by reference into this prospectus supplement and the accompanying prospectus, as updated by our subsequent filings under the Exchange Act. The occurrence of any of these risks might cause you to lose all or part of your investment in the offered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Management will have broad discretion over the use of the proceeds from this offering, and may not use the proceeds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with respect to the use of proceeds of this offering, including for any of the purposes described in the section of this prospectus supplement entitled Use of Proceeds. Our management may use the net proceeds for corporate purposes that may not improve our financial condition or market value. Pending use, we may invest any net proceeds from this offering in a manner that does not produce income or loses value. Accordingly, you will be relying on the judgment of our management with regard to the use of these net proceeds, and you will not have the opportunity, as part of your investment decision, to assess whether the proceeds are being used appropriately. Our failure to apply these funds effectively could harm our business and cause the price of our common stock to decline. Please see the section entitled Use of Proceeds on page S-12 of this prospectus supplement for further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immediate and substantial dilution in the net tangible book value per share of the common stock you purchase.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our common stock in this offering, you will incur an immediate dilution of $4.19 in net tangible book value (deficit) per share from the price you paid, based on the public offering price of $5.25 per share, and assuming no exercise of the underwriters option to purchase additional shares. The exercise of outstanding options or warrants, and vesting and settlement of service-based restricted stock units and performance-based restricted stock units will result in further dilution. For a further description of the dilution that you will experience immediately after this offering, see the section titled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and trading volume of our stock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The price of our common stock has been and may continue to be volatile. Even though our common stock is listed on The Nasdaq Global Market, an active trading market for our common stock may not be sustained. The lack of an active trading market may impair the value of your shares and your ability to sell your shares at the time you wish to sell them. An inactive trading market may also impair our ability to raise capital by selling shares of our common stock and enter into strategic partnerships or acquire other complementary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or businesses by using shares of our common stock as consideration. Furthermore, there can be no guarantee that we will continue to satisfy the continued listing standards of The Nasdaq Global Market. If we fail to satisfy the continued listing standards, we could be de-listed, which would have a negative effect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the prices at which our shares of common stock may trade. The market price of our common stock is likely to be highly volatile and may fluctuate substantially due to many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variations in our and our competitors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new products, strategic partnerships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reimbursement by current or potential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new securities analysts reports or changed recommendations for our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changes in regulatory oversight of our testing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or disputes concerning our intellectual property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commencement of, or our involvement in,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announced or completed acquisitions of businesses or technologies by us or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major change in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 or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our common stock by our executive officers, directors and other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conditions and slow or negative growth of our markets, including as a result of the current conflicts in the Ukraine and the Middle East.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expect to pay dividends in the foreseeable future. As a result, you may have to rely on stock appreciation for any return on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paying cash dividends on our common stock in the foreseeable future. In addition, our ability to pay cash dividends is currently prohibited by the terms of our Credit Agreement with Perceptive. Any payment of cash dividends will, among other things and in addition to being subject to the terms of our Credit Agreement with Perceptive, depend on our financial condition, results of operations, capital requirements and other factors and will be at the discretion of our board of directors. Accordingly, you may have to rely on capital </w:t>
      </w:r>
    </w:p>
    <w:p>
      <w:pPr>
        <w:pStyle w:val="TextBody"/>
        <w:bidi w:val="0"/>
        <w:spacing w:before="0" w:after="0"/>
        <w:jc w:val="left"/>
        <w:rPr>
          <w:rFonts w:ascii="Times New Roman" w:hAnsi="Times New Roman"/>
          <w:sz w:val="20"/>
        </w:rPr>
      </w:pPr>
      <w:r>
        <w:rPr>
          <w:rFonts w:ascii="Times New Roman" w:hAnsi="Times New Roman"/>
          <w:sz w:val="20"/>
        </w:rPr>
        <w:t xml:space="preserve">appreciation, if any, to earn a return on your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toc783702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losses, we expect to incur net losses in the future and we may not be able to generate sufficient revenue to achieve and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near-term, we expect that our financial results will depend primarily on sales of our testing products, and we will need to generate sufficient revenue from these testing products to grow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manage our ongoing growth effectively, which could make it difficult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on attaining and maintaining significant market acceptance of our testing products and promoted therapeutics among rheumatologists, patients, third-party payors and others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sole suppliers for some of the reagents, equipment and other materials used in our testing products, and we may not be able to fund replacements or transition to alternative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support demand for our current testing products or any of our future testing products or solutions, our business could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compete successfully, we may be unable to increase or sustain our revenue or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new testing products involves a lengthy and complex process, and we may not be able to commercialize on a timely basis, or at all, other testing products we are developing;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ongoing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conduct business in a heavily regulated industry. Complying with the numerous statutes and regulations pertaining to our business is expensive and time-consuming, and any failure by us, our consultants or commercial partners to comply could result in substantial penalties;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intellectual property protection our competitive position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above factors and other future events on the market price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use of proceeds from this offering,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toc783702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our issuance and sale of shares of common stock in this offering at a public offering price of $5.25 per share will be $16.2 million after deducting estimated underwriting discounts and commissions and estimated offering expenses payable by us. If the underwriter exercises its option to purchase additional shares in full, we estimate that our net proceeds will be approximately $18.6 million after deducting estimated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common stock offered by us hereunder for working capital and other general corporate purposes. We may also use a portion of the net proceeds from this offering to acquire, in-license or invest in products, technologies or businesses that complement our business. However, we do not have binding agreements or commitments for any acquisitions or investments outside the ordinary course of business at this time. We do not currently have specific plans or commitments with respect to the net proceeds from this offering and, accordingly, we are unable to quantify the allocations of such proceeds among the various potential uses. Our management will have broad discretion over the use of the net proceeds from this offering, and our investors will be relying on the judgment of our management regarding the application of the net proceeds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Pending the use of the net proceeds from this offering as described above, we intend to invest the net proceeds in a variety of capital preservation instruments including money market funds, certificates of deposit or direct or guaranteed obligations of the United States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toc783702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Credit Agreement with Perceptive.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toc783702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 As of March 31, 2025, our net tangible book value was $6.4 million, or $0.36 per share. Net tangible book value per share represents our total tangible assets (excluding deferred issuance costs) less our total liabilities, divided by the number of shares outstanding.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shares of our common stock at the public offering price of per share, and after deducting commissions and estimated offering expenses payable by us, our as adjusted net tangible book value as of March 31, 2025 would have been $22.6 million, or $1.06 per share. This amount represents an immediate increase in net tangible book value of $0.70 per share to existing stockholders and an immediate dilution in net tangible book value of $4.19 per share to new investors purchasing common stock in this offering. We determine dilution by subtracting the as adjusted net tangible book value per share after this offering from the price per share paid by an investor in this offering. The following table illustrates this dilution: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28"/>
        <w:gridCol w:w="401"/>
        <w:gridCol w:w="145"/>
        <w:gridCol w:w="448"/>
        <w:gridCol w:w="60"/>
        <w:gridCol w:w="401"/>
        <w:gridCol w:w="145"/>
        <w:gridCol w:w="448"/>
        <w:gridCol w:w="63"/>
      </w:tblGrid>
      <w:tr>
        <w:trPr/>
        <w:tc>
          <w:tcPr>
            <w:tcW w:w="4828"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Offering price per share</w:t>
            </w:r>
          </w:p>
        </w:tc>
        <w:tc>
          <w:tcPr>
            <w:tcW w:w="40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5.25</w:t>
            </w:r>
          </w:p>
        </w:tc>
        <w:tc>
          <w:tcPr>
            <w:tcW w:w="63" w:type="dxa"/>
            <w:tcBorders/>
            <w:shd w:fill="CCEEFF" w:val="clear"/>
            <w:vAlign w:val="bottom"/>
          </w:tcPr>
          <w:p>
            <w:pPr>
              <w:pStyle w:val="TableContents"/>
              <w:bidi w:val="0"/>
              <w:spacing w:before="0" w:after="283"/>
              <w:jc w:val="left"/>
              <w:rPr/>
            </w:pPr>
            <w:r>
              <w:rPr/>
              <w:t> </w:t>
            </w:r>
          </w:p>
        </w:tc>
      </w:tr>
      <w:tr>
        <w:trPr/>
        <w:tc>
          <w:tcPr>
            <w:tcW w:w="4828"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March 31, 2025</w:t>
            </w:r>
          </w:p>
        </w:tc>
        <w:tc>
          <w:tcPr>
            <w:tcW w:w="40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0.36</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investors purchasing shares in this offering</w:t>
            </w:r>
          </w:p>
        </w:tc>
        <w:tc>
          <w:tcPr>
            <w:tcW w:w="40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0.70</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4828"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4828"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March 31, 2025 after giving effect to this offering</w:t>
            </w:r>
          </w:p>
        </w:tc>
        <w:tc>
          <w:tcPr>
            <w:tcW w:w="40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48"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48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in this offering</w:t>
            </w:r>
          </w:p>
        </w:tc>
        <w:tc>
          <w:tcPr>
            <w:tcW w:w="40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448" w:type="dxa"/>
            <w:tcBorders/>
            <w:shd w:fill="CCEEFF" w:val="clear"/>
            <w:vAlign w:val="bottom"/>
          </w:tcPr>
          <w:p>
            <w:pPr>
              <w:pStyle w:val="TableContents"/>
              <w:bidi w:val="0"/>
              <w:spacing w:before="0" w:after="283"/>
              <w:jc w:val="right"/>
              <w:rPr/>
            </w:pPr>
            <w:r>
              <w:rPr/>
              <w:t>4.19</w:t>
            </w:r>
          </w:p>
        </w:tc>
        <w:tc>
          <w:tcPr>
            <w:tcW w:w="63" w:type="dxa"/>
            <w:tcBorders/>
            <w:shd w:fill="CCEEFF" w:val="clear"/>
            <w:vAlign w:val="bottom"/>
          </w:tcPr>
          <w:p>
            <w:pPr>
              <w:pStyle w:val="TableContents"/>
              <w:bidi w:val="0"/>
              <w:spacing w:before="0" w:after="283"/>
              <w:jc w:val="left"/>
              <w:rPr/>
            </w:pPr>
            <w:r>
              <w:rPr/>
              <w:t> </w:t>
            </w:r>
          </w:p>
        </w:tc>
      </w:tr>
      <w:tr>
        <w:trPr/>
        <w:tc>
          <w:tcPr>
            <w:tcW w:w="4828"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4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discussion and table above assumes that the underwriter does not exercise its option to purchase additional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the underwriter exercises in full its option to purchase additional shares, our as adjusted net tangible book value per share after this offering would be $1.15 per share, representing an immediate increase in as adjusted net tangible book value per share of $0.79 to existing stockholders and immediate dilution of $4.10 in as adjusted net tangible book value per share to new investors purchasing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table and calculations are based on 17,950,033 shares of our common stock outstanding as of March 31, 2025,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608,146 shares of our common stock issuable upon the exercise of stock options outstanding as of March 31, 2025 under our equity incentive plans at a weighted-average exercise price of $8.60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1,822,547 RSUs, outstanding as of March 31, 2025 under our equity incentive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619,593 shares of our common stock reserved as of March 31, 2025 for future issuance under the ESPP;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2,434,666 shares of our common stock reserved as of March 31, 2025 for future issuance under the 2019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1,130,281 shares of our common stock issuable upon the exercise of warrants outstanding as of March 31, 2025 at a weighted-average exercise price of $0.76 per share;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1,150,000 shares of our common stock issuable upon the vesting and exercise of the Warrant Certificate issued to Perceptive with 200,000 of such vested shares having an exercise price of $4.96 per share, 200,000 of such vested shares having an exercise price of $5.58 per share and the remaining shares of common stock issuable thereunder subject to vesting and exercise prices based upon the future trading prices of our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or warrants are exercised,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toc783702_9"/>
      <w:bookmarkEnd w:id="11"/>
      <w:r>
        <w:rPr>
          <w:rFonts w:ascii="Times New Roman" w:hAnsi="Times New Roman"/>
          <w:b/>
          <w:sz w:val="20"/>
        </w:rPr>
        <w:t xml:space="preserve">DESCRIPTION OF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3,350,000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material terms and provisions of our common stock and each other class of our securities which qualifies or limits our common stock are described in the section entitled Description of Capital Stock beginning on page 9 of the accompanying prospectus and the Description of Securities included as Exhibit 4.8 to our Annual Report on Form 10-K for the year ended December 31, 2023, filed with the SEC on March 18,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toc783702_10"/>
      <w:bookmarkEnd w:id="12"/>
      <w:r>
        <w:rPr>
          <w:rFonts w:ascii="Times New Roman" w:hAnsi="Times New Roman"/>
          <w:b/>
          <w:sz w:val="20"/>
        </w:rPr>
        <w:t xml:space="preserve">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assumptions and qualifications described herein, the following is a summary of certain U.S. federal income tax considerations of the purchase, ownership and disposition of shares of our common stock issued pursuant to this offering. For purposes of this section, such shares (Shares) are referred to herein as the Offered Securities. All prospective holders should consult their tax advisors with respect to the U.S. federal, state, and local and non-U.S. tax consequences of the purchase, ownership and disposition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(the Code), existing Treasury regulations promulgated thereunder, published administrative pronouncements and rulings of the U.S. Internal Revenue Service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addresses only Offered Securities that are held as capital assets within the meaning of Section 1221 of the Code (generally, property held for investment). This discussion does not address all the U.S. federal income tax consequences that may be relevant to particular holders in light of their individual circumstances, nor does it address any alternative minimum, Medicare contribution, estate or gift tax consequences, the special tax accounting rules under Section 451(b) of the Code, or any aspects of U.S. state or local or non-U.S. taxes. It does not address holders that are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any of the Offered Securities as a position in a hedging transaction, straddle,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any of the Offered Securities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arrangements classified as partnerships for U.S. federal income tax purposes or other pass-through entities such as subchapter S corporations (or investors in such entities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or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qualified foreign pension funds as defined in Section 897(1)(2)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actually or constructively,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former long-term residents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acquire the Offered Securities through the exercise of an employee stock option or otherwise as compensation or through a tax-qualified retirement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holder is a partnership or other pass-through entity (including an entity or arrangement treated as a partnership or other pass-through entity for U.S. federal income tax purposes), the U.S. federal income tax treatment of a partner or beneficial owner will generally depend on the status of such partner or beneficial owner and the entitys activities. Partnerships, partners and beneficial owners in partnerships or other pass-through entities that own the Offered Securities should consult their tax advisors as to the particular U.S. federal income tax considerations applicable to the acquisition, ownership and disposition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the Offered Securities,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that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an entity treated as a corporation,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Treasury regulations to be treated as a United States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that is subject to U.S. federal income tax on its income regardless of its source.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Non-U.S. Holder means a beneficial owner, other than an entity treated as a partnership for U.S. federal income tax purposes, of the Offered Securities that is for U.S. federal income tax purposes not a U.S. Holder. U.S. Holders and Non-U.S. Holders are collectively referred to herein as holders.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ARE URGED TO CONSULT THEIR TAX ADVISORS REGARDING THE PARTICULAR U.S. FEDERAL, STATE, AND LOCAL AND NON-U.S. TAX CONSEQUENCES TO THEM OF THE PURCHASE, OWNERSHIP AND DISPOSITION OF THE OFFERED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i/>
          <w:sz w:val="20"/>
        </w:rPr>
      </w:pPr>
      <w:r>
        <w:rPr>
          <w:rFonts w:ascii="Times New Roman" w:hAnsi="Times New Roman"/>
          <w:i/>
          <w:sz w:val="20"/>
        </w:rPr>
        <w:t xml:space="preserve">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We do not anticipate declaring or paying any cash dividends to holders of our common stock in the foreseeable future. If we make distributions of cash or other property on the Shares (other than certain distributions of stock),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Shares but not below zero. Any excess will be treated as capital gain and will be treated as described below under Sale or other taxable disposition of the Offered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offered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Shares, a U.S. Holder will generally recognize capital gain or loss equal to the difference between the amount of cash and the fair market value of any other property received upon the sale, exchange or other taxable disposition and such U.S. Holders adjusted tax basis in the Shares. This capital gain or loss will be long-term capital gain or loss if the U.S. Holders holding period in such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backup withholding and information reporting requirements may apply to distributions on the Shares and to the receipt of proceeds on the sale, exchange or other taxable disposition of the Offered Securities. Backup withholding (currently at a rate of 24 percent) may apply if a U.S. Holder fails to furnish its taxpayer identification number, a U.S. Holder fails to certify under penalties of perjury that such taxpayer identification number is correct and that such U.S. Holder is not subject to backup withholding (generally on a properly completed and duly executed IRS Form W-9), the applicable withholding agent is notified by the IRS that the U.S. Holder previously failed to properly report payments of interest or dividends, or such U.S. Holder otherwise fails to comply with the applicable requirements of the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Certain U.S. Holders generally are not subject to backup withholding and information reporting requirements, provided that their exemptions from backup withholding and information reporting are properly established. Backup withholding is not an additional tax. Any amounts withheld from a payment to a U.S. Holder under the backup withholding rules generally will be allowed as a credit against such U.S. Holders U.S. federal income tax liability and may entitle such U.S. Holder to a refund, provided the required information is furnished to the IRS in a timely manner. U.S. Holders should consult their tax advisors regarding the application of backup withholding, the availability of an exemption from backup withholding, and the procedure for obtaining such an exemption, if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w:t>
      </w:r>
    </w:p>
    <w:p>
      <w:pPr>
        <w:pStyle w:val="TextBody"/>
        <w:bidi w:val="0"/>
        <w:spacing w:before="120" w:after="0"/>
        <w:jc w:val="left"/>
        <w:rPr>
          <w:rFonts w:ascii="Times New Roman" w:hAnsi="Times New Roman"/>
          <w:sz w:val="20"/>
        </w:rPr>
      </w:pPr>
      <w:r>
        <w:rPr>
          <w:rFonts w:ascii="Times New Roman" w:hAnsi="Times New Roman"/>
          <w:sz w:val="20"/>
        </w:rPr>
        <w:t xml:space="preserve">As mentioned above, we do not anticipate declaring or paying any cash dividends to holders of our common stock in the foreseeable future. However, distributions of cash or other property (other than certain distributions of stock) on the Shares, as described above under Tax considerations applicable to U.S. Holders-Distributions on the Shares will constitute dividends to the extent paid out of our current or accumulated earnings and profits, as determined for U.S. federal income tax purposes. Distributions in excess of our current and accumulated earnings and profits will constitute a return of capital and first be applied against and reduce a Non-U.S. Holders adjusted tax basis in its Shares but not below zero. Any excess will be subject to the treatment as described below under Sale or other taxable disposition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not effectively connected with the Non-U.S. Holders conduct of a trade or business in the United States generally will be subject to withholding tax at a 30-percent rate or a reduced rate specified by an applicable income tax treaty. In order to obtain a reduced rate of withholding, the Non-U.S. Holder will be required to provide our or our paying agent with a properly executed applicable IRS Form W-8BEN or IRS Form W-8BEN-E (or appropriate successor form), as applicable, certifying under penalties of perjury that the Non-U.S. Holder is not a United States person and is eligible for the benefits under the applicable income tax treaty. These forms may need to be periodically updated. If a Non-U.S. Holder holds the Offered Securities through a financial institution or other intermediary, the Non-U.S. Holder generally will be required to provide the appropriate documentation to the financial institution or other intermediary. A Non-U.S. Holder eligible for a reduced rate of U.S. withholding tax pursuant to an applicable income tax treaty who fails to timely provide an IRS Form W-8BEN or W-8BEN-E (or appropriate successor form), as applicable, may obtain a refund of any excess amounts withheld by timely filing an appropriate claim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 States), the Non-U.S. Holder will generally be taxed on the dividends in the same manner as a U.S. Holder. In this case, the Non-U.S. Holder will be exempt from the withholding tax discussed in the preceding paragraph, although the Non-U.S. Holder will be required to provide a properly executed IRS Form W-8ECI (or appropriate successor form)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 to claim an exemption from withholding. Such effectively connected dividends, although not subject to U.S. federal withholding tax, are subject to U.S. federal income tax on a net income basis at the regular U.S. federal income tax rates generally applicable to U.S. Holders. Dividends received by a corporate Non-U.S. Holder that are effectively connected with such Non-U.S. Holders conduct of a trade or business in the United States (and, if required by an applicable income tax treaty, attributable to a permanent establishment or fixed base maintained by the Non-U.S. Holder in the United States) may be subject to an additional branch profits tax at a 30-percent rate (or such lower rate as may be specified by an applicable income tax treaty). Non-U.S. Holders should consult their tax advisors with respect to other U.S. tax consequences of the acquisition, ownership and disposition of the Offered Securities, including the possible imposition of the branch profits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Offered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Information Reporting and Backup Withholding and FATCA, a Non-U.S. Holder generally will not be subject to U.S. federal income or withholding tax on gain realized on a sale, exchange or other taxable disposition of the Offered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as defined in the Code, at any time within the five-year period ending on the date of disposition or the Non-U.S. Holders holding period, whichever period is shorter, and the Non-U.S. Holder is not eligible for an exemption under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it is not, and does not anticipate becoming, a United States real property holding corporation. Even if we are or have been a United States real property holding corporation during the specified testing period, as long as our common stock is regularly traded on an established securities market (such as The Nasdaq Global Market) at any time during the calendar year in which the disposition occurs, a Non-U.S. Holder will not be subject to U.S. federal income tax on the disposition of the Shares if the Non-U.S. Holder does not own or has not owned (actually or constructively) more than 5 percent of our common stock at any time during the shorter of the two periods mentioned above. Holders should consult their tax advisors regarding the application of this regularly traded exception.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Non-U.S. Holder recognizes gain on a sale, exchange or other taxable disposition of the Offered Securities that is effectively connected with the Non-U.S. Holders conduct of a trade or business in the United States (and if required by an applicable income tax treaty, is attributable to a permanent establishment or fixed base maintained by the Non-U.S. Holder in the United States), the Non-U.S. Holder will generally be subject to U.S. federal income tax at the regular U.S. federal income tax rates generally applicable to a United States person. If the Non-U.S. Holder is a corporation, the Non-U.S. Holder may also be subject to the branch profits tax at a 30-percent rate or such lower rate as may be specified by an applicable income tax treaty. Non-U.S. Holders should consult their tax advisors with respect to other U.S. tax consequences of the acquisition, ownership and disposition of the Offered Securities, including the possible imposition of the branch profits tax.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flat 30-percent rate (unless otherwise provided pursuant to an applicable income tax treaty) on gain recognized on a sale, exchange or other taxable disposition of the Offered Securities, but such gain may be offset by certain U.S.-source capital losses (even though the Non-U.S. Holder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distributions on the Shares. Copies of the information returns reporting those distributions and withholding may also be made available to the tax authorities in the country in which a Non-U.S. Holder is a resident under the provisions of an applicable income tax treaty or agreement. Unless a Non-U.S. Holder complies with certification procedures to establish that the Non-U.S. Holder is not a United States person, information returns may also be filed with the IRS in connection with the proceeds from a sale, exchange or other disposition of the Offered Securities to or through the U.S. office (and, in certain cases, the foreign office) of a broker.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may be subject to backup withholding (currently at a rate of 24 percent) on payments on the Offered Securities or on the proceeds from a sale, exchange or other disposition of the Offered Securities unless the Non-U.S. Holder complies with certification procedures to establish that the Non-U.S. Holder is not a United States person or otherwise establishes an exemption. Compliance with the certification procedures required to claim a reduced rate of withholding under a treaty (including properly certifying non-U.S. status on an IRS Form W-8BEN, IRS Form W-8BEN-E or other appropriate version of IRS Form W-8 (or appropriate successor form)) generally will satisfy the certification requirements necessary to avoid backup withholding as well. Notwithstanding the foregoing, U.S. federal backup withholding </w:t>
      </w:r>
      <w:r>
        <w:rPr>
          <w:rFonts w:ascii="Times New Roman" w:hAnsi="Times New Roman"/>
          <w:b/>
          <w:sz w:val="20"/>
        </w:rPr>
        <w:t xml:space="preserve">may </w:t>
      </w:r>
      <w:r>
        <w:rPr>
          <w:rFonts w:ascii="Times New Roman" w:hAnsi="Times New Roman"/>
          <w:sz w:val="20"/>
        </w:rPr>
        <w:t xml:space="preserve">apply if the payor has actual knowledge, or reason to know, that a Non-U.S. 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from a payment to a Non-U.S. Holder under the backup withholding rules generally will be allowed as a credit against such Non-U.S. Holders U.S. federal income tax liability and may entitle such Non-U.S. Holder to a refund, provided the required information is furnished to the IRS in a timely manner. Non-U.S. Holders are urged to consult their tax advisors regarding the application of backup withholding and the availability of and procedure for obtaining an exemption from backup withholding in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Code commonly referred to as FATCA require withholding of 30 percent on distributions on the Shares as well as payments of gross proceeds of dispositions of the Offered Securities, to a foreign financial institution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However, the IRS has issued proposed Treasury regulations that eliminate FATCA withholding on payments of gross proceeds (but not on payments of dividends). Pursuant to the preamble to the proposed Treasury regulations, any applicable withholding agent may (but is not required to) rely on this proposed change to FATCA withholding until final Treasury regulations are issued or the proposed Treasury regulations are withdrawn. An intergovernmental agreement between the United States and an applicable foreign country may modify these requirements. If FATCA withholding is imposed, a beneficial owner that is not a foreign financial institution generally may obtain a refund of any amounts withheld by filing a U.S. federal income tax return (which may entail significant administrative burden). Non-U.S. Holders should consult their tax advisors regarding the effects of FATCA on their investments in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not pay any additional amounts to Non-U.S. Holders with respect to any amounts withheld, including pursuant to FATCA. </w:t>
      </w:r>
    </w:p>
    <w:p>
      <w:pPr>
        <w:pStyle w:val="TextBody"/>
        <w:bidi w:val="0"/>
        <w:spacing w:before="240" w:after="0"/>
        <w:jc w:val="left"/>
        <w:rPr>
          <w:rFonts w:ascii="Times New Roman" w:hAnsi="Times New Roman"/>
          <w:sz w:val="20"/>
        </w:rPr>
      </w:pPr>
      <w:r>
        <w:rPr>
          <w:rFonts w:ascii="Times New Roman" w:hAnsi="Times New Roman"/>
          <w:sz w:val="20"/>
        </w:rPr>
        <w:t xml:space="preserve">THE PRECEDING DISCUSSION OF U.S. FEDERAL INCOME TAX CONSIDERATIONS IS FOR GENERAL INFORMATION ONLY. IT IS NOT TAX ADVICE. PROSPECTIVE INVESTORS SHOULD CONSULT THEIR TAX ADVISORS REGARDING THE PARTICULAR U.S. FEDERAL, STATE AND LOCAL AND NON-U.S. TAX CONSEQUENCES OF PURCHASING, HOLDING AND DISPOSING OF THE OFFERED SECURITIES,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toc783702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dated May 8, 2025, between us and Canaccord Genuity LLC (Canaccord Genuity), the sole bookrunner of this offering, we have agreed to sell to the underwriter, and the underwriter has agreed to purchase from us, the number of shares of common stock shown opposite its name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933"/>
        <w:gridCol w:w="359"/>
        <w:gridCol w:w="79"/>
        <w:gridCol w:w="1321"/>
        <w:gridCol w:w="63"/>
      </w:tblGrid>
      <w:tr>
        <w:trPr/>
        <w:tc>
          <w:tcPr>
            <w:tcW w:w="5933"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33" w:type="dxa"/>
            <w:tcBorders/>
            <w:vAlign w:val="bottom"/>
          </w:tcPr>
          <w:p>
            <w:pPr>
              <w:pStyle w:val="TableContents"/>
              <w:bidi w:val="0"/>
              <w:spacing w:before="0" w:after="283"/>
              <w:jc w:val="left"/>
              <w:rPr>
                <w:b/>
              </w:rPr>
            </w:pPr>
            <w:r>
              <w:rPr>
                <w:b/>
              </w:rPr>
              <w:t>UNDERWRITER</w:t>
            </w:r>
          </w:p>
        </w:tc>
        <w:tc>
          <w:tcPr>
            <w:tcW w:w="359" w:type="dxa"/>
            <w:tcBorders/>
            <w:vAlign w:val="bottom"/>
          </w:tcPr>
          <w:p>
            <w:pPr>
              <w:pStyle w:val="TableContents"/>
              <w:bidi w:val="0"/>
              <w:spacing w:before="0" w:after="283"/>
              <w:jc w:val="left"/>
              <w:rPr/>
            </w:pPr>
            <w:r>
              <w:rPr/>
              <w:t>  </w:t>
            </w:r>
          </w:p>
        </w:tc>
        <w:tc>
          <w:tcPr>
            <w:tcW w:w="1400" w:type="dxa"/>
            <w:gridSpan w:val="2"/>
            <w:tcBorders/>
            <w:vAlign w:val="bottom"/>
          </w:tcPr>
          <w:p>
            <w:pPr>
              <w:pStyle w:val="TableContents"/>
              <w:bidi w:val="0"/>
              <w:spacing w:before="0" w:after="283"/>
              <w:jc w:val="center"/>
              <w:rPr>
                <w:b/>
              </w:rPr>
            </w:pPr>
            <w:r>
              <w:rPr>
                <w:b/>
              </w:rPr>
              <w:t>NUMBER</w:t>
              <w:br/>
              <w:t>OF SHARES</w:t>
            </w:r>
          </w:p>
        </w:tc>
        <w:tc>
          <w:tcPr>
            <w:tcW w:w="63" w:type="dxa"/>
            <w:tcBorders/>
            <w:vAlign w:val="bottom"/>
          </w:tcPr>
          <w:p>
            <w:pPr>
              <w:pStyle w:val="TableContents"/>
              <w:bidi w:val="0"/>
              <w:spacing w:before="0" w:after="283"/>
              <w:jc w:val="left"/>
              <w:rPr/>
            </w:pPr>
            <w:r>
              <w:rPr/>
              <w:t> </w:t>
            </w:r>
          </w:p>
        </w:tc>
      </w:tr>
      <w:tr>
        <w:trPr/>
        <w:tc>
          <w:tcPr>
            <w:tcW w:w="5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Canaccord Genuity LLC</w:t>
            </w:r>
          </w:p>
        </w:tc>
        <w:tc>
          <w:tcPr>
            <w:tcW w:w="35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3,350,000</w:t>
            </w:r>
          </w:p>
        </w:tc>
        <w:tc>
          <w:tcPr>
            <w:tcW w:w="63" w:type="dxa"/>
            <w:tcBorders/>
            <w:shd w:fill="CCEEFF" w:val="clear"/>
            <w:vAlign w:val="bottom"/>
          </w:tcPr>
          <w:p>
            <w:pPr>
              <w:pStyle w:val="TableContents"/>
              <w:bidi w:val="0"/>
              <w:spacing w:before="0" w:after="283"/>
              <w:jc w:val="left"/>
              <w:rPr/>
            </w:pPr>
            <w:r>
              <w:rPr/>
              <w:t> </w:t>
            </w:r>
          </w:p>
        </w:tc>
      </w:tr>
      <w:tr>
        <w:trPr/>
        <w:tc>
          <w:tcPr>
            <w:tcW w:w="593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5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3,350,000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provides that the obligation of the underwriter is subject to certain conditions precedent such as the receipt by the underwriter of officers certificates and legal opinions and approval of certain legal matters by their counsel. The underwriting agreement provides that the underwriter will purchase all of the shares of common stock if any of them are purchased. If the underwriter defaults, the underwriting agreement provides that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 and certain of its controlling persons against certain liabilities, including liabilities under the Securities Act, and to contribute to payments that the underwriter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following the completion of this offering, it currently intends to make a market in the common stock as permitted by applicable laws and regulations. However, the underwriter is not obligated to do so, and the underwriter may discontinue any market-making activities at any time without notice in its sole discretion. Accordingly, no assurance can be given as to the liquidity of the trading market for the common stock, that you will be able to sell any of the common stock held by you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is offering the shares of common stock subject to its acceptance of the shares of common stock from us and subject to prior sale. The underwriter reserves the right to withdraw, cancel or modify offers to the public and to reject orders in whole or in part. In addition, the underwriter has advised us that it does not intend to confirm sales to any account over which it exercises discretionary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Commission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has advised us that it proposes to offer the shares of common stock to the public at the public offering price set forth on the cover page of this prospectus supplement and to certain dealers, which may include the underwriter, at that price less a concession not in excess of $0.189 per share of common stock. After the offering, the public offering price and concession may be reduced by the underwriter. No such reduction will change the amount of proceeds to be received by us as set forth on the cover page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public offering price, the underwriting discounts and commissions that we are to pay the underwriter and the proceeds, before expenses, to us in connection with this offering. Such amounts are shown assuming both no exercise and full exercise of the underwriters option to purchase additional shares of common stock.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182"/>
        <w:gridCol w:w="193"/>
        <w:gridCol w:w="172"/>
        <w:gridCol w:w="745"/>
        <w:gridCol w:w="60"/>
        <w:gridCol w:w="193"/>
        <w:gridCol w:w="154"/>
        <w:gridCol w:w="1551"/>
        <w:gridCol w:w="60"/>
        <w:gridCol w:w="193"/>
        <w:gridCol w:w="154"/>
        <w:gridCol w:w="1664"/>
        <w:gridCol w:w="67"/>
      </w:tblGrid>
      <w:tr>
        <w:trPr/>
        <w:tc>
          <w:tcPr>
            <w:tcW w:w="4182"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18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1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77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7" w:type="dxa"/>
            <w:tcBorders/>
            <w:vAlign w:val="bottom"/>
          </w:tcPr>
          <w:p>
            <w:pPr>
              <w:pStyle w:val="TableContents"/>
              <w:bidi w:val="0"/>
              <w:spacing w:before="0" w:after="283"/>
              <w:jc w:val="left"/>
              <w:rPr/>
            </w:pPr>
            <w:r>
              <w:rPr/>
              <w:t> </w:t>
            </w:r>
          </w:p>
        </w:tc>
      </w:tr>
      <w:tr>
        <w:trPr/>
        <w:tc>
          <w:tcPr>
            <w:tcW w:w="4182"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9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7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81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OPTION</w:t>
              <w:br/>
              <w:t>TO PURCHASE</w:t>
              <w:br/>
              <w:t>ADDITIONAL</w:t>
              <w:br/>
              <w:t>SHARES</w:t>
            </w:r>
          </w:p>
        </w:tc>
        <w:tc>
          <w:tcPr>
            <w:tcW w:w="67" w:type="dxa"/>
            <w:tcBorders/>
            <w:vAlign w:val="bottom"/>
          </w:tcPr>
          <w:p>
            <w:pPr>
              <w:pStyle w:val="TableContents"/>
              <w:bidi w:val="0"/>
              <w:spacing w:before="0" w:after="283"/>
              <w:jc w:val="left"/>
              <w:rPr/>
            </w:pPr>
            <w:r>
              <w:rPr/>
              <w:t> </w:t>
            </w:r>
          </w:p>
        </w:tc>
      </w:tr>
      <w:tr>
        <w:trPr/>
        <w:tc>
          <w:tcPr>
            <w:tcW w:w="4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19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5.25</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1" w:type="dxa"/>
            <w:tcBorders/>
            <w:shd w:fill="CCEEFF" w:val="clear"/>
            <w:vAlign w:val="bottom"/>
          </w:tcPr>
          <w:p>
            <w:pPr>
              <w:pStyle w:val="TableContents"/>
              <w:bidi w:val="0"/>
              <w:spacing w:before="0" w:after="283"/>
              <w:jc w:val="right"/>
              <w:rPr/>
            </w:pPr>
            <w:r>
              <w:rPr/>
              <w:t>17,587,500.00</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664" w:type="dxa"/>
            <w:tcBorders/>
            <w:shd w:fill="CCEEFF" w:val="clear"/>
            <w:vAlign w:val="bottom"/>
          </w:tcPr>
          <w:p>
            <w:pPr>
              <w:pStyle w:val="TableContents"/>
              <w:bidi w:val="0"/>
              <w:spacing w:before="0" w:after="283"/>
              <w:jc w:val="right"/>
              <w:rPr/>
            </w:pPr>
            <w:r>
              <w:rPr/>
              <w:t>20,225,625.00</w:t>
            </w:r>
          </w:p>
        </w:tc>
        <w:tc>
          <w:tcPr>
            <w:tcW w:w="67" w:type="dxa"/>
            <w:tcBorders/>
            <w:shd w:fill="CCEEFF" w:val="clear"/>
            <w:vAlign w:val="bottom"/>
          </w:tcPr>
          <w:p>
            <w:pPr>
              <w:pStyle w:val="TableContents"/>
              <w:bidi w:val="0"/>
              <w:spacing w:before="0" w:after="283"/>
              <w:jc w:val="left"/>
              <w:rPr/>
            </w:pPr>
            <w:r>
              <w:rPr/>
              <w:t> </w:t>
            </w:r>
          </w:p>
        </w:tc>
      </w:tr>
      <w:tr>
        <w:trPr/>
        <w:tc>
          <w:tcPr>
            <w:tcW w:w="4182"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 paid by us</w:t>
            </w:r>
          </w:p>
        </w:tc>
        <w:tc>
          <w:tcPr>
            <w:tcW w:w="193"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745" w:type="dxa"/>
            <w:tcBorders/>
            <w:vAlign w:val="bottom"/>
          </w:tcPr>
          <w:p>
            <w:pPr>
              <w:pStyle w:val="TableContents"/>
              <w:bidi w:val="0"/>
              <w:spacing w:before="0" w:after="283"/>
              <w:jc w:val="right"/>
              <w:rPr/>
            </w:pPr>
            <w:r>
              <w:rPr/>
              <w:t>0.315</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551" w:type="dxa"/>
            <w:tcBorders/>
            <w:vAlign w:val="bottom"/>
          </w:tcPr>
          <w:p>
            <w:pPr>
              <w:pStyle w:val="TableContents"/>
              <w:bidi w:val="0"/>
              <w:spacing w:before="0" w:after="283"/>
              <w:jc w:val="right"/>
              <w:rPr/>
            </w:pPr>
            <w:r>
              <w:rPr/>
              <w:t>1,055,250.00</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1664" w:type="dxa"/>
            <w:tcBorders/>
            <w:vAlign w:val="bottom"/>
          </w:tcPr>
          <w:p>
            <w:pPr>
              <w:pStyle w:val="TableContents"/>
              <w:bidi w:val="0"/>
              <w:spacing w:before="0" w:after="283"/>
              <w:jc w:val="right"/>
              <w:rPr/>
            </w:pPr>
            <w:r>
              <w:rPr/>
              <w:t>1,213,537.50</w:t>
            </w:r>
          </w:p>
        </w:tc>
        <w:tc>
          <w:tcPr>
            <w:tcW w:w="67" w:type="dxa"/>
            <w:tcBorders/>
            <w:vAlign w:val="bottom"/>
          </w:tcPr>
          <w:p>
            <w:pPr>
              <w:pStyle w:val="TableContents"/>
              <w:bidi w:val="0"/>
              <w:spacing w:before="0" w:after="283"/>
              <w:jc w:val="left"/>
              <w:rPr/>
            </w:pPr>
            <w:r>
              <w:rPr/>
              <w:t> </w:t>
            </w:r>
          </w:p>
        </w:tc>
      </w:tr>
      <w:tr>
        <w:trPr/>
        <w:tc>
          <w:tcPr>
            <w:tcW w:w="418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us, before expenses</w:t>
            </w:r>
          </w:p>
        </w:tc>
        <w:tc>
          <w:tcPr>
            <w:tcW w:w="193"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745" w:type="dxa"/>
            <w:tcBorders/>
            <w:shd w:fill="CCEEFF" w:val="clear"/>
            <w:vAlign w:val="bottom"/>
          </w:tcPr>
          <w:p>
            <w:pPr>
              <w:pStyle w:val="TableContents"/>
              <w:bidi w:val="0"/>
              <w:spacing w:before="0" w:after="283"/>
              <w:jc w:val="right"/>
              <w:rPr/>
            </w:pPr>
            <w:r>
              <w:rPr/>
              <w:t>4.935</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551" w:type="dxa"/>
            <w:tcBorders/>
            <w:shd w:fill="CCEEFF" w:val="clear"/>
            <w:vAlign w:val="bottom"/>
          </w:tcPr>
          <w:p>
            <w:pPr>
              <w:pStyle w:val="TableContents"/>
              <w:bidi w:val="0"/>
              <w:spacing w:before="0" w:after="283"/>
              <w:jc w:val="right"/>
              <w:rPr/>
            </w:pPr>
            <w:r>
              <w:rPr/>
              <w:t>16,532,250.00</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1664" w:type="dxa"/>
            <w:tcBorders/>
            <w:shd w:fill="CCEEFF" w:val="clear"/>
            <w:vAlign w:val="bottom"/>
          </w:tcPr>
          <w:p>
            <w:pPr>
              <w:pStyle w:val="TableContents"/>
              <w:bidi w:val="0"/>
              <w:spacing w:before="0" w:after="283"/>
              <w:jc w:val="right"/>
              <w:rPr/>
            </w:pPr>
            <w:r>
              <w:rPr/>
              <w:t>19,012,087.50</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net expenses payable by us in connection with this offering, other than the estimated underwriting discounts and commissions referred to above, will be approximately $365,000. We have agreed to reimburse the underwriter for certain of its expenses incurred in connection with this offering in an amount not to exceed $100,000 in the aggregate.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trading symbol XGN.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Stamp Taxes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shares of securities offered in this prospectus supplement, you may be required to pay stamp taxes and other charges under the laws and practices of the country of purchase, in addition to the offering price listed on the cover page of this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to the underwriter an option, exercisable for 30 days from the date of this prospectus supplement, to purchase, from time to time, in whole or in part, up to an aggregate of 502,500 shares from us at the public offering price set forth on the cover page of this prospectus supplement, less underwriting discounts and commissions. If the underwriter exercises this option, the underwriter will be obligated, subject to specified conditions, to purchase a number of additional shares proportionate to the underwriters initial purchase commitment as indicated in the table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our executive officers and our directors have agreed, subject to specified exceptions, not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or otherwise transfer or dispose of any shares of our common stock or any securities convertible into or exercisable or exchangeable for our common stock or file any registration statement under the Exchange Act with respect to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swap or any other agreement or any transaction that transfers, in whole or in part, the economic consequence of ownership of our common stock, whether any such swap or transaction described above is to be settled by delivery of our common stock or such other securities, in cash or otherwise;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publicly announce an intention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a period of 90 days after the date of this prospectus supplement without the prior written consent of Canaccord Genuity. For the avoidance of doubt, we shall not issue any common stock pursuant to that certain Sales Agreement, dated as of September 15, 2022, as amended on November 17, 2023, by and between us and TD Securities (USA) LLC, during this period. </w:t>
      </w:r>
    </w:p>
    <w:p>
      <w:pPr>
        <w:pStyle w:val="TextBody"/>
        <w:bidi w:val="0"/>
        <w:spacing w:before="240" w:after="0"/>
        <w:jc w:val="left"/>
        <w:rPr>
          <w:rFonts w:ascii="Times New Roman" w:hAnsi="Times New Roman"/>
          <w:sz w:val="20"/>
        </w:rPr>
      </w:pPr>
      <w:r>
        <w:rPr>
          <w:rFonts w:ascii="Times New Roman" w:hAnsi="Times New Roman"/>
          <w:sz w:val="20"/>
        </w:rPr>
        <w:t xml:space="preserve">This restriction terminates after the close of trading of the common stock on and including the 90th day after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Canaccord Genuity may, in their sole discretion and at any time or from time to time before the termination of the 90-day period release all or any portion of the securities subject to lock-up agreements. There are no existing agreements between the underwriter and any of our stockholders who will execute a lock-up agreement, providing consent to the sale of shares prior to the expiration of the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Stabilization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has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 </w:t>
      </w:r>
    </w:p>
    <w:p>
      <w:pPr>
        <w:pStyle w:val="TextBody"/>
        <w:bidi w:val="0"/>
        <w:spacing w:before="240" w:after="0"/>
        <w:jc w:val="left"/>
        <w:rPr>
          <w:rFonts w:ascii="Times New Roman" w:hAnsi="Times New Roman"/>
          <w:sz w:val="20"/>
        </w:rPr>
      </w:pPr>
      <w:r>
        <w:rPr>
          <w:rFonts w:ascii="Times New Roman" w:hAnsi="Times New Roman"/>
          <w:sz w:val="20"/>
        </w:rPr>
        <w:t xml:space="preserve">Covered short sales are sales made in an amount not greater than the underwriters option to purchase additional shares of our common stock in this offering. The underwriter may close out any covered short position by either exercising its option to purchase additional shares of our common stock or purchasing shares of our common stock in the open market. In determining the source of shares to close out the covered short position, the underwriter will consider, among other things, the price of shares available for purchase in the open market as compared to the price at which it may purchase shares through the option to purchase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Naked short sales are sales in excess of the option to purchase additional shares of our common stock. The underwriter must close out any naked short position by purchasing shares in the open market. A naked short position is more likely to be created if the underwriter is concerned that there may be downward pressure on the price of the shares of our common stock in the open market after pricing that could adversely affect investors who purchase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 stabilizing bid is a bid for the purchase of shares of common stock on behalf of the underwriter for the purpose of fixing or maintaining the price of the common stock. A syndicate covering transaction is the bid for or the purchase of shares of common stock on behalf of the underwriter to reduce a short position incurred by the underwriter in connection with the offering. Similar to other purchase transactions, the underwriters purchases to cover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 to reclaim the selling concession otherwise accruing in connection with the offering if the common stock originally sold are purchased in a covering transaction and therefore have not been effectively placed.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 make any representation or prediction as to the direction or magnitude of any effect that the transactions described above may have on the price of our common stock. The underwriter is not obligated to engage in these activities and, if commenced, any of the activities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A prospectus in electronic format may be made available by e-mail or on the web sites or through online services maintained by the underwriter or its affiliates. In those cases, prospective investors may view offering terms online and may be allowed to place orders online. The underwriter may agree with us to allocate a specific number of shares of common stock for sale to online brokerage account holders. Any such allocation for online distributions will be made by the underwriter on the same basis as other allocations. Other than the prospectus in electronic format, the information on the underwriters websites and any information contained in any other web site maintained by the underwriter is not part of this prospectus supplement, has not been approved and/or endorsed by us or the underwriter and should not be relied upon by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Other Activities and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it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its various business activities, the underwriter and certain of its affiliates may make or hold a broad array of investments and actively trade debt and equity securities (or related derivative securities) and financial instruments (including bank loans) for its own account and for the account of its respective customers, and such investment and securities activities may involve securities and/or instruments issued by us and our affiliates. If the underwriter or its affiliates have a lending relationship with us, it routinely hedges its credit exposure to us consistent with its customary risk management policies. The underwriter and its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Restrictions </w:t>
      </w:r>
    </w:p>
    <w:p>
      <w:pPr>
        <w:pStyle w:val="TextBody"/>
        <w:bidi w:val="0"/>
        <w:spacing w:before="12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securities have been offered or will be offered pursuant to the offering to the public in that Relevant Member State prior to the publication of a prospectus in relation to the securities which have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securities shall require the Company or any of the representative to publish a prospectus pursuant to Article 3 of the Prospectus Regulation or supplement a prospectus pursuant to Article 23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securities in any Relevant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w:t>
      </w:r>
    </w:p>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who receives any communication in respect of, or who acquires any securities under, the offering contemplated hereby will be deemed to have represented, warranted and agreed to and with the underwriter and its affiliates and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 qualified investor within the meaning of the Prospectus Regulation;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securities acquired by it as a financial intermediary, as that term is used in Article 5 of the Prospectus Regulation, (i) the securities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sole bookrunner has been given to the offer or resale; or (ii) where the securities have been acquired by it on behalf of persons in any Relevant Member State other than qualified investors, the offer of those securities to it is not treated under the Prospectus Regulation as having been made to such persons.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underwriter and its affiliates, and others will rely upon the truth and accuracy of the foregoing representation, acknowledgement and agreement. Notwithstanding the above, a person who is not a qualified investor and who has notified the joint book-running managers of such fact in writing may, with the prior consent of the joint book-running managers, be permitted to acquire securities in the offering. </w:t>
      </w:r>
    </w:p>
    <w:p>
      <w:pPr>
        <w:pStyle w:val="TextBody"/>
        <w:bidi w:val="0"/>
        <w:spacing w:before="240" w:after="0"/>
        <w:jc w:val="left"/>
        <w:rPr>
          <w:rFonts w:ascii="Times New Roman" w:hAnsi="Times New Roman"/>
          <w:sz w:val="20"/>
        </w:rPr>
      </w:pPr>
      <w:r>
        <w:rPr>
          <w:rFonts w:ascii="Times New Roman" w:hAnsi="Times New Roman"/>
          <w:sz w:val="20"/>
        </w:rPr>
        <w:t xml:space="preserve">This European Economic Area selling restriction is in addition to any other selling restrictions set out below.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the United Kingdom, no shares have been offered or will be offered pursuant to the offering to the public in the United Kingdom prior to the publication of a prospectus in relation to the shares which has been approved by the Financial Conduct Authority in accordance with the transition provisions in Regulation 74 of the Prospectus (Amendment etc.) (EU Exit) Regulations 2019, except that it may make an offer to the public in the United Kingdom of any shares at any time under the following exemptions under the UK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UK Prospectus Regulation), subject to obtaining the prior consent of the representative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c)</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shall require us or the underwriter to publish a prospectus pursuant to section 85 of the FSMA or supplement a prospectus pursuant to Article 23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entities or other persons falling within Article 49(2)(a) to (d)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Regulation (EU) 2017/1129 as it forms part of domestic law by virtue of the European Union (Withdrawal) Act 2018.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person in the UK who acquires any securities in the offer or to whom any offer is made will be deemed to have represented, acknowledged and agreed to and with us, the underwriter and its affiliates that it meets the criteria outlined in this section.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Bermuda </w:t>
      </w:r>
    </w:p>
    <w:p>
      <w:pPr>
        <w:pStyle w:val="TextBody"/>
        <w:bidi w:val="0"/>
        <w:spacing w:before="120" w:after="0"/>
        <w:jc w:val="left"/>
        <w:rPr>
          <w:rFonts w:ascii="Times New Roman" w:hAnsi="Times New Roman"/>
          <w:sz w:val="20"/>
        </w:rPr>
      </w:pPr>
      <w:r>
        <w:rPr>
          <w:rFonts w:ascii="Times New Roman" w:hAnsi="Times New Roman"/>
          <w:sz w:val="20"/>
        </w:rPr>
        <w:t xml:space="preserve">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 you confirm and warrant that you are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708(8)(a) or (b)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associated with the Company under Section 708(12) of the Corporations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investor within the meaning of section 708(11)(a) or (b) of the Corporations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you are unable to confirm or warrant that you are an exempt sophisticated investor, associated person or professional investor under the Corporations Act any offer made to you under this prospectus supplement is void and incapable of acceptance. </w:t>
      </w:r>
    </w:p>
    <w:p>
      <w:pPr>
        <w:pStyle w:val="TextBody"/>
        <w:bidi w:val="0"/>
        <w:spacing w:before="240" w:after="0"/>
        <w:jc w:val="left"/>
        <w:rPr>
          <w:rFonts w:ascii="Times New Roman" w:hAnsi="Times New Roman"/>
          <w:sz w:val="20"/>
        </w:rPr>
      </w:pPr>
      <w:r>
        <w:rPr>
          <w:rFonts w:ascii="Times New Roman" w:hAnsi="Times New Roman"/>
          <w:sz w:val="20"/>
        </w:rPr>
        <w:t xml:space="preserve">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and any rules made under that Ordinance; or in other circumstances which do not result in the document being a prospectus- as defined in the Companies Ordinance (Cap. 32) of Hong Kong or which do not constitute an offer or invitation to the public within the meaning of the Companies Ordinance (Cap. 32) or the Securities and Futures Ordinance (Cap. 571) of Hong Kong. No document, invitation or advertisement relating to the securities has been issued or may be issued or may be in the possession of any person for the purpose of issue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Securities and Futures Ordinance (Cap. 571) of Hong Kong and any rules made under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will be required, and is deemed by the acquisition of the securities, to confirm that he or she is aware of the restriction on offers of the securities described in this prospectus supplement and the relevant offering documents and that he is not acquiring, and has not been offered, any securities in circumstances that contravene any such restrictions.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offering has not been and will not be registered under the Financial Instruments and Exchange Law of Japan (Law No. 25 of 1948 of Japan, as amended) (FIEL), and the underwriter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 resident of Japan, except pursuant to an exemption from S-30 the registration requirements of and otherwise in compliance with, the FIEL and any other applicable laws, regulations and ministerial guidelines of Japan.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securities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SPA))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defined in Section 275(2) of the SFA,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32 of the Securities and Futures (Offers of Investments) (Shares and Debentures) Regulations 2005 of Singapore.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Singapore SPA Product ClassificationIn connection with Section 309B of the SPA and the Securities and Futures (Capital Markets Products) Regulations 2018 (the CMP Regulations 2018), we have determined, and hereby notify all relevant persons (as (termed in the CMP Regulations 2018), that the shares are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may not be publicly offered in Switzerland and will not be listed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i/>
          <w:sz w:val="20"/>
        </w:rPr>
      </w:pPr>
      <w:r>
        <w:rPr>
          <w:rFonts w:ascii="Times New Roman" w:hAnsi="Times New Roman"/>
          <w:i/>
          <w:sz w:val="20"/>
        </w:rPr>
        <w:t xml:space="preserve">(A) Resale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distribution of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(B) Representations of Canadian Purchasers </w:t>
      </w:r>
    </w:p>
    <w:p>
      <w:pPr>
        <w:pStyle w:val="TextBody"/>
        <w:bidi w:val="0"/>
        <w:spacing w:before="120" w:after="0"/>
        <w:jc w:val="left"/>
        <w:rPr>
          <w:rFonts w:ascii="Times New Roman" w:hAnsi="Times New Roman"/>
          <w:sz w:val="20"/>
        </w:rPr>
      </w:pPr>
      <w:r>
        <w:rPr>
          <w:rFonts w:ascii="Times New Roman" w:hAnsi="Times New Roman"/>
          <w:sz w:val="20"/>
        </w:rPr>
        <w:t xml:space="preserve">By purchasing securities in Canada and accepting delivery of a purchase confirmation, a purchaser is representing to us and the dealer from whom the purchase confirmation is received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is entitled under applicable provincial securities laws to purchase the securities without the benefit of a prospectus qualified under those securities laws as it is an accredited investor as defined under National Instrument 45-106Prospectus Exemptions or Section 73.3(1) of the </w:t>
            </w:r>
            <w:r>
              <w:rPr>
                <w:rFonts w:ascii="Times New Roman" w:hAnsi="Times New Roman"/>
                <w:b/>
                <w:i/>
                <w:sz w:val="20"/>
              </w:rPr>
              <w:t xml:space="preserve">Securities Act </w:t>
            </w:r>
            <w:r>
              <w:rPr>
                <w:rFonts w:ascii="Times New Roman" w:hAnsi="Times New Roman"/>
                <w:sz w:val="20"/>
              </w:rPr>
              <w:t xml:space="preserve">(Ontario),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is a permitted client as defined in National Instrument 31-103 Registration Requirements, Exemptions and Ongoing Registrant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required by law, the purchaser is purchasing as principal and not as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 has reviewed the text above under Resale Restrictions.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Canadian purchasers are hereby notified that the underwriter is relying on the exemption set out in section 3A.3 or 3A.4, if applicable, of National Instrument 33-105 Underwriting Conflicts from having to provide certain conflict of interest disclosure in this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(D) Statutory Rights of Action </w:t>
      </w:r>
    </w:p>
    <w:p>
      <w:pPr>
        <w:pStyle w:val="TextBody"/>
        <w:bidi w:val="0"/>
        <w:spacing w:before="12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 </w:t>
      </w:r>
    </w:p>
    <w:p>
      <w:pPr>
        <w:pStyle w:val="TextBody"/>
        <w:bidi w:val="0"/>
        <w:spacing w:before="360" w:after="0"/>
        <w:jc w:val="left"/>
        <w:rPr>
          <w:rFonts w:ascii="Times New Roman" w:hAnsi="Times New Roman"/>
          <w:i/>
          <w:sz w:val="20"/>
        </w:rPr>
      </w:pPr>
      <w:r>
        <w:rPr>
          <w:rFonts w:ascii="Times New Roman" w:hAnsi="Times New Roman"/>
          <w:i/>
          <w:sz w:val="20"/>
        </w:rPr>
        <w:t xml:space="preserve">(E) Enforcement of Legal Rights </w:t>
      </w:r>
    </w:p>
    <w:p>
      <w:pPr>
        <w:pStyle w:val="TextBody"/>
        <w:bidi w:val="0"/>
        <w:spacing w:before="120" w:after="0"/>
        <w:jc w:val="left"/>
        <w:rPr>
          <w:rFonts w:ascii="Times New Roman" w:hAnsi="Times New Roman"/>
          <w:sz w:val="20"/>
        </w:rPr>
      </w:pPr>
      <w:r>
        <w:rPr>
          <w:rFonts w:ascii="Times New Roman" w:hAnsi="Times New Roman"/>
          <w:sz w:val="20"/>
        </w:rPr>
        <w:t xml:space="preserve">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 </w:t>
      </w:r>
    </w:p>
    <w:p>
      <w:pPr>
        <w:pStyle w:val="TextBody"/>
        <w:bidi w:val="0"/>
        <w:spacing w:before="360" w:after="0"/>
        <w:jc w:val="left"/>
        <w:rPr>
          <w:rFonts w:ascii="Times New Roman" w:hAnsi="Times New Roman"/>
          <w:i/>
          <w:sz w:val="20"/>
        </w:rPr>
      </w:pPr>
      <w:r>
        <w:rPr>
          <w:rFonts w:ascii="Times New Roman" w:hAnsi="Times New Roman"/>
          <w:i/>
          <w:sz w:val="20"/>
        </w:rPr>
        <w:t xml:space="preserve">(F) Taxation and Eligibility for Investment </w:t>
      </w:r>
    </w:p>
    <w:p>
      <w:pPr>
        <w:pStyle w:val="TextBody"/>
        <w:bidi w:val="0"/>
        <w:spacing w:before="120" w:after="0"/>
        <w:jc w:val="left"/>
        <w:rPr>
          <w:rFonts w:ascii="Times New Roman" w:hAnsi="Times New Roman"/>
          <w:sz w:val="20"/>
        </w:rPr>
      </w:pPr>
      <w:r>
        <w:rPr>
          <w:rFonts w:ascii="Times New Roman" w:hAnsi="Times New Roman"/>
          <w:sz w:val="20"/>
        </w:rPr>
        <w:t xml:space="preserve">Canadian purchasers of securities should consult their own legal and tax advisors with respect to the tax consequences of an investment in the securities in their particular circumstances and about the eligibility of the securities for investment by the purchaser under relevant Canadian legislation.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our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Non-U.S. Legend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for use solely in connection with the proposed offering in certain jurisdictions. This prospectus supplement is not to be distributed in any other jurisdiction and is not to be used in connection with any offer of, or any invitation or solicitation by or on behalf of the Company to subscribe for or purchase, securities in any other jurisdiction. This prospectus supplement is personal to each offeree and does not constitute an offer to any person or to the public generally to subscribe for or otherwise acquire the securities. Distribution of this prospectus supplement to any person other than the prospective investor and any person retained to advise such prospective investor with respect to its purchase is unauthorized. </w:t>
      </w:r>
    </w:p>
    <w:p>
      <w:pPr>
        <w:pStyle w:val="TextBody"/>
        <w:bidi w:val="0"/>
        <w:spacing w:before="240" w:after="0"/>
        <w:jc w:val="left"/>
        <w:rPr>
          <w:rFonts w:ascii="Times New Roman" w:hAnsi="Times New Roman"/>
          <w:sz w:val="20"/>
        </w:rPr>
      </w:pPr>
      <w:r>
        <w:rPr>
          <w:rFonts w:ascii="Times New Roman" w:hAnsi="Times New Roman"/>
          <w:sz w:val="20"/>
        </w:rPr>
        <w:t xml:space="preserve">Delivery of this prospectus supplement shall not constitute an offer to sell or the solicitation of an offer to buy the securities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prospectus supplement in certain jurisdictions may be restricted by law. You must inform yourself about, and observe, any such restrictions. You must comply with all applicable laws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in force in any jurisdiction in which you purchase, offer or sell the securities or possess or distribute this prospectus supplement and must obtain any consent, approval or permission required for your purchase, offer or sale of the securities under the laws and regulations in force in any jurisdiction to which you are subject or in which you make such purchases, offers or sales. We and the underwriter are not making an offer of, or invitation to purchase, any of the securities to any person in any jurisdiction in which such offer or solicitation would be unlawful.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not been submitted to the review or registration procedures of any regulatory authority outside the United States. The offering of the securities pursuant to this prospectus supplement has not been approved or recommended by any governmental securities regulator.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toc783702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issuance of the securities offered by this prospectus supplement will be passed upon for us by Mintz, Levin, Cohn, Ferris, Glovsky and Popeo, P.C., San Diego, California. Certain legal matters in connection with this offering will be passed upon for the underwriter by Goodwin Procter LLP, New York, New York. </w:t>
      </w:r>
    </w:p>
    <w:p>
      <w:pPr>
        <w:pStyle w:val="TextBody"/>
        <w:bidi w:val="0"/>
        <w:spacing w:before="480" w:after="0"/>
        <w:jc w:val="center"/>
        <w:rPr>
          <w:rFonts w:ascii="Times New Roman" w:hAnsi="Times New Roman"/>
          <w:b/>
          <w:sz w:val="20"/>
        </w:rPr>
      </w:pPr>
      <w:bookmarkStart w:id="15" w:name="suptoc783702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Exagen Inc. as of December 31, 2024 and 2023, and for the years then ended incorporated by reference in this prospectus supplement, and in the registration statement have been so incorporated in reliance on the report of BDO USA, P.C., an independent registered public accounting firm, given on the authority of said firm as experts in auditing and accounting. </w:t>
      </w:r>
    </w:p>
    <w:p>
      <w:pPr>
        <w:pStyle w:val="TextBody"/>
        <w:bidi w:val="0"/>
        <w:spacing w:before="480" w:after="0"/>
        <w:jc w:val="center"/>
        <w:rPr>
          <w:rFonts w:ascii="Times New Roman" w:hAnsi="Times New Roman"/>
          <w:b/>
          <w:sz w:val="20"/>
        </w:rPr>
      </w:pPr>
      <w:bookmarkStart w:id="16" w:name="suptoc783702_14"/>
      <w:bookmarkEnd w:id="16"/>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subject to the reporting requirements of the Exchange Act, and in accordance therewith file periodic reports, proxy statements and other information with the SEC. Our SEC filings are available to you on the SECs website at http://www.sec.gov and in the Investors  SEC Filings section of our website at www.exagen.com. Our website and the information contained on that site, or connected to that site, are not incorporated into and are not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and the accompanying prospectus supersedes information incorporated by reference that we filed with the SEC prior to the date of this prospectus supplement, while information that we file later with the SEC will automatically update and supersede the information in this prospectus supplement and the accompanying prospectus. You should rely only on the information contained in this prospectus supplement or incorporated by reference herein or therein. We have not authorized anyone else to provide you with different information. We are not making an offer of these securities in any state where the offer is not permitted. You should not assume that the information in this prospectus supplement is accurate as of any date other than the date on the front page of this prospectus supplement, regardless of the time of delivery of this prospectus supplement or any sale of the securities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the accompanying prospectus and the registration statement of which this prospectus supplement and the accompanying prospectus form a part the information or documents listed below that we have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2024 filed with the SEC on </w:t>
            </w:r>
            <w:hyperlink r:id="rId3">
              <w:r>
                <w:rPr>
                  <w:rStyle w:val="InternetLink"/>
                  <w:rFonts w:ascii="Times New Roman" w:hAnsi="Times New Roman"/>
                  <w:sz w:val="20"/>
                </w:rPr>
                <w:t>March 11,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Form 10-Q for the quarter ended March 31, 2025, filed with the SEC on </w:t>
            </w:r>
            <w:hyperlink r:id="rId4">
              <w:r>
                <w:rPr>
                  <w:rStyle w:val="InternetLink"/>
                  <w:rFonts w:ascii="Times New Roman" w:hAnsi="Times New Roman"/>
                  <w:sz w:val="20"/>
                </w:rPr>
                <w:t>May 5,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2024 from our Definitive Proxy Statement on Schedule 14A, filed on </w:t>
            </w:r>
            <w:hyperlink r:id="rId5">
              <w:r>
                <w:rPr>
                  <w:rStyle w:val="InternetLink"/>
                  <w:rFonts w:ascii="Times New Roman" w:hAnsi="Times New Roman"/>
                  <w:sz w:val="20"/>
                </w:rPr>
                <w:t>April 30,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13, 2025</w:t>
              </w:r>
            </w:hyperlink>
            <w:r>
              <w:rPr>
                <w:rFonts w:ascii="Times New Roman" w:hAnsi="Times New Roman"/>
                <w:sz w:val="20"/>
              </w:rPr>
              <w:t xml:space="preserve">, </w:t>
            </w:r>
            <w:hyperlink r:id="rId7">
              <w:r>
                <w:rPr>
                  <w:rStyle w:val="InternetLink"/>
                  <w:rFonts w:ascii="Times New Roman" w:hAnsi="Times New Roman"/>
                  <w:sz w:val="20"/>
                </w:rPr>
                <w:t>March  11, 2025</w:t>
              </w:r>
            </w:hyperlink>
            <w:r>
              <w:rPr>
                <w:rFonts w:ascii="Times New Roman" w:hAnsi="Times New Roman"/>
                <w:sz w:val="20"/>
              </w:rPr>
              <w:t xml:space="preserve">, </w:t>
            </w:r>
            <w:hyperlink r:id="rId8">
              <w:r>
                <w:rPr>
                  <w:rStyle w:val="InternetLink"/>
                  <w:rFonts w:ascii="Times New Roman" w:hAnsi="Times New Roman"/>
                  <w:sz w:val="20"/>
                </w:rPr>
                <w:t>April  28, 2025</w:t>
              </w:r>
            </w:hyperlink>
            <w:r>
              <w:rPr>
                <w:rFonts w:ascii="Times New Roman" w:hAnsi="Times New Roman"/>
                <w:sz w:val="20"/>
              </w:rPr>
              <w:t xml:space="preserve"> and </w:t>
            </w:r>
            <w:hyperlink r:id="rId9">
              <w:r>
                <w:rPr>
                  <w:rStyle w:val="InternetLink"/>
                  <w:rFonts w:ascii="Times New Roman" w:hAnsi="Times New Roman"/>
                  <w:sz w:val="20"/>
                </w:rPr>
                <w:t>May 5, 2025</w:t>
              </w:r>
            </w:hyperlink>
            <w:r>
              <w:rPr>
                <w:rFonts w:ascii="Times New Roman" w:hAnsi="Times New Roman"/>
                <w:sz w:val="20"/>
              </w:rPr>
              <w:t xml:space="preserve"> (in each case other than any portions thereof deemed furnished and not filed);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our Annual Report on Form 10-K for the year ended December 31, 2024 filed with the SEC on </w:t>
            </w:r>
            <w:hyperlink r:id="rId10">
              <w:r>
                <w:rPr>
                  <w:rStyle w:val="InternetLink"/>
                  <w:rFonts w:ascii="Times New Roman" w:hAnsi="Times New Roman"/>
                  <w:sz w:val="20"/>
                </w:rPr>
                <w:t>March  11, 2025</w:t>
              </w:r>
            </w:hyperlink>
            <w:r>
              <w:rPr>
                <w:rFonts w:ascii="Times New Roman" w:hAnsi="Times New Roman"/>
                <w:sz w:val="20"/>
              </w:rPr>
              <w:t xml:space="preserve">, under the Exchange Act,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the termination of the offering of the shares of our securities made by this prospectus supplement and accompanying prospectus and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orally or in writing, a copy of any or all of the documents incorporated herein by reference. These documents will be provided to you at no cost, by calling us at (760) 560-1501 or by contacting: Exagen Inc., Attn: Corporate Secretary: 1261 Liberty Way, Vista, California 92081.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36"/>
        </w:rPr>
      </w:pPr>
      <w:r>
        <w:rPr>
          <w:rFonts w:ascii="Times New Roman" w:hAnsi="Times New Roman"/>
          <w:b/>
          <w:sz w:val="36"/>
        </w:rPr>
        <w:t xml:space="preserve">$150,000,000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508885" cy="917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2508885" cy="9175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up to $150.0 million in the aggregate of the securities identified above from time to time in one or more offerings. This prospectus provides you with a general description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the general terms of these securities and the general manner in which these securities will be offered. 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the documents we incorporate by reference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pPr>
      <w:r>
        <w:rPr>
          <w:rFonts w:ascii="Times New Roman" w:hAnsi="Times New Roman"/>
          <w:b/>
          <w:sz w:val="20"/>
        </w:rPr>
        <w:t>INVESTING IN OUR SECURITIES INVOLVES RISKS. SEE THE </w:t>
      </w:r>
      <w:hyperlink w:anchor="toc783702_13">
        <w:r>
          <w:rPr>
            <w:rStyle w:val="InternetLink"/>
            <w:rFonts w:ascii="Times New Roman" w:hAnsi="Times New Roman"/>
            <w:b/>
            <w:sz w:val="20"/>
          </w:rPr>
          <w:t>RISK FACTORS</w:t>
        </w:r>
      </w:hyperlink>
      <w:r>
        <w:rPr>
          <w:rFonts w:ascii="Times New Roman" w:hAnsi="Times New Roman"/>
          <w:b/>
          <w:sz w:val="20"/>
        </w:rPr>
        <w:t xml:space="preserve"> ON PAGE 4 OF THIS PROSPECTUS AND ANY SIMILAR SECTION CONTAINED IN THE APPLICABLE PROSPECTUS SUPPLEMENT CONCERNING FACTORS YOU SHOULD CONSIDER BEFORE INVESTING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XGN. On November 24, 2023, the last reported sale price of our common stock on The Nasdaq Global Market was $1.55 per share. On March 20, 2023, the date we filed our Annual Report on Form 10-K for the fiscal year ended December 31, 2022, our prospectus became subject to the offering limits in General Instruction I.B.6 of Form S-3. As of the date hereof, the aggregate market value of our common stock held by non-affiliates pursuant to General Instruction I.B.6 of Form S-3 is $30.7 million, which was calculated based on 12,832,888 shares of our common stock outstanding held by non-affiliates and a price of $2.39 per share, the closing price of our common stock on October 2, 2023. As of the date of this prospectus, we have not sold any securities pursuant to General Instruction I.B.6 of Form S-3 during the 12 calendar months prior to, and including, the date of this prospectus. Pursuant to General Instruction I.B.6 of Form S-3, in no event will we sell securities in public primary offerings on Form S-3 with a value exceeding more than one-third of our public float (as defined by General Instruction I.B.6) in any 12 calendar month period so long as our public float remains below $75 million.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November 29,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
              <w:r>
                <w:rPr>
                  <w:rStyle w:val="InternetLink"/>
                  <w:rFonts w:ascii="Times New Roman" w:hAnsi="Times New Roman"/>
                  <w:sz w:val="20"/>
                </w:rPr>
                <w:t>ABOUT THIS PROSPECTUS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2">
              <w:r>
                <w:rPr>
                  <w:rStyle w:val="InternetLink"/>
                  <w:rFonts w:ascii="Times New Roman" w:hAnsi="Times New Roman"/>
                  <w:sz w:val="20"/>
                </w:rPr>
                <w:t>PROSPECTUS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3">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4">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6">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7">
              <w:r>
                <w:rPr>
                  <w:rStyle w:val="InternetLink"/>
                  <w:rFonts w:ascii="Times New Roman" w:hAnsi="Times New Roman"/>
                  <w:sz w:val="20"/>
                </w:rPr>
                <w:t>DESCRIPTION OF CAPITAL STOCK</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8">
              <w:r>
                <w:rPr>
                  <w:rStyle w:val="InternetLink"/>
                  <w:rFonts w:ascii="Times New Roman" w:hAnsi="Times New Roman"/>
                  <w:sz w:val="20"/>
                </w:rPr>
                <w:t>DESCRIPTION OF DEBT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9">
              <w:r>
                <w:rPr>
                  <w:rStyle w:val="InternetLink"/>
                  <w:rFonts w:ascii="Times New Roman" w:hAnsi="Times New Roman"/>
                  <w:sz w:val="20"/>
                </w:rPr>
                <w:t>DESCRIPTION OF WARRANTS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0">
              <w:r>
                <w:rPr>
                  <w:rStyle w:val="InternetLink"/>
                  <w:rFonts w:ascii="Times New Roman" w:hAnsi="Times New Roman"/>
                  <w:sz w:val="20"/>
                </w:rPr>
                <w:t>DESCRIPTION OF UNITS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1">
              <w:r>
                <w:rPr>
                  <w:rStyle w:val="InternetLink"/>
                  <w:rFonts w:ascii="Times New Roman" w:hAnsi="Times New Roman"/>
                  <w:sz w:val="20"/>
                </w:rPr>
                <w:t>GLOBAL SECURITIES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2">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3">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4">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5">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toc783702_116">
              <w:r>
                <w:rPr>
                  <w:rStyle w:val="InternetLink"/>
                  <w:rFonts w:ascii="Times New Roman" w:hAnsi="Times New Roman"/>
                  <w:sz w:val="20"/>
                </w:rPr>
                <w:t>INCORPORATION OF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
              <w:r>
                <w:rPr>
                  <w:rStyle w:val="InternetLink"/>
                  <w:rFonts w:ascii="Times New Roman" w:hAnsi="Times New Roman"/>
                  <w:sz w:val="20"/>
                </w:rPr>
                <w:t xml:space="preserve">ABOUT THIS PROSPECTUS SUPPLEMENT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2">
              <w:r>
                <w:rPr>
                  <w:rStyle w:val="InternetLink"/>
                  <w:rFonts w:ascii="Times New Roman" w:hAnsi="Times New Roman"/>
                  <w:sz w:val="20"/>
                </w:rPr>
                <w:t>PROSPECTUS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5">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toc783702_12">
              <w:r>
                <w:rPr>
                  <w:rStyle w:val="InternetLink"/>
                  <w:rFonts w:ascii="Times New Roman" w:hAnsi="Times New Roman"/>
                  <w:sz w:val="20"/>
                </w:rPr>
                <w:t>INCORPORATION OF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S-36</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783702_1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$150.0 million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Exagen, we, our, us and the Company in this prospectus, we mean Exagen Inc., unless otherwise specified. When we refer to you, we mean the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use our trademarks in this prospectus as well as trademarks, tradenames and service marks that are the property of other organizations. Solely for convenience, certain trademarks and tradenames referred to in this prospectus appear without the ® and </w:t>
      </w:r>
      <w:r>
        <w:rPr>
          <w:rFonts w:ascii="Times New Roman" w:hAnsi="Times New Roman"/>
          <w:b/>
          <w:sz w:val="20"/>
        </w:rPr>
        <w:t>TM</w:t>
      </w:r>
      <w:r>
        <w:rPr>
          <w:rFonts w:ascii="Times New Roman" w:hAnsi="Times New Roman"/>
          <w:sz w:val="20"/>
        </w:rPr>
        <w:t xml:space="preserve">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18" w:name="toc783702_12"/>
      <w:bookmarkEnd w:id="18"/>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Exagen Inc.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exist to provide clarity in autoimmune disease decision making with the goal of improving patients clinical outcomes. We have developed and are commercializing a portfolio of innovative testing products under our AVISE® brand which demonstrate excellent quality and performance. We believe our focus on and experience in the field of rheumatology, combined with our commitment to excellent customer service and support, position us very well to respond to the needs of rheumatologists and the patients they 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Marketed under our AVISE® brand, our testing products allow for the differential diagnosis, prognosis and monitoring of complex autoimmune and autoimmune-related diseases, including systemic lupus erythematosus (SLE) and rheumatoid arthritis (RA). We commercially launched our lead testing product, AVISE® CTD, in 2012. AVISE® CTD enables differential diagnosis for patients presenting with symptoms indicative of a wide variety of connective tissue diseases (CTDs) and other related diseases with overlapping symptoms. There is an unmet need for rheumatologists to add clarity in their CTD clinical evaluation, and we believe there is a significant opportunity for our tests that enable the differential diagnosis of these diseases, particularly for potentially life-threatening diseases such as SLE.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perform all of our AVISE® tests in our approximately 13,000 square foot laboratory located in Vista, California, which is certified under the Clinical Laboratory Improvement Amendments of 1988, or CLIA, and accredited by the College of American Pathologist. Our laboratory is certified for performance of high-complexity testing by the Centers for Medicare &amp; Medicaid Services in accordance with CLIA and is licensed by all states requiring out-of-state licensure. Our clinical laboratory typically reports all AVISE® testing product results within five business days.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Additional Information </w:t>
      </w:r>
    </w:p>
    <w:p>
      <w:pPr>
        <w:pStyle w:val="TextBody"/>
        <w:bidi w:val="0"/>
        <w:spacing w:before="120" w:after="0"/>
        <w:jc w:val="left"/>
        <w:rPr/>
      </w:pPr>
      <w:r>
        <w:rPr>
          <w:rFonts w:ascii="Times New Roman" w:hAnsi="Times New Roman"/>
          <w:sz w:val="20"/>
          <w:bdr w:val="single" w:sz="8" w:space="1" w:color="000000"/>
        </w:rPr>
        <w:t>For additional information related to our business and operations, please refer to the reports incorporated herein by reference, as described under the caption </w:t>
      </w:r>
      <w:hyperlink w:anchor="toc783702_116">
        <w:r>
          <w:rPr>
            <w:rStyle w:val="InternetLink"/>
            <w:rFonts w:ascii="Times New Roman" w:hAnsi="Times New Roman"/>
            <w:sz w:val="20"/>
            <w:bdr w:val="single" w:sz="8" w:space="1" w:color="000000"/>
          </w:rPr>
          <w:t>Incorporation of Documents by Reference</w:t>
        </w:r>
      </w:hyperlink>
      <w:r>
        <w:rPr>
          <w:rFonts w:ascii="Times New Roman" w:hAnsi="Times New Roman"/>
          <w:sz w:val="20"/>
          <w:bdr w:val="single" w:sz="8" w:space="1" w:color="000000"/>
        </w:rPr>
        <w:t xml:space="preserve"> on page 33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In September 2019, we completed our initial public offering and in March 2021, we completed our secondary public offering. Our principal executive offices are located at 1261 Liberty Way, Vista, California 92081. Our telephone number is (760) 560-1501.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maintain a website at </w:t>
      </w:r>
      <w:r>
        <w:rPr>
          <w:rFonts w:ascii="Times New Roman" w:hAnsi="Times New Roman"/>
          <w:i/>
          <w:sz w:val="20"/>
          <w:bdr w:val="single" w:sz="8" w:space="1" w:color="000000"/>
        </w:rPr>
        <w:t>http://www.exagen.com</w:t>
      </w:r>
      <w:r>
        <w:rPr>
          <w:rFonts w:ascii="Times New Roman" w:hAnsi="Times New Roman"/>
          <w:sz w:val="20"/>
          <w:bdr w:val="single" w:sz="8" w:space="1" w:color="000000"/>
        </w:rPr>
        <w:t xml:space="preserve"> to which we regularly post copies of our press releases as well as additional information about us. The information contained on, or that can be accessed through, our website is not a part of this prospectus. We have included our website address in this prospectus solely as an inactive textual reference.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Annual Reports on Form 10-K, Quarterly Reports on Form 10-Q, Current Reports on Form 8-K and all amendments to those reports filed or furnished pursuant to Section 13(a) or 15(d) of the Securities Exchange Act of 1934, as amended are available free of charge through the investor relations page of our website as soon as reasonably practicable after we electronically file such material with, or furnish it to, the SEC.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brand names or trademarks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Offerings Under This Prospectus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this prospectus, we may offer shares of our common stock or preferred stock, various series of debt securities and/or warrants to purchase any of such securities, either individually or in units, with a total aggregate offering price of up to $150.0 million,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designation or classification;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aggregate principal amount or aggregate offering price;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maturity, if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rates and times of payment of interest or dividends,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conversion or sinking fund terms, if 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or other rights,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conversion or exercise prices, if any.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those agents or underwriters;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fees, discounts and commissions to be paid to them;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details regarding over-allotment options, if any;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w:t>
            </w:r>
          </w:p>
        </w:tc>
      </w:tr>
    </w:tbl>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This prospectus may not be used to consummate a sale of any securities unless it is accompanied by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783702_13"/>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a high degree of risk. You should carefully consider the risk factors incorporated by reference to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such securities. The occurrence of any of these risks might cause you to lose all or part of your investment in the offered securities. Additional risks and uncertainties that we do not presently know or that we currently deem immaterial may also have a material adverse effect on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oc783702_14"/>
      <w:bookmarkEnd w:id="20"/>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documents incorporated by reference herein and therein, and any free writing prospectus that we have authorized for use in connection with this offering, contain forward-looking statements within the meaning of Section 27A of the Securities Act of 1933, as amended, or Securities Act, and Section 21E of the Securities Exchange Act of 1934, as amended, or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words believe, may, will, potentially, estimate, continue, anticipate, intend, could, would, project, plan, expect, possible, likely, probable, and similar expressions that convey uncertainty of future events or outcomes identify forward-looking statements. These statements include, among other things,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 history of losses, we expect to incur net losses in the future and we may not be able to generate sufficient revenue to achieve and maintain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near-term, we expect that our financial results will depend primarily on sales of our testing products, and we will need to generate sufficient revenue from these testing products to grow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manage our ongoing growth effectively, which could make it difficult to execute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 success depends on attaining and maintaining significant market acceptance of our testing products and promoted therapeutics among rheumatologists, patients, third-party payors and others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sole suppliers for some of the reagents, equipment and other materials used in our testing products, and we may not be able to fund replacements or transition to alternative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support demand for our current testing products or any of our future testing products or solutions, our business could suffer;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gross margins and commercial success could be materially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compete successfully, we may be unable to increase or sustain our revenue or achieve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new testing products involves a lengthy and complex process, and we may not be able to commercialize on a timely basis, or at all, other testing products we are developing;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sole laboratory facility becomes damaged or inoperable, we are required to vacate our existing facility or we are unable to expand our existing facility as needed, we will be unable to perform our testing services and our business will be harmed and, in addition, we are in the process of converting warehouse space into additional laboratory facilities, but this may not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conduct business in a heavily regulated industry. Complying with the numerous statutes and regulations pertaining to our business is expensive and time-consuming, and any failure by us, our consultants or commercial partners to comply could result in substantial penalties;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intellectual property protection our competitive position could be harmed;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comply with our obligations in the agreements under which we license intellectual property rights from third parties or otherwise experience disruptions to our business relationships with our licensors, we could lose license rights that are important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the above factors and other future events on the market price of our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use of proceeds from this offering, if 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forward-looking statements in this prospectus supplement and the accompanying prospectus, including the documents incorporated by reference herein and therein, and in any free writing prospectus that we have authorized for use in connection with this offering,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Risk Factors contained in this prospectus supplement, the accompanying prospectus and any related free writing prospectus, and under similar headings in the other documents that are incorporated by reference into this prospectus supplement and the accompanying prospectus, including our most recent annual report on Form 10-K and quarterly reports on Form 10-Q, as well as any amendments thereto reflected in subsequent filings with the SEC. Readers are urged not to place undue reliance on these forward-looking statements, which speak only as of the date made. We file reports with the SEC, and our electronic filings with the SEC (including our annual reports on Form 10-K, quarterly reports on Form 10-Q and current reports on Form 8-K, and any amendments to these reports) are available free of charge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to revise or update any forward-looking statements in order to reflect any event or circumstance that may arise after the date of this prospectus supplement, except as required by law. Readers are urged to carefully review and consider the various disclosures made throughout the entirety of this prospectus supplement, the accompanying prospectus and any related free writing prospectus, and the documents incorporated by reference into this prospectus supplement and the accompanying prospectus, which disclosures are designed to advise interested parties of the risks and factors that may affect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783702_1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783702_16"/>
      <w:bookmarkEnd w:id="22"/>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intend to retain future earnings, if any, to finance the operation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and security agreement, as amended, with Innovatus Life Science Lending Fund I, 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783702_17"/>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or the Certificate of Incorporation, and amended and restated bylaws, or the Bylaws, which are filed as exhibits to our most recent Annual Report on Form 10-K and are incorporated by reference herein. We encourage you to read our Certificate of Incorporation and our Bylaws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200,000,000 shares of common stock, $0.001 par value per share, and 10,000,000 shares of preferred stock, $0.001 par value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2023, there were 16,931,894 shares of our common stock issued and outstanding and held of record by 33 stockholders.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Certificate of Incorporation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6200 S. Quebec St., Greenwood Village, CO 80111. </w:t>
      </w:r>
    </w:p>
    <w:p>
      <w:pPr>
        <w:pStyle w:val="TextBody"/>
        <w:bidi w:val="0"/>
        <w:spacing w:before="360" w:after="0"/>
        <w:jc w:val="left"/>
        <w:rPr>
          <w:rFonts w:ascii="Times New Roman" w:hAnsi="Times New Roman"/>
          <w:b/>
          <w:sz w:val="20"/>
        </w:rPr>
      </w:pPr>
      <w:r>
        <w:rPr>
          <w:rFonts w:ascii="Times New Roman" w:hAnsi="Times New Roman"/>
          <w:b/>
          <w:sz w:val="20"/>
        </w:rPr>
        <w:t xml:space="preserve">Stock 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for trading on Nasdaq under the symbol XGN.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2023, there were no shares of our preferred stock outstanding. Under the terms of our Certificate of Incorporation, our board of directors has the authority, without further action by our stockholders, to issue up to 10,000,000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Prior to the issuance of shares of each series, the board of directors is required by the General Corporation Law of the State of Delaware, or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dividend rights, conversion rights, redemption privileges and liquidation preferences. </w:t>
      </w:r>
    </w:p>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offered by this prospectus will, when issued, be fully paid and nonassessable and will not have any preemptive or similar rights.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relating to the class or series of preferred stock being offered the following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preferred stock offered, the liquidation preference per share and the offering price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or payment date(s) or method(s) of calculation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are cumulative or non-cumulative and, if cumulative, the date from which dividends on the preferred stock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for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redemption, if applicable,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applicable, upon which the preferred stock will be convertible into common stock, including the conversion price or manner of calculation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or special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the liquidation, dissolution or winding up of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class or series of preferred stock as to dividend rights and rights upon liquidation, dissolution or winding up of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limitations or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specify otherwise in the applicable prospectus supplement, the preferred stock will rank, relating to dividends and upon our liquidation, dissolution or winding 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senior to all classes or series of our common stock and to all of our equity securities ranking junior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 parity with all of our equity securities the terms of which specifically provide that the equity securities rank on a parity with the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junior to all of our equity securities the terms of which specifically provide that the equity securities rank senior to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2023, 1,214,059 shares of our common stock were issuable upon exercise of outstanding warrants to purchase common stock with a weighted average exercise price of $1.70 per share. </w:t>
      </w:r>
    </w:p>
    <w:p>
      <w:pPr>
        <w:pStyle w:val="TextBody"/>
        <w:bidi w:val="0"/>
        <w:spacing w:before="240" w:after="0"/>
        <w:jc w:val="left"/>
        <w:rPr>
          <w:rFonts w:ascii="Times New Roman" w:hAnsi="Times New Roman"/>
          <w:sz w:val="20"/>
        </w:rPr>
      </w:pPr>
      <w:r>
        <w:rPr>
          <w:rFonts w:ascii="Times New Roman" w:hAnsi="Times New Roman"/>
          <w:sz w:val="20"/>
        </w:rPr>
        <w:t xml:space="preserve">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We are party to an investors rights agreement between certain common stockholders and holders of warrants to purchase shares of common stock, pursuant to which those holders are, as of the date of this prospectus, entitled to certain piggyback and demand registration rights with respect to the registration of such shares under the Securities Act. We filed a registration statement on Form S-3 with the SEC on November 10, 2020 in connection with these obligations. In connection with the registration rights, we are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Certificate of Incorporation and our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that stockholders may otherwise consider to be in their best interest or in our best interests,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a special meeting of stockholders may be called only by our chairman of the board, chief executive officer or president, or by a resolution adopted by a majority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Requirements for Advance Notification of Stockholder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Elimination of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eliminate the right of stockholders to act by written consent without a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Staggered Board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Not Entitled to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Delaware Anti-Takeover Statute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Certificate of Incorporation or Bylaws; (iv) any action to interpret, apply, enforce or determine the validity of our Certificate of Incorporation or Bylaws; or (v) any action asserting a claim governed by the internal affairs doctrine. This exclusive forum provision would not apply to suits brought to enforce any liability or duty created by the Securities Act or the Exchange Act or any other claim for which the federal courts have exclusive jurisdiction. Our Bylaws provide that, unless we consent in writing to the selection of an alternative forum, the federal district courts of the United States of America shall be the sole and exclusive forum for the resolution of any complaint asserting a cause of action arising under the Securities Act. To the extent that any such claims may be based upon federal law claims, Section 27 of the Exchange Act creates exclusive federal jurisdiction over all suits brought to enforce any duty or liability created by the Exchange Act or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Certificate of Incorporation and Bylaws also provide that any person or entity purchasing or otherwise acquiring any interest in shares of our capital stock will be deemed to have notice of and to have consented to this choice of forum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Charter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783702_18"/>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named in the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on a particular series of debt securities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debt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the terms and conditions upon which the debt securities of a particular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and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and premium, if any, and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below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premium, if any,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i/>
          <w:sz w:val="20"/>
        </w:rPr>
        <w:t>Certificated Debt Securities.</w:t>
      </w:r>
      <w:r>
        <w:rPr>
          <w:rFonts w:ascii="Times New Roman" w:hAnsi="Times New Roman"/>
          <w:sz w:val="20"/>
        </w:rPr>
        <w:t xml:space="preserve">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the section entitled Global Securities for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or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corporation or the successor person (if other than Exagen) is a corporation organized and validly existing under the laws of any U.S. domestic jurisdiction and expressly assumes our obligations on the debt securities and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conditions are met.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debt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or any debt security (other than a covenant or warranty that has been included in the indenture solely for the benefit of a series of debt securities other than that series), which default continues uncured for a period of 60 days after we receive written notice from the trustee or Exagen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Exagen;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Event of Default within 30 days of becoming aware of the occurrence of such Event of Default, which notice will describe in reasonable detail the status of such Event of Default and what action we are taking or propose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If an Event of Default occurs and is continuing with respect to the securities of any series and if it is known to a responsible officer of the trustee, the trustee shall mail to each holder of the securities of that series notice of an Event of Default within 90 days after it occurs or, if later, after a responsible officer of the trustee has knowledge of such Event of Default. The indenture provides that the trustee may withhold notice to the holders of debt securities of any series of any Event of Default (except in payment on any debt securities of that series) with respect to debt securities of that series if the trustee determines in good faith that withholding notice is in the interest of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of 1939, as amended.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an Event of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 xml:space="preserve">Legal Defeasance. </w:t>
      </w:r>
      <w:r>
        <w:rPr>
          <w:rFonts w:ascii="Times New Roman" w:hAnsi="Times New Roman"/>
          <w:sz w:val="20"/>
        </w:rPr>
        <w:t xml:space="preserve">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 xml:space="preserve">Defeasance of Certain Covenants. </w:t>
      </w:r>
      <w:r>
        <w:rPr>
          <w:rFonts w:ascii="Times New Roman" w:hAnsi="Times New Roman"/>
          <w:sz w:val="20"/>
        </w:rPr>
        <w:t xml:space="preserve">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that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or a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debt securities, will be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783702_19"/>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is subject to, and qualified in its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receive notice as stockholders with respect to any meeting of stockholders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any rights as stockholders of Exagen.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warrants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783702_110"/>
      <w:bookmarkEnd w:id="26"/>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Unit Agent </w:t>
      </w:r>
    </w:p>
    <w:p>
      <w:pPr>
        <w:pStyle w:val="TextBody"/>
        <w:bidi w:val="0"/>
        <w:spacing w:before="120" w:after="0"/>
        <w:jc w:val="left"/>
        <w:rPr>
          <w:rFonts w:ascii="Times New Roman" w:hAnsi="Times New Roman"/>
          <w:sz w:val="20"/>
        </w:rPr>
      </w:pPr>
      <w:r>
        <w:rPr>
          <w:rFonts w:ascii="Times New Roman" w:hAnsi="Times New Roman"/>
          <w:sz w:val="20"/>
        </w:rPr>
        <w:t xml:space="preserve">The name and address of the unit agent for any units we offer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such numerous distinct series as we determine.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bidi w:val="0"/>
        <w:spacing w:before="120" w:after="0"/>
        <w:jc w:val="left"/>
        <w:rPr>
          <w:rFonts w:ascii="Times New Roman" w:hAnsi="Times New Roman"/>
          <w:sz w:val="20"/>
        </w:rPr>
      </w:pPr>
      <w:r>
        <w:rPr>
          <w:rFonts w:ascii="Times New Roman" w:hAnsi="Times New Roman"/>
          <w:sz w:val="20"/>
        </w:rPr>
        <w:t xml:space="preserve">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783702_111"/>
      <w:bookmarkEnd w:id="27"/>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or Clearstream, or Euroclear Bank S.A./N.V., as operator of the Euroclear System, or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sz w:val="20"/>
        </w:rPr>
      </w:pPr>
      <w:r>
        <w:rPr>
          <w:rFonts w:ascii="Times New Roman" w:hAnsi="Times New Roman"/>
          <w:b/>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783702_112"/>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before="240" w:after="0"/>
        <w:jc w:val="left"/>
        <w:rPr>
          <w:rFonts w:ascii="Times New Roman" w:hAnsi="Times New Roman"/>
          <w:sz w:val="20"/>
        </w:rPr>
      </w:pPr>
      <w:r>
        <w:rPr>
          <w:rFonts w:ascii="Times New Roman" w:hAnsi="Times New Roman"/>
          <w:sz w:val="20"/>
        </w:rPr>
        <w:t xml:space="preserve">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783702_113"/>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Mintz, Levin, Cohn, Ferris, Glovsky and Popeo, P.C. will pass upon the validity of the issuance of the securities to be offered by this prospectus. Additional legal matters may be passed upon for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30" w:name="toc783702_114"/>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as of December 31, 2022 and 2021 and for the years then ended incorporated by reference in this prospectus and in the registration statement have been so incorporated in reliance on the report of BDO USA, LLP (n/k/a BDO USA, P.C.), an independent registered public accounting firm, incorporated herein by reference, given on the authority of said firm as experts in auditing and accounting. </w:t>
      </w:r>
    </w:p>
    <w:p>
      <w:pPr>
        <w:pStyle w:val="TextBody"/>
        <w:bidi w:val="0"/>
        <w:spacing w:before="480" w:after="0"/>
        <w:jc w:val="center"/>
        <w:rPr>
          <w:rFonts w:ascii="Times New Roman" w:hAnsi="Times New Roman"/>
          <w:b/>
          <w:sz w:val="20"/>
        </w:rPr>
      </w:pPr>
      <w:bookmarkStart w:id="31" w:name="toc783702_115"/>
      <w:bookmarkEnd w:id="31"/>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t>
      </w:r>
      <w:r>
        <w:rPr>
          <w:rFonts w:ascii="Times New Roman" w:hAnsi="Times New Roman"/>
          <w:i/>
          <w:sz w:val="20"/>
        </w:rPr>
        <w:t>http://www.exagen.com.</w:t>
      </w:r>
      <w:r>
        <w:rPr>
          <w:rFonts w:ascii="Times New Roman" w:hAnsi="Times New Roman"/>
          <w:sz w:val="20"/>
        </w:rPr>
        <w:t xml:space="preserve">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oc783702_116"/>
      <w:bookmarkEnd w:id="32"/>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This prospectus and any accompanying prospectus supplement incorporate by reference the documents set forth below that have previously been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Form 10-K for the year ended December 31, 2022, filed with the SEC on </w:t>
            </w:r>
            <w:hyperlink r:id="rId12">
              <w:r>
                <w:rPr>
                  <w:rStyle w:val="InternetLink"/>
                  <w:rFonts w:ascii="Times New Roman" w:hAnsi="Times New Roman"/>
                  <w:sz w:val="20"/>
                </w:rPr>
                <w:t>March 20, 2023</w:t>
              </w:r>
            </w:hyperlink>
            <w:r>
              <w:rPr>
                <w:rFonts w:ascii="Times New Roman" w:hAnsi="Times New Roman"/>
                <w:sz w:val="20"/>
              </w:rPr>
              <w:t xml:space="preserve">, including the information incorporated by reference into our Annual Report on Form 10-K from our definitive proxy statement for our 2023 Annual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our Quarterly Report on Form 10-Q for the quarter ended March 31, 2023, June 30, 2023 and September 30, 2023 filed with the SEC on </w:t>
            </w:r>
            <w:hyperlink r:id="rId13">
              <w:r>
                <w:rPr>
                  <w:rStyle w:val="InternetLink"/>
                  <w:rFonts w:ascii="Times New Roman" w:hAnsi="Times New Roman"/>
                  <w:sz w:val="20"/>
                </w:rPr>
                <w:t>May  15, 2023</w:t>
              </w:r>
            </w:hyperlink>
            <w:r>
              <w:rPr>
                <w:rFonts w:ascii="Times New Roman" w:hAnsi="Times New Roman"/>
                <w:sz w:val="20"/>
              </w:rPr>
              <w:t xml:space="preserve">, </w:t>
            </w:r>
            <w:hyperlink r:id="rId14">
              <w:r>
                <w:rPr>
                  <w:rStyle w:val="InternetLink"/>
                  <w:rFonts w:ascii="Times New Roman" w:hAnsi="Times New Roman"/>
                  <w:sz w:val="20"/>
                </w:rPr>
                <w:t>August  7, 2023</w:t>
              </w:r>
            </w:hyperlink>
            <w:r>
              <w:rPr>
                <w:rFonts w:ascii="Times New Roman" w:hAnsi="Times New Roman"/>
                <w:sz w:val="20"/>
              </w:rPr>
              <w:t xml:space="preserve"> and </w:t>
            </w:r>
            <w:hyperlink r:id="rId15">
              <w:r>
                <w:rPr>
                  <w:rStyle w:val="InternetLink"/>
                  <w:rFonts w:ascii="Times New Roman" w:hAnsi="Times New Roman"/>
                  <w:sz w:val="20"/>
                </w:rPr>
                <w:t>November 13, 2023</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6">
              <w:r>
                <w:rPr>
                  <w:rStyle w:val="InternetLink"/>
                  <w:rFonts w:ascii="Times New Roman" w:hAnsi="Times New Roman"/>
                  <w:sz w:val="20"/>
                </w:rPr>
                <w:t>January 9, 2023</w:t>
              </w:r>
            </w:hyperlink>
            <w:r>
              <w:rPr>
                <w:rFonts w:ascii="Times New Roman" w:hAnsi="Times New Roman"/>
                <w:sz w:val="20"/>
              </w:rPr>
              <w:t xml:space="preserve">,  </w:t>
            </w:r>
            <w:hyperlink r:id="rId17">
              <w:r>
                <w:rPr>
                  <w:rStyle w:val="InternetLink"/>
                  <w:rFonts w:ascii="Times New Roman" w:hAnsi="Times New Roman"/>
                  <w:sz w:val="20"/>
                </w:rPr>
                <w:t>January 23, 2023</w:t>
              </w:r>
            </w:hyperlink>
            <w:r>
              <w:rPr>
                <w:rFonts w:ascii="Times New Roman" w:hAnsi="Times New Roman"/>
                <w:sz w:val="20"/>
              </w:rPr>
              <w:t xml:space="preserve">,  </w:t>
            </w:r>
            <w:hyperlink r:id="rId18">
              <w:r>
                <w:rPr>
                  <w:rStyle w:val="InternetLink"/>
                  <w:rFonts w:ascii="Times New Roman" w:hAnsi="Times New Roman"/>
                  <w:sz w:val="20"/>
                </w:rPr>
                <w:t>March 23, 2023</w:t>
              </w:r>
            </w:hyperlink>
            <w:r>
              <w:rPr>
                <w:rFonts w:ascii="Times New Roman" w:hAnsi="Times New Roman"/>
                <w:sz w:val="20"/>
              </w:rPr>
              <w:t xml:space="preserve">,  </w:t>
            </w:r>
            <w:hyperlink r:id="rId19">
              <w:r>
                <w:rPr>
                  <w:rStyle w:val="InternetLink"/>
                  <w:rFonts w:ascii="Times New Roman" w:hAnsi="Times New Roman"/>
                  <w:sz w:val="20"/>
                </w:rPr>
                <w:t>May  4, 2023</w:t>
              </w:r>
            </w:hyperlink>
            <w:r>
              <w:rPr>
                <w:rFonts w:ascii="Times New Roman" w:hAnsi="Times New Roman"/>
                <w:sz w:val="20"/>
              </w:rPr>
              <w:t xml:space="preserve">, </w:t>
            </w:r>
            <w:hyperlink r:id="rId20">
              <w:r>
                <w:rPr>
                  <w:rStyle w:val="InternetLink"/>
                  <w:rFonts w:ascii="Times New Roman" w:hAnsi="Times New Roman"/>
                  <w:sz w:val="20"/>
                </w:rPr>
                <w:t>June  14, 2023</w:t>
              </w:r>
            </w:hyperlink>
            <w:r>
              <w:rPr>
                <w:rFonts w:ascii="Times New Roman" w:hAnsi="Times New Roman"/>
                <w:sz w:val="20"/>
              </w:rPr>
              <w:t xml:space="preserve">, </w:t>
            </w:r>
            <w:hyperlink r:id="rId21">
              <w:r>
                <w:rPr>
                  <w:rStyle w:val="InternetLink"/>
                  <w:rFonts w:ascii="Times New Roman" w:hAnsi="Times New Roman"/>
                  <w:sz w:val="20"/>
                </w:rPr>
                <w:t>July  24, 2023</w:t>
              </w:r>
            </w:hyperlink>
            <w:r>
              <w:rPr>
                <w:rFonts w:ascii="Times New Roman" w:hAnsi="Times New Roman"/>
                <w:sz w:val="20"/>
              </w:rPr>
              <w:t xml:space="preserve">, </w:t>
            </w:r>
            <w:hyperlink r:id="rId22">
              <w:r>
                <w:rPr>
                  <w:rStyle w:val="InternetLink"/>
                  <w:rFonts w:ascii="Times New Roman" w:hAnsi="Times New Roman"/>
                  <w:sz w:val="20"/>
                </w:rPr>
                <w:t>October  26, 2023</w:t>
              </w:r>
            </w:hyperlink>
            <w:r>
              <w:rPr>
                <w:rFonts w:ascii="Times New Roman" w:hAnsi="Times New Roman"/>
                <w:sz w:val="20"/>
              </w:rPr>
              <w:t xml:space="preserve"> and </w:t>
            </w:r>
            <w:hyperlink r:id="rId23">
              <w:r>
                <w:rPr>
                  <w:rStyle w:val="InternetLink"/>
                  <w:rFonts w:ascii="Times New Roman" w:hAnsi="Times New Roman"/>
                  <w:sz w:val="20"/>
                </w:rPr>
                <w:t>November 17, 2023</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the description of our common stock set forth in the Registrants registration statement on Form 8-A12B (Registration No. 001-39049), filed by the Registrant with the SEC under Section 12(b) of the Securities Exchange Act of 1934, as amended, or the Exchange Act, on </w:t>
            </w:r>
            <w:hyperlink r:id="rId24">
              <w:r>
                <w:rPr>
                  <w:rStyle w:val="InternetLink"/>
                  <w:rFonts w:ascii="Times New Roman" w:hAnsi="Times New Roman"/>
                  <w:sz w:val="20"/>
                </w:rPr>
                <w:t>September 13, 2019</w:t>
              </w:r>
            </w:hyperlink>
            <w:r>
              <w:rPr>
                <w:rFonts w:ascii="Times New Roman" w:hAnsi="Times New Roman"/>
                <w:sz w:val="20"/>
              </w:rPr>
              <w:t xml:space="preserve">,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our Compensation Committee report and performance graph or any information furnished pursuant to Items 2.02 or 7.01 of Form 8-K or related exhibits furnished pursuant to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(other than exhibits, unless they are specifically incorporated by reference in the documents)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Exagen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1261 Liberty Way </w:t>
      </w:r>
    </w:p>
    <w:p>
      <w:pPr>
        <w:pStyle w:val="TextBody"/>
        <w:bidi w:val="0"/>
        <w:spacing w:before="0" w:after="0"/>
        <w:jc w:val="center"/>
        <w:rPr>
          <w:rFonts w:ascii="Times New Roman" w:hAnsi="Times New Roman"/>
          <w:sz w:val="20"/>
        </w:rPr>
      </w:pPr>
      <w:r>
        <w:rPr>
          <w:rFonts w:ascii="Times New Roman" w:hAnsi="Times New Roman"/>
          <w:sz w:val="20"/>
        </w:rPr>
        <w:t xml:space="preserve">Vista, California 92081 </w:t>
      </w:r>
    </w:p>
    <w:p>
      <w:pPr>
        <w:pStyle w:val="TextBody"/>
        <w:bidi w:val="0"/>
        <w:spacing w:before="0" w:after="0"/>
        <w:jc w:val="center"/>
        <w:rPr>
          <w:rFonts w:ascii="Times New Roman" w:hAnsi="Times New Roman"/>
          <w:sz w:val="20"/>
        </w:rPr>
      </w:pPr>
      <w:r>
        <w:rPr>
          <w:rFonts w:ascii="Times New Roman" w:hAnsi="Times New Roman"/>
          <w:sz w:val="20"/>
        </w:rPr>
        <w:t xml:space="preserve">(760) 560-1501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659255" cy="6235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1659255" cy="62357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3,350,000 Shares of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0" w:after="0"/>
        <w:jc w:val="center"/>
        <w:rPr>
          <w:rFonts w:ascii="Times New Roman" w:hAnsi="Times New Roman"/>
          <w:b/>
          <w:sz w:val="32"/>
        </w:rPr>
      </w:pPr>
      <w:r>
        <w:rPr>
          <w:rFonts w:ascii="Times New Roman" w:hAnsi="Times New Roman"/>
          <w:b/>
          <w:sz w:val="32"/>
        </w:rPr>
        <w:t xml:space="preserve">Sole Bookrunner </w:t>
      </w:r>
    </w:p>
    <w:p>
      <w:pPr>
        <w:pStyle w:val="TextBody"/>
        <w:bidi w:val="0"/>
        <w:spacing w:before="1200" w:after="0"/>
        <w:jc w:val="center"/>
        <w:rPr>
          <w:rFonts w:ascii="Times New Roman" w:hAnsi="Times New Roman"/>
          <w:b/>
          <w:sz w:val="32"/>
        </w:rPr>
      </w:pPr>
      <w:r>
        <w:rPr>
          <w:rFonts w:ascii="Times New Roman" w:hAnsi="Times New Roman"/>
          <w:b/>
          <w:sz w:val="32"/>
        </w:rPr>
        <w:t xml:space="preserve">Canaccord Genuity </w:t>
      </w:r>
    </w:p>
    <w:p>
      <w:pPr>
        <w:pStyle w:val="TextBody"/>
        <w:bidi w:val="0"/>
        <w:spacing w:before="1200" w:after="0"/>
        <w:jc w:val="center"/>
        <w:rPr>
          <w:rFonts w:ascii="Times New Roman" w:hAnsi="Times New Roman"/>
          <w:b/>
          <w:sz w:val="20"/>
        </w:rPr>
      </w:pPr>
      <w:r>
        <w:rPr>
          <w:rFonts w:ascii="Times New Roman" w:hAnsi="Times New Roman"/>
          <w:b/>
          <w:sz w:val="20"/>
        </w:rPr>
        <w:t xml:space="preserve">May 8, 2025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274737/000127473725000019/exdx-20241231.htm" TargetMode="External"/><Relationship Id="rId4" Type="http://schemas.openxmlformats.org/officeDocument/2006/relationships/hyperlink" Target="http://www.sec.gov/Archives/edgar/data/../../../ix?doc=/Archives/edgar/data/1274737/000127473725000026/exdx-20250331.htm" TargetMode="External"/><Relationship Id="rId5" Type="http://schemas.openxmlformats.org/officeDocument/2006/relationships/hyperlink" Target="http://www.sec.gov/Archives/edgar/data/../../../ix?doc=/Archives/edgar/data/1274737/000119312525105576/d920432ddef14a.htm" TargetMode="External"/><Relationship Id="rId6" Type="http://schemas.openxmlformats.org/officeDocument/2006/relationships/hyperlink" Target="http://www.sec.gov/Archives/edgar/data/../../../ix?doc=/Archives/edgar/data/1274737/000127473725000003/exdx-20250112.htm" TargetMode="External"/><Relationship Id="rId7" Type="http://schemas.openxmlformats.org/officeDocument/2006/relationships/hyperlink" Target="http://www.sec.gov/Archives/edgar/data/../../../ix?doc=/Archives/edgar/data/1274737/000127473725000018/exdx-20250311.htm" TargetMode="External"/><Relationship Id="rId8" Type="http://schemas.openxmlformats.org/officeDocument/2006/relationships/hyperlink" Target="http://www.sec.gov/Archives/edgar/data/../../../ix?doc=/Archives/edgar/data/1274737/000119312525100447/d811854d8k.htm" TargetMode="External"/><Relationship Id="rId9" Type="http://schemas.openxmlformats.org/officeDocument/2006/relationships/hyperlink" Target="http://www.sec.gov/Archives/edgar/data/../../../ix?doc=/Archives/edgar/data/1274737/000127473725000023/exdx-20250505.htm" TargetMode="External"/><Relationship Id="rId10" Type="http://schemas.openxmlformats.org/officeDocument/2006/relationships/hyperlink" Target="http://www.sec.gov/Archives/edgar/data/../../../ix?doc=/Archives/edgar/data/1274737/000127473725000019/exdx-20241231.htm" TargetMode="External"/><Relationship Id="rId11" Type="http://schemas.openxmlformats.org/officeDocument/2006/relationships/image" Target="media/image2.jpeg"/><Relationship Id="rId12" Type="http://schemas.openxmlformats.org/officeDocument/2006/relationships/hyperlink" Target="http://www.sec.gov/Archives/edgar/data/../../../ix?doc=/Archives/edgar/data/0001274737/000127473723000019/exdx-20221231.htm" TargetMode="External"/><Relationship Id="rId13" Type="http://schemas.openxmlformats.org/officeDocument/2006/relationships/hyperlink" Target="http://www.sec.gov/Archives/edgar/data/../../../ix?doc=/Archives/edgar/data/0001274737/000127473723000049/exdx-20230331.htm" TargetMode="External"/><Relationship Id="rId14" Type="http://schemas.openxmlformats.org/officeDocument/2006/relationships/hyperlink" Target="http://www.sec.gov/Archives/edgar/data/../../../ix?doc=/Archives/edgar/data/1274737/000127473723000088/exdx-20230630.htm" TargetMode="External"/><Relationship Id="rId15" Type="http://schemas.openxmlformats.org/officeDocument/2006/relationships/hyperlink" Target="http://www.sec.gov/Archives/edgar/data/../../../ix?doc=/Archives/edgar/data/1274737/000127473723000103/exdx-20230930.htm" TargetMode="External"/><Relationship Id="rId16" Type="http://schemas.openxmlformats.org/officeDocument/2006/relationships/hyperlink" Target="http://www.sec.gov/Archives/edgar/data/../../../ix?doc=/Archives/edgar/data/0001274737/000127473723000002/exdx-20230109.htm" TargetMode="External"/><Relationship Id="rId17" Type="http://schemas.openxmlformats.org/officeDocument/2006/relationships/hyperlink" Target="http://www.sec.gov/Archives/edgar/data/../../../ix?doc=/Archives/edgar/data/0001274737/000127473723000004/exdx-20230123.htm" TargetMode="External"/><Relationship Id="rId18" Type="http://schemas.openxmlformats.org/officeDocument/2006/relationships/hyperlink" Target="http://www.sec.gov/Archives/edgar/data/../../../ix?doc=/Archives/edgar/data/0001274737/000127473723000024/exdx-20230320.htm" TargetMode="External"/><Relationship Id="rId19" Type="http://schemas.openxmlformats.org/officeDocument/2006/relationships/hyperlink" Target="http://www.sec.gov/Archives/edgar/data/../../../ix?doc=/Archives/edgar/data/0001274737/000127473723000041/exdx-20230428.htm" TargetMode="External"/><Relationship Id="rId20" Type="http://schemas.openxmlformats.org/officeDocument/2006/relationships/hyperlink" Target="http://www.sec.gov/Archives/edgar/data/../../../ix?doc=/Archives/edgar/data/1274737/000127473723000067/exdx-20230609.htm" TargetMode="External"/><Relationship Id="rId21" Type="http://schemas.openxmlformats.org/officeDocument/2006/relationships/hyperlink" Target="http://www.sec.gov/Archives/edgar/data/../../../ix?doc=/Archives/edgar/data/1274737/000127473723000074/exdx-20230724.htm" TargetMode="External"/><Relationship Id="rId22" Type="http://schemas.openxmlformats.org/officeDocument/2006/relationships/hyperlink" Target="http://www.sec.gov/Archives/edgar/data/../../../ix?doc=/Archives/edgar/data/1274737/000127473723000096/exdx-20231024.htm" TargetMode="External"/><Relationship Id="rId23" Type="http://schemas.openxmlformats.org/officeDocument/2006/relationships/hyperlink" Target="http://www.sec.gov/Archives/edgar/data/../../../ix?doc=/Archives/edgar/data/1274737/000127473723000105/exdx-20231117.htm" TargetMode="External"/><Relationship Id="rId24" Type="http://schemas.openxmlformats.org/officeDocument/2006/relationships/hyperlink" Target="http://www.sec.gov/Archives/edgar/data/1274737/000119312519244881/d756255d8a12b.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35028</Words>
  <Characters>181989</Characters>
  <CharactersWithSpaces>217185</CharactersWithSpaces>
  <Paragraphs>2283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