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74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March 31, 2026</w:t>
      </w:r>
    </w:p>
    <w:p>
      <w:pPr>
        <w:spacing w:after="0" w:line="52"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2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2200" w:type="dxa"/>
            <w:vAlign w:val="bottom"/>
          </w:tcPr>
          <w:p>
            <w:pPr>
              <w:spacing w:after="0"/>
              <w:rPr>
                <w:sz w:val="18"/>
                <w:szCs w:val="18"/>
                <w:color w:val="auto"/>
              </w:rPr>
            </w:pPr>
          </w:p>
        </w:tc>
        <w:tc>
          <w:tcPr>
            <w:tcW w:w="1540" w:type="dxa"/>
            <w:vAlign w:val="bottom"/>
          </w:tcPr>
          <w:p>
            <w:pPr>
              <w:jc w:val="center"/>
              <w:ind w:right="528"/>
              <w:spacing w:after="0"/>
              <w:rPr>
                <w:sz w:val="20"/>
                <w:szCs w:val="20"/>
                <w:color w:val="auto"/>
              </w:rPr>
            </w:pPr>
            <w:r>
              <w:rPr>
                <w:rFonts w:ascii="Arial" w:cs="Arial" w:eastAsia="Arial" w:hAnsi="Arial"/>
                <w:sz w:val="14"/>
                <w:szCs w:val="14"/>
                <w:b w:val="1"/>
                <w:bCs w:val="1"/>
                <w:color w:val="auto"/>
              </w:rPr>
              <w:t>Delaware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0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740" w:type="dxa"/>
            <w:vAlign w:val="bottom"/>
            <w:gridSpan w:val="2"/>
          </w:tcPr>
          <w:p>
            <w:pPr>
              <w:ind w:left="1840"/>
              <w:spacing w:after="0"/>
              <w:rPr>
                <w:sz w:val="20"/>
                <w:szCs w:val="20"/>
                <w:color w:val="auto"/>
              </w:rPr>
            </w:pPr>
            <w:r>
              <w:rPr>
                <w:rFonts w:ascii="Arial" w:cs="Arial" w:eastAsia="Arial" w:hAnsi="Arial"/>
                <w:sz w:val="14"/>
                <w:szCs w:val="14"/>
                <w:b w:val="1"/>
                <w:bCs w:val="1"/>
                <w:color w:val="auto"/>
              </w:rPr>
              <w:t>1261 Liberty Way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jc w:val="center"/>
              <w:ind w:left="1468"/>
              <w:spacing w:after="0"/>
              <w:rPr>
                <w:sz w:val="20"/>
                <w:szCs w:val="20"/>
                <w:color w:val="auto"/>
              </w:rPr>
            </w:pPr>
            <w:r>
              <w:rPr>
                <w:rFonts w:ascii="Arial" w:cs="Arial" w:eastAsia="Arial" w:hAnsi="Arial"/>
                <w:sz w:val="14"/>
                <w:szCs w:val="14"/>
                <w:b w:val="1"/>
                <w:bCs w:val="1"/>
                <w:color w:val="auto"/>
              </w:rPr>
              <w:t>Vista,</w:t>
            </w:r>
          </w:p>
        </w:tc>
        <w:tc>
          <w:tcPr>
            <w:tcW w:w="1540" w:type="dxa"/>
            <w:vAlign w:val="bottom"/>
          </w:tcPr>
          <w:p>
            <w:pPr>
              <w:ind w:left="620"/>
              <w:spacing w:after="0"/>
              <w:rPr>
                <w:sz w:val="20"/>
                <w:szCs w:val="20"/>
                <w:color w:val="auto"/>
              </w:rPr>
            </w:pPr>
            <w:r>
              <w:rPr>
                <w:rFonts w:ascii="Arial" w:cs="Arial" w:eastAsia="Arial" w:hAnsi="Arial"/>
                <w:sz w:val="14"/>
                <w:szCs w:val="14"/>
                <w:b w:val="1"/>
                <w:bCs w:val="1"/>
                <w:color w:val="auto"/>
              </w:rPr>
              <w:t>CA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7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65"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00"/>
        <w:spacing w:after="0" w:line="25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May 6, 2026 was 24,159,839.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60" w:type="dxa"/>
            <w:vAlign w:val="bottom"/>
            <w:gridSpan w:val="6"/>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540" w:type="dxa"/>
            <w:vAlign w:val="bottom"/>
            <w:gridSpan w:val="14"/>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1680" w:type="dxa"/>
            <w:vAlign w:val="bottom"/>
            <w:gridSpan w:val="7"/>
          </w:tcPr>
          <w:p>
            <w:pPr>
              <w:spacing w:after="0" w:line="195" w:lineRule="exact"/>
              <w:rPr>
                <w:sz w:val="20"/>
                <w:szCs w:val="20"/>
                <w:color w:val="auto"/>
              </w:rPr>
            </w:pPr>
            <w:r>
              <w:rPr>
                <w:rFonts w:ascii="Arial" w:cs="Arial" w:eastAsia="Arial" w:hAnsi="Arial"/>
                <w:sz w:val="18"/>
                <w:szCs w:val="18"/>
                <w:color w:val="0000FF"/>
                <w:w w:val="98"/>
              </w:rPr>
              <w:t>Financial Statements</w:t>
            </w:r>
          </w:p>
        </w:tc>
        <w:tc>
          <w:tcPr>
            <w:tcW w:w="6860" w:type="dxa"/>
            <w:vAlign w:val="bottom"/>
            <w:gridSpan w:val="7"/>
          </w:tcPr>
          <w:p>
            <w:pPr>
              <w:spacing w:after="0"/>
              <w:rPr>
                <w:sz w:val="16"/>
                <w:szCs w:val="16"/>
                <w:color w:val="auto"/>
              </w:rPr>
            </w:pPr>
          </w:p>
        </w:tc>
        <w:tc>
          <w:tcPr>
            <w:tcW w:w="240" w:type="dxa"/>
            <w:vAlign w:val="bottom"/>
            <w:gridSpan w:val="2"/>
          </w:tcPr>
          <w:p>
            <w:pPr>
              <w:ind w:left="14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6820" w:type="dxa"/>
            <w:vAlign w:val="bottom"/>
            <w:gridSpan w:val="11"/>
          </w:tcPr>
          <w:p>
            <w:pPr>
              <w:spacing w:after="0"/>
              <w:rPr>
                <w:sz w:val="20"/>
                <w:szCs w:val="20"/>
                <w:color w:val="auto"/>
              </w:rPr>
            </w:pPr>
            <w:r>
              <w:rPr>
                <w:rFonts w:ascii="Arial" w:cs="Arial" w:eastAsia="Arial" w:hAnsi="Arial"/>
                <w:sz w:val="18"/>
                <w:szCs w:val="18"/>
                <w:color w:val="0000FF"/>
                <w:w w:val="99"/>
              </w:rPr>
              <w:t>Unaudited Condensed Balance Sheets as of March 31, 2026 and December 31, 2025</w:t>
            </w:r>
          </w:p>
        </w:tc>
        <w:tc>
          <w:tcPr>
            <w:tcW w:w="1720" w:type="dxa"/>
            <w:vAlign w:val="bottom"/>
            <w:gridSpan w:val="3"/>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40" w:type="dxa"/>
            <w:vAlign w:val="bottom"/>
            <w:gridSpan w:val="14"/>
          </w:tcPr>
          <w:p>
            <w:pPr>
              <w:spacing w:after="0"/>
              <w:rPr>
                <w:sz w:val="20"/>
                <w:szCs w:val="20"/>
                <w:color w:val="auto"/>
              </w:rPr>
            </w:pPr>
            <w:r>
              <w:rPr>
                <w:rFonts w:ascii="Arial" w:cs="Arial" w:eastAsia="Arial" w:hAnsi="Arial"/>
                <w:sz w:val="18"/>
                <w:szCs w:val="18"/>
                <w:color w:val="0000FF"/>
              </w:rPr>
              <w:t>Unaudited Condensed Statements of Operations for the Three Months ended March 31, 2026 and 2025</w:t>
            </w: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Unaudited Condensed Statements of Stockholders' Equity for the Three Months ended March 31, 2026 and</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Pr>
          <w:p>
            <w:pPr>
              <w:spacing w:after="0" w:line="142" w:lineRule="exact"/>
              <w:rPr>
                <w:sz w:val="20"/>
                <w:szCs w:val="20"/>
                <w:color w:val="auto"/>
              </w:rPr>
            </w:pPr>
            <w:r>
              <w:rPr>
                <w:rFonts w:ascii="Arial" w:cs="Arial" w:eastAsia="Arial" w:hAnsi="Arial"/>
                <w:sz w:val="16"/>
                <w:szCs w:val="16"/>
                <w:color w:val="0000FF"/>
              </w:rPr>
              <w:t>2025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8540" w:type="dxa"/>
            <w:vAlign w:val="bottom"/>
            <w:gridSpan w:val="14"/>
          </w:tcPr>
          <w:p>
            <w:pPr>
              <w:spacing w:after="0"/>
              <w:rPr>
                <w:sz w:val="20"/>
                <w:szCs w:val="20"/>
                <w:color w:val="auto"/>
              </w:rPr>
            </w:pPr>
            <w:r>
              <w:rPr>
                <w:rFonts w:ascii="Arial" w:cs="Arial" w:eastAsia="Arial" w:hAnsi="Arial"/>
                <w:sz w:val="18"/>
                <w:szCs w:val="18"/>
                <w:color w:val="0000FF"/>
              </w:rPr>
              <w:t>Unaudited Condensed Statements of Cash Flows for the Three Months ended March 31, 2026 and 2025</w:t>
            </w: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9"/>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400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2"/>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60" w:type="dxa"/>
            <w:vAlign w:val="bottom"/>
            <w:gridSpan w:val="2"/>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60" w:type="dxa"/>
            <w:vAlign w:val="bottom"/>
            <w:gridSpan w:val="2"/>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3840" w:type="dxa"/>
            <w:vAlign w:val="bottom"/>
            <w:gridSpan w:val="4"/>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656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540" w:type="dxa"/>
            <w:vAlign w:val="bottom"/>
            <w:gridSpan w:val="14"/>
          </w:tcPr>
          <w:p>
            <w:pPr>
              <w:spacing w:after="0" w:line="195" w:lineRule="exact"/>
              <w:rPr>
                <w:sz w:val="20"/>
                <w:szCs w:val="20"/>
                <w:color w:val="auto"/>
              </w:rPr>
            </w:pPr>
            <w:r>
              <w:rPr>
                <w:rFonts w:ascii="Arial" w:cs="Arial" w:eastAsia="Arial" w:hAnsi="Arial"/>
                <w:sz w:val="18"/>
                <w:szCs w:val="18"/>
                <w:color w:val="0000FF"/>
              </w:rPr>
              <w:t>Legal Proceedings</w:t>
            </w:r>
          </w:p>
        </w:tc>
        <w:tc>
          <w:tcPr>
            <w:tcW w:w="1400" w:type="dxa"/>
            <w:vAlign w:val="bottom"/>
            <w:gridSpan w:val="4"/>
          </w:tcPr>
          <w:p>
            <w:pPr>
              <w:ind w:left="140"/>
              <w:spacing w:after="0" w:line="195" w:lineRule="exact"/>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18"/>
                <w:szCs w:val="18"/>
                <w:color w:val="auto"/>
              </w:rPr>
            </w:pPr>
          </w:p>
        </w:tc>
        <w:tc>
          <w:tcPr>
            <w:tcW w:w="7060" w:type="dxa"/>
            <w:vAlign w:val="bottom"/>
            <w:gridSpan w:val="8"/>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7140" w:type="dxa"/>
            <w:vAlign w:val="bottom"/>
            <w:gridSpan w:val="9"/>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40" w:type="dxa"/>
            <w:vAlign w:val="bottom"/>
            <w:gridSpan w:val="9"/>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40" w:type="dxa"/>
            <w:vAlign w:val="bottom"/>
            <w:gridSpan w:val="14"/>
          </w:tcPr>
          <w:p>
            <w:pPr>
              <w:spacing w:after="0"/>
              <w:rPr>
                <w:sz w:val="20"/>
                <w:szCs w:val="20"/>
                <w:color w:val="auto"/>
              </w:rPr>
            </w:pPr>
            <w:r>
              <w:rPr>
                <w:rFonts w:ascii="Arial" w:cs="Arial" w:eastAsia="Arial" w:hAnsi="Arial"/>
                <w:sz w:val="18"/>
                <w:szCs w:val="18"/>
                <w:color w:val="0000FF"/>
              </w:rPr>
              <w:t>Signatures</w:t>
            </w: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32,220</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6,938</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0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Finance lease liabilities, 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 current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14,159</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22,264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liabilities, non-current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37,525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40,573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March 31,</w:t>
            </w:r>
          </w:p>
        </w:tc>
        <w:tc>
          <w:tcPr>
            <w:tcW w:w="3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2026 and December 31, 2025</w:t>
            </w:r>
          </w:p>
        </w:tc>
        <w:tc>
          <w:tcPr>
            <w:tcW w:w="3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as of March 31, 2026 and December 31, 2025;</w:t>
            </w:r>
          </w:p>
        </w:tc>
        <w:tc>
          <w:tcPr>
            <w:tcW w:w="3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24,088,057 and 22,911,575 shares issued and outstanding as of March 31, 2026 and December 31, 2025, respectively</w:t>
            </w: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331,708</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(314,282)</w:t>
            </w: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17,449</w:t>
            </w:r>
          </w:p>
        </w:tc>
        <w:tc>
          <w:tcPr>
            <w:tcW w:w="0" w:type="dxa"/>
            <w:vAlign w:val="bottom"/>
          </w:tcPr>
          <w:p>
            <w:pPr>
              <w:spacing w:after="0"/>
              <w:rPr>
                <w:sz w:val="1"/>
                <w:szCs w:val="1"/>
                <w:color w:val="auto"/>
              </w:rPr>
            </w:pPr>
          </w:p>
        </w:tc>
      </w:tr>
      <w:tr>
        <w:trPr>
          <w:trHeight w:val="200"/>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238"/>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6,375</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9,123</w:t>
            </w: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6"/>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11,204</w:t>
            </w:r>
          </w:p>
        </w:tc>
      </w:tr>
      <w:tr>
        <w:trPr>
          <w:trHeight w:val="198"/>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1,284</w:t>
            </w:r>
          </w:p>
        </w:tc>
      </w:tr>
      <w:tr>
        <w:trPr>
          <w:trHeight w:val="200"/>
        </w:trPr>
        <w:tc>
          <w:tcPr>
            <w:tcW w:w="7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12,488</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(3,365)</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23,854,997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18,557,390</w:t>
            </w:r>
          </w:p>
        </w:tc>
      </w:tr>
      <w:tr>
        <w:trPr>
          <w:trHeight w:val="21"/>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90" w:right="9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2025</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22,911,575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331,708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17,449</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cashless warrant exercises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804,788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275,671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96,023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(3,967)</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2026</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24,088,057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jc w:val="center"/>
              <w:ind w:right="36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2024</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17,640,328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303,853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229,151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80,554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2025</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17,950,033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304,468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(298,083)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6,403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5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183"/>
        </w:trPr>
        <w:tc>
          <w:tcPr>
            <w:tcW w:w="7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440</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Amortization of loan commitment fees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operating lease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234</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74</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(4,918)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(6,893)</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72</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lease liabilities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231</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revenue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r>
      <w:tr>
        <w:trPr>
          <w:trHeight w:val="198"/>
        </w:trPr>
        <w:tc>
          <w:tcPr>
            <w:tcW w:w="75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and other current liabilities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w:t>
            </w:r>
          </w:p>
        </w:tc>
      </w:tr>
      <w:tr>
        <w:trPr>
          <w:trHeight w:val="200"/>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(10,417)</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(10,671)</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10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0"/>
        </w:trPr>
        <w:tc>
          <w:tcPr>
            <w:tcW w:w="7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1"/>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notes payable obligations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10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7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2"/>
        </w:trPr>
        <w:tc>
          <w:tcPr>
            <w:tcW w:w="754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(10,707)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(10,842)</w:t>
            </w: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32,420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22,236</w:t>
            </w:r>
          </w:p>
        </w:tc>
      </w:tr>
      <w:tr>
        <w:trPr>
          <w:trHeight w:val="200"/>
        </w:trPr>
        <w:tc>
          <w:tcPr>
            <w:tcW w:w="75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21,713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11,394</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402</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Unpaid equipment settled under financing arrangement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677</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r>
    </w:tbl>
    <w:p>
      <w:pPr>
        <w:spacing w:after="0" w:line="344"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89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Exagen Inc. (the Company) is a medical technology company primarily focused on the design, development and commercialization of a next-generation portfolio of testing products under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 future periods. As of March 31, 2026, the Company had cash and cash equivalents of $21.5 million and had an accumulated deficit of $318.2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 The Company held claims in the first three months ended March 31, 2026, which resulted in increases in its accounts receivable and an accelerated decrease in its cash and cash equivalents in the three months ended March 31, 2026, and a reversal of that trend is expected in the remaining three quarters of the fiscal year ending December 31, 2026.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common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Although management believes the Company's existing capital resources are adequate to fund operations for the next twelve months, if the Company is unable to obtain additional funding in the future,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interim condensed balance sheets as of March 31, 2026, condensed statements of operations and stockholders' equity for the three months ended March 31, 2026 and 2025, cash flows for the three months ended March 31, 2026 and 2025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2025, included in its Annual Report on Form 10-K filed with the SEC on March 10, 2026 (the 2025 Annual Report). In management's opinion, the unaudited interim condensed financial statements have been prepared on the same basis as the audited financial statements included in the 2025 Annual Report and include all normal adjustments, necessary for the fair presentation of the Company's financial position as of March 31, 2026 and its results of operations for the periods presented. The results for the three months ended March 31, 2026 are not necessarily indicative of the results expected for the full fiscal year or any other interim period. The year-end condensed balance sheet data was derived from audited financial statements, but does not include all disclosures required by GAAP. Certain reclassifications have been made to prior period amounts to conform to the current presentation.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 w:name="page9"/>
    <w:bookmarkEnd w:id="8"/>
    <w:p>
      <w:pPr>
        <w:jc w:val="both"/>
        <w:ind w:right="20"/>
        <w:spacing w:after="0" w:line="262" w:lineRule="auto"/>
        <w:rPr>
          <w:sz w:val="20"/>
          <w:szCs w:val="20"/>
          <w:color w:val="auto"/>
        </w:rPr>
      </w:pPr>
      <w:r>
        <w:rPr>
          <w:rFonts w:ascii="Arial" w:cs="Arial" w:eastAsia="Arial" w:hAnsi="Arial"/>
          <w:sz w:val="18"/>
          <w:szCs w:val="18"/>
          <w:color w:val="auto"/>
        </w:rPr>
        <w:t>The preparation of the accompanying unaudited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estimates and assumptions made in the accompanying unaudited condensed financial statements include, but are not limited to revenue recognition, the fair value of the warrant liability, the estimated incremental borrowing rate for the determination of the Company's operating and finance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23495</wp:posOffset>
            </wp:positionV>
            <wp:extent cx="2408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r>
      <w:tr>
        <w:trPr>
          <w:trHeight w:val="196"/>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94"/>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360" w:type="dxa"/>
            <w:vAlign w:val="bottom"/>
          </w:tcPr>
          <w:p>
            <w:pPr>
              <w:jc w:val="right"/>
              <w:spacing w:after="0"/>
              <w:rPr>
                <w:sz w:val="20"/>
                <w:szCs w:val="20"/>
                <w:color w:val="auto"/>
              </w:rPr>
            </w:pPr>
            <w:r>
              <w:rPr>
                <w:rFonts w:ascii="Arial" w:cs="Arial" w:eastAsia="Arial" w:hAnsi="Arial"/>
                <w:sz w:val="14"/>
                <w:szCs w:val="14"/>
                <w:color w:val="auto"/>
              </w:rPr>
              <w:t>21 %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628"/>
        </w:trPr>
        <w:tc>
          <w:tcPr>
            <w:tcW w:w="7440" w:type="dxa"/>
            <w:vAlign w:val="bottom"/>
          </w:tcPr>
          <w:p>
            <w:pPr>
              <w:spacing w:after="0"/>
              <w:rPr>
                <w:sz w:val="24"/>
                <w:szCs w:val="24"/>
                <w:color w:val="auto"/>
              </w:rPr>
            </w:pPr>
          </w:p>
        </w:tc>
        <w:tc>
          <w:tcPr>
            <w:tcW w:w="3800" w:type="dxa"/>
            <w:vAlign w:val="bottom"/>
            <w:tcBorders>
              <w:bottom w:val="single" w:sz="8" w:color="auto"/>
            </w:tcBorders>
            <w:gridSpan w:val="6"/>
          </w:tcPr>
          <w:p>
            <w:pPr>
              <w:jc w:val="right"/>
              <w:ind w:right="948"/>
              <w:spacing w:after="0"/>
              <w:rPr>
                <w:sz w:val="20"/>
                <w:szCs w:val="20"/>
                <w:color w:val="auto"/>
              </w:rPr>
            </w:pPr>
            <w:r>
              <w:rPr>
                <w:rFonts w:ascii="Arial" w:cs="Arial" w:eastAsia="Arial" w:hAnsi="Arial"/>
                <w:sz w:val="14"/>
                <w:szCs w:val="14"/>
                <w:b w:val="1"/>
                <w:bCs w:val="1"/>
                <w:color w:val="auto"/>
              </w:rPr>
              <w:t>Accounts Receivable, Net</w:t>
            </w:r>
          </w:p>
        </w:tc>
      </w:tr>
      <w:tr>
        <w:trPr>
          <w:trHeight w:val="196"/>
        </w:trPr>
        <w:tc>
          <w:tcPr>
            <w:tcW w:w="74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March 31, 2026</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360" w:type="dxa"/>
            <w:vAlign w:val="bottom"/>
          </w:tcPr>
          <w:p>
            <w:pPr>
              <w:jc w:val="right"/>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0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months ended March 31, 2026 and 2025, approximately 91% and 92%,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dependent on key suppliers for certain laboratory materials, consisting primarily of reagents and biomarkers used in our diagnostic tests. For the three months ended March 31, 2026 and 2025 approximately 98% and 76%, respectively, of the Company's diagnostic testing supplies were purchased from two suppliers. An interruption in the supply of these materials would impact the Company's ability to perform testing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18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9,476</w:t>
            </w:r>
          </w:p>
        </w:tc>
        <w:tc>
          <w:tcPr>
            <w:tcW w:w="120" w:type="dxa"/>
            <w:vAlign w:val="bottom"/>
          </w:tcPr>
          <w:p>
            <w:pPr>
              <w:spacing w:after="0"/>
              <w:rPr>
                <w:sz w:val="17"/>
                <w:szCs w:val="17"/>
                <w:color w:val="auto"/>
              </w:rPr>
            </w:pP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8,185</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Client direct bill(1)</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3,450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3,600</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17,306</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15,498</w:t>
            </w:r>
          </w:p>
        </w:tc>
      </w:tr>
      <w:tr>
        <w:trPr>
          <w:trHeight w:val="21"/>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8"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considers all highly liquid investments purchased with a remaining maturity date of three months or less upon acquisition to be cash equivalents. These investments are stated at cost, which approximates fair value.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Credit Card Program).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32,220</w:t>
            </w:r>
          </w:p>
        </w:tc>
      </w:tr>
      <w:tr>
        <w:trPr>
          <w:trHeight w:val="19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32,420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8"/>
          <w:szCs w:val="18"/>
          <w:color w:val="auto"/>
        </w:rPr>
        <w:t>these products. The parties that pay for these services (each, a payor) consist of commercial payors (healthcare insurers), government payors (primarily Medicare and Medicaid), client payors (hospitals, other laboratories, etc.) and patient self-pay.</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and follows a five-step process to determine the amount and timing of revenue recognized: (1)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March 31, 2026 and 2025 were net revenue increases of $1.1 million and $0.7 million, respectively, associated with changes in estimated variable consideration related to performance obligations satisfied in previous periods. The transaction price is estimated using an expected value method on a portfolio basis.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overpayments or amounts billed in error. Any refunds are accounted for as reductions in revenues in the condensed statements of operations as an element of variable consideration. The estimated expected refunds are accrued as a liability on the Company’s condensed balance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Amounts received prior to satisfying the above revenue recognition criteria are recognized as deferred revenue until all applicable revenue recognition criteria are met. Deferred revenue represents the portion of payments received that have not been earned. Throughout the year ended December 31, 2025, the Company entered into various work orders to perform diagnostic testing services, including identifying and evaluating biomarkers. The Company received nonrefundable, upfront payments for these services. The Company had deferred revenue related to these contracts of $0.7 million as of each of March 31, 2026 and December 31, 2025. The Company recognized revenue of $0.1 million out of the beginning deferred revenue balance during each of the three months ended March 31, 2026 and 2025. The Company expects to recognize revenue from unfulfilled performance obligations associated with service contracts within one year or less.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accrues an allowance for credit losses against its accounts receivable based on management’s current estimate of amounts that will not be collected. Management’s estimates are typically based on historical loss information adjusted for current conditions. The Company generally does not perform evaluations of the financial condition of the Company's customers and generally does not require collateral. The allowance for credit losses was zero as of each of March 31, 2026 and 2025. Adjustments for implicit price concessions attributable to variable consideration, as discussed above, are incorporated into the measurement of the accounts receivable balances and are not part of the allowance for credit losses. Accounts receivable was $15.8 million and $10.9 million at March 31, 2026 and December 31, 2025,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 Fees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Loan commitment fees are generally included as a reduction of the proceeds from the outstanding debt. If there were no borrowings drawn on the related credit facility, the loan commitment fees are classified as assets until the related debt is drawn. The Company’s loan commitment fee is comprised of an upfront cash payment and a contingent obligation to issue future warrants to Perceptive Credit Holdings IV, LP (Perceptive) in connection with the Credit Agreement and Guaranty, dated April 25, 2025 (Credit Agreement). The Company recorded $0.7 million in prepaid expenses and other current assets on the condensed balance sheets as of March 31, 2026. As the Company is not reasonably certain it will draw on the future debt tranches, the loan commitment fees are amortized ratably into interest expense over the outstanding draw periods. During the three months ended March 31, 2026, the Company recognized $0.2 million in non-cash interest expense related to the amortization of the loan commitment fees within the Company's condensed statements of operations. During the three months ended March 31, 2026, the Company recognized a loss of $0.4 million within other income (expense), net on the condensed statements of operations as a result of accelerating the amortization of the loan commitment fees asset recorded in connection with the Tranche C Loan (as defined below), which was terminated pursuant to the First Amendment (as defined below). See “Note 4.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w:t>
      </w:r>
      <w:r>
        <w:rPr>
          <w:rFonts w:ascii="Arial" w:cs="Arial" w:eastAsia="Arial" w:hAnsi="Arial"/>
          <w:sz w:val="18"/>
          <w:szCs w:val="18"/>
          <w:i w:val="1"/>
          <w:iCs w:val="1"/>
          <w:color w:val="auto"/>
        </w:rPr>
        <w:t>Perceptive Term Loan Facility</w:t>
      </w:r>
      <w:r>
        <w:rPr>
          <w:rFonts w:ascii="Arial" w:cs="Arial" w:eastAsia="Arial" w:hAnsi="Arial"/>
          <w:sz w:val="18"/>
          <w:szCs w:val="18"/>
          <w:color w:val="auto"/>
        </w:rPr>
        <w:t>”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is determined using the Black-Scholes-Merton (BSM) option pricing model, which requires management to make certain assumptions regarding a number of complex and subjective variables. Equity award forfeitures are recorded as they occur.</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Company computes the historical volatility data using the daily closing prices of the Company’s common stock during the equivalent period that approximates the calculated expected term of the stock options. The weighted-average expected term of options was calculated using the simplified method, as the Company has concluded that its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each of the three months ended March 31, 2026 and 2025, there was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2026</w:t>
            </w:r>
          </w:p>
        </w:tc>
        <w:tc>
          <w:tcPr>
            <w:tcW w:w="1760" w:type="dxa"/>
            <w:vAlign w:val="bottom"/>
          </w:tcPr>
          <w:p>
            <w:pPr>
              <w:jc w:val="right"/>
              <w:ind w:right="308"/>
              <w:spacing w:after="0"/>
              <w:rPr>
                <w:sz w:val="20"/>
                <w:szCs w:val="20"/>
                <w:color w:val="auto"/>
              </w:rPr>
            </w:pPr>
            <w:r>
              <w:rPr>
                <w:rFonts w:ascii="Arial" w:cs="Arial" w:eastAsia="Arial" w:hAnsi="Arial"/>
                <w:sz w:val="14"/>
                <w:szCs w:val="14"/>
                <w:b w:val="1"/>
                <w:bCs w:val="1"/>
                <w:color w:val="auto"/>
              </w:rPr>
              <w:t>March 31, 2025</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325,330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706,839</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608,146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2,129,706</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1,822,547</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17,480</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14,844</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2,854,156</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2,770,867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(Subtopic 220-40) (ASU 2024-03). This update requires entities to include more detailed information about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purchases of inventory, employee compensation, depreciation, amortization, and depletion, in commonly presented expense captions such as cost of sales, research and development, and selling, general and administrative expenses. ASU 2024-03 is effective for annual reporting periods beginning after December 15, 2026, and interim reporting periods beginning after December 15, 2027, with early adoption permitted. The Company determined that the adoption of this standard will not have a material impact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2025, the FASB issued ASU 2025-05, Financial Instruments - Credit Losses (Topic 326): </w:t>
      </w:r>
      <w:r>
        <w:rPr>
          <w:rFonts w:ascii="Arial" w:cs="Arial" w:eastAsia="Arial" w:hAnsi="Arial"/>
          <w:sz w:val="18"/>
          <w:szCs w:val="18"/>
          <w:i w:val="1"/>
          <w:iCs w:val="1"/>
          <w:color w:val="auto"/>
        </w:rPr>
        <w:t>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(ASU 2025-05). ASU 2025-05 amends ASC 326-20 to provide a practical expedient related to the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expected credit losses for current accounts receivable and current contract assets that arise from transactions accounted for under ASC</w:t>
      </w:r>
    </w:p>
    <w:p>
      <w:pPr>
        <w:spacing w:after="0" w:line="1" w:lineRule="exact"/>
        <w:rPr>
          <w:sz w:val="20"/>
          <w:szCs w:val="20"/>
          <w:color w:val="auto"/>
        </w:rPr>
      </w:pPr>
    </w:p>
    <w:p>
      <w:pPr>
        <w:jc w:val="both"/>
        <w:ind w:firstLine="8"/>
        <w:spacing w:after="0" w:line="258" w:lineRule="auto"/>
        <w:tabs>
          <w:tab w:leader="none" w:pos="402"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2025-05 is effective for annual periods beginning after December 15, 2025, and interim reporting periods within that annual period, with early adoption permitted. The Company adopted this standard in 2026 and determined that it did not have a material impact on the Company's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3,296</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1,302</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commitment fees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4,530</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3,308</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right-of-use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and equipment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14,082</w:t>
            </w:r>
          </w:p>
        </w:tc>
      </w:tr>
      <w:tr>
        <w:trPr>
          <w:trHeight w:val="198"/>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(7,144)</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expense for the three months ended March 31, 2026 and 2025 was approximately $ 0.6 million and $0.4 million, respectively. At each of March 31, 2026 and December 31, 2025, the gross book value of assets under finance leases was $3.7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5,411</w:t>
            </w:r>
          </w:p>
        </w:tc>
      </w:tr>
      <w:tr>
        <w:trPr>
          <w:trHeight w:val="19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Perceptive Term Loan Facility</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25, 2025, the Company and Perceptive entered into the Credit Agreement with Perceptive, which originally provided for a senior secured delayed draw term loan facility in an aggregate principal amount of up to $75.0 million (the Perceptive Term Loan Facility) broken into four tranches. An initial tranche of $25.0 million (the Tranche A Loan) was funded on April 25, 2025, of which $19.7 million was used to repay the 2017 Term Loan (as defined below) with Innovatus Life Sciences Lending Fund I, LP (Innovatus). The original Credit Agreement provided for three additional tranches of funding: up to $10.0 million (the Tranche B Loan), $10.0 million (the Tranche C Loan), and $30.0 million (the Tranche D Loan, and collectively with the Tranche A Loan, the Tranche B Loan and the Tranche C Loan, the Term Loans) to be drawn at the Company's option subject to the Company’s satisfaction of certain conditions, including specified revenue milestones.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6, 2026, the Company and Perceptive entered into a first amendment to the Credit Agreement (First Amendment). This amendment, among other changes, terminated the Tranche C Loan, extended the availability of the $10.0 million Tranche B Loan to September 30, 2026, increased the trailing twelve-month net revenue milestone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18"/>
          <w:szCs w:val="18"/>
          <w:color w:val="auto"/>
        </w:rPr>
        <w:t>applicable to the Tranche B Borrowing Date (as defined therein), and revised certain financial covenant thresholds. As amended, the Perceptive Term Loan Facility allows the Company to draw up to an aggregate additional principal amount of $40.0 million in two tranches, subject to specified milestone and revenue requirements. The First Amendment did not change the stated maturity of the existing Term Loans and reaffirmed the existing liens and guarantees securing the Perceptive Term Loan Facility.</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Perceptive Term Loan Facility matures on April 25, 2030, and includes an interest-only period through maturity, with all outstanding principal and accrued interest due on the maturity date.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is secured by a first-priority lien on substantially all of the Company’s existing and future assets and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As of March 31, 2026, the Company was in compliance with all covenants required under the Credit Agreement.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on April 25, 2025, as consideration for the Credit Agreement, the Company issued to Perceptive a warrant certificate to purchase up to 1,150,000 shares of common stock (the Warrant Certificate), 400,000 of which vested and became exercisable on the date of issuance (Tranche A Warrant Shares), and warrants to purchase up to 750,000 shares of the Company's common stock were subject to vest and would become exercisable if and when the additional debt tranches were drawn by the Company. As a result of the First Amendment, the number of shares of common stock subject to future vesting pursuant to the Warrant Certificate was reduced from up to 750,000 shares of common stock to up to 600,000 shares of common stock that may vest and become exercisable if and when the remaining additional debt tranches are drawn by the Company.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Warrant Certificate has a ten-year term from the applicable vesting date and includes broad-based weighted anti-dilution protection for certain dilutive issuances and for certain recapitalization events and registration rights provisions. In November 2025, Perceptive exercised all 400,000 Tranche A Warrant Shares on a cashless basis and the Company issued a total of 173,220 shares of the common stock to Perceptive.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concluded that the Warrant Certificate qualifies for liability classification and recorded the fair value at issuance of the Tranche A Warrant Shares of $2.2 million as a debt discount. The Company also recognized debt issuance costs of $1.4 million as additional debt discount. These amounts are amortized over the remaining term of the Perceptive Term Loan Facility under the effective interest method. The proportionate amount of the upfront closing fee paid of $1.1 million and the fair value of $1.3 million related to the contingent warrants that may be issued for future debt tranches are recorded as a loan commitment asset and amortized as discussed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2026, the Company recognized a loss of $0.4 million within other income (expense), net on the condensed statements of operations as a result of accelerating the amortization of the loan commitment fees asset recorded in connection with the Tranche C Loan.</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the Company recognized $1.1 million of interest expense, including $0.1 million of debt discount amortization in connection with the Perceptive Term Loan Facility. The effective interest rate was 16.2% per annum. As of March 31, 2026, the Perceptive Term Loan Facility had a carrying value of $21.8 million, classified within borrowings, non-current, net of discounts and debt issuance costs in the accompanying condensed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Loan</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September 2017, the Company executed a term loan agreement (the 2017 Term Loan) with Innovatus, as amended (the Amended Loan Agreement), pursuant to which the Company borrowed $25.0 million. As of March 31, 2025, the 2017 Term Loan was fully drawn with an outstanding principal balance of $19.8 million and a carrying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value of $19.3 million. The interest rate on all borrowings under the Amended Loan Agreement was the sum of (a) the greater of 8.0% or The Wall Street Journal prime rate plus (b) 2.0%. Interest on any outstanding term loan advances was due and payable monthly, unless the Company elected to pay paid-in-kind interest. In addition to the monthly interest payments, a final payment equal to $1.0 million was due the earlier of the maturity date or the date the advance is repaid. Principal balances were required to be repaid in 24 equal installments which began on August 1, 2023.</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April 25, 2025, the Company fully repaid all $19.7 million in outstanding indebtedness owed to Innovatus pursuant to its Amended Loan Agreement and terminated the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 Payable</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2022, the Company purchased laboratory equipment in the normal course of business using notes payable. In January 2025, the Company entered into a financing arrangement to procure additional laboratory equipment. At March 31, 2026, the total liability balance related to the financed equipment was $1.1 million, with $ 0.6 million classified within borrowings, current and $0.5 million within borrowings, non-current, net of discounts and debt issuance costs in the accompanying condensed balance sheets. At December 31, 2025, the total liability balance related to the financed equipment was $1.2 million, with $0.6 million classified within borrowings, current and $0.6 million within borrowings, non-current, net of discounts and debt issuance costs in the accompanying condensed balance sheets. The financed equipment is subject to effective interest rates between 5.28% and 10.50%, and will mature between October 1, 2026 and April 1, 2028.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future minimum aggregate payments, including interest, for outstanding borrowings for each of the years ending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(remaining)</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2027</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3,450</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2029</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2,978</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25,930</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38,250</w:t>
            </w:r>
          </w:p>
        </w:tc>
      </w:tr>
      <w:tr>
        <w:trPr>
          <w:trHeight w:val="207"/>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8"/>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(3,172)</w:t>
            </w: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(12,207)</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22,871</w:t>
            </w:r>
          </w:p>
        </w:tc>
      </w:tr>
      <w:tr>
        <w:trPr>
          <w:trHeight w:val="203"/>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Borrowings, current</w:t>
            </w: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r>
      <w:tr>
        <w:trPr>
          <w:trHeight w:val="375"/>
        </w:trPr>
        <w:tc>
          <w:tcPr>
            <w:tcW w:w="9440" w:type="dxa"/>
            <w:vAlign w:val="bottom"/>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22,291</w:t>
            </w:r>
          </w:p>
        </w:tc>
      </w:tr>
      <w:tr>
        <w:trPr>
          <w:trHeight w:val="21"/>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of less than 1% on net sales of products which incorporate licensed technology, as defined in such agreements. Royalties are accrued when incurred and recorded in cost of revenue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2025, the Company amended a supply agreement (the Amended Supply Agreement) with one of its suppliers for certain reagents, which includes updated pricing terms, an extended term through June 30, 2029, and minimum purchase commitments for consumable products used in the Company's diagnostic biomarkers. Pursuant to the Amended Supply Agreement, the Company is provided equipment by the supplier to be used by the Company in connection with the consumable products. The aggregate minimum annual purchase commitment for the duration</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6" w:name="page17"/>
    <w:bookmarkEnd w:id="16"/>
    <w:p>
      <w:pPr>
        <w:jc w:val="both"/>
        <w:spacing w:after="0" w:line="268" w:lineRule="auto"/>
        <w:rPr>
          <w:sz w:val="20"/>
          <w:szCs w:val="20"/>
          <w:color w:val="auto"/>
        </w:rPr>
      </w:pPr>
      <w:r>
        <w:rPr>
          <w:rFonts w:ascii="Arial" w:cs="Arial" w:eastAsia="Arial" w:hAnsi="Arial"/>
          <w:sz w:val="18"/>
          <w:szCs w:val="18"/>
          <w:color w:val="auto"/>
        </w:rPr>
        <w:t>of the Amended Supply Agreement is $24.0 million, including a minimum purchase commitment of $3.0 million for the year ending December 31, 2025, $6.0 million for each of the years ending December 31, 2026 through 2028 and $3.0 million for the six month period ending June 30, 2029.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Amended Supply Agreement as an embedded finance lease for the equipment provided, with the reagents as a non-lease component accounted for separately. The minimum purchase commitments for the reagents represent in-substance fixed contract consideration and are recorded based on the relative fair value of the equipment of $3.1 million as a ROU asset and related lease liability. As of March 31, 2026, the Company had a finance lease ROU asset of $2.6 million and lease liabilities of $2.6 million on the Company's balance sheets related to the embedded finance lease. For the three months ended March 31, 2026, the Company recorded interest expense of $0.1 million related to this embedded finance lease on the Company's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is not currently party to any material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the same or similar issues. As of March 31, 2026, the Perceptive Term Loan Facility had a carrying value of $21.8 million and a fair value of $22.2 million. As of December 31, 2025, the Perceptive Term Loan Facility had a carrying value of $21.7 million and a fair value of $22.6 million. The estimated fair value of the Perceptive Term Loan Facility was determined based on a discounted cash flow approach using available market information on discount and borrowing rates with similar terms, maturities, and credit ratings. The aggregate carrying value of the Company's other long-term borrowings as of March 31, 2026 and December 31, 2025 was $1.1 million and $1.2 million, respectively, and approximated its fair value.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jc w:val="both"/>
        <w:ind w:left="1320" w:hanging="1295"/>
        <w:spacing w:after="0" w:line="268" w:lineRule="auto"/>
        <w:tabs>
          <w:tab w:leader="none" w:pos="130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jc w:val="both"/>
        <w:ind w:right="2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Warrant liability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r>
      <w:tr>
        <w:trPr>
          <w:trHeight w:val="21"/>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1"/>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Level 3</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Warrant liability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1,752</w:t>
            </w:r>
          </w:p>
        </w:tc>
      </w:tr>
      <w:tr>
        <w:trPr>
          <w:trHeight w:val="21"/>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liability for the Warrant Certificate issued in connection with the Perceptive Term Loan Facility at fair value utilizing a probability-weighted BSM option pricing model using significant unobservable inputs consisting of the Company's probability assessment of drawing future debt tranches, the inputs used for the Company’s stock-based compensation expense adjusted for the Warrant Certificate’s expected term, which is calculated based on the remaining contractual term, and the fair value of the underlying common stock. As such, the Warrant Certificate liability was determined to be a Level 3 fair value measurement.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BSM option pricing model to determine the fair value of the warrant liability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underlying common stock</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6.08</w:t>
            </w:r>
          </w:p>
        </w:tc>
      </w:tr>
      <w:tr>
        <w:trPr>
          <w:trHeight w:val="199"/>
        </w:trPr>
        <w:tc>
          <w:tcPr>
            <w:tcW w:w="778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$3.00 - $3.38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$6.08 - $6.84</w:t>
            </w: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9"/>
        </w:trPr>
        <w:tc>
          <w:tcPr>
            <w:tcW w:w="77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5"/>
        </w:trPr>
        <w:tc>
          <w:tcPr>
            <w:tcW w:w="77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2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probability assessment considers both the likelihood of the Company satisfying certain conditions, including specified revenue milestones, which give the Company the option to draw future debt tranches as well as the likelihood that the Company will exercise the right to draw one or more future debt tranches. The Company assessed these factors at inception and as of March 31, 2026 and applied a weighted-average probability of approximately 50% as of March 31, 2026 in the measurement of fair value, given current and forecasted capital needs. Significant increases or decreases in the probability assessment in future periods may increase or decrease the fair value estimate of the warrant liability, respectively. The interrelationship between these inputs is insignificant.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Tranche A Warrant Shares were fully exercised on November 11, 2025 and the fair value was remeasured as of the exercise date and reclassified to stockholders' equity.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2026, the Company entered into the First Amendment which, among other changes, terminated the Tranche C Loan and reduced the number of shares of common stock subject to future vesting pursuant to the Warrant Certificate by 150,000 shares of common stock (the Tranche C Warrant Shares). The fair value of the Tranche C Warrant Shares was remeasured immediately prior to the First Amendment date and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8"/>
          <w:szCs w:val="18"/>
          <w:color w:val="auto"/>
        </w:rPr>
        <w:t>recognized a $0.1 million gain within other income (expense), net on the Company's condensed statements of operations, in connection with the reduction in the shares that may become exercisable pursuant to the Warrant Certificate.</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a reconciliation of the warrant liability measured at fair value using Level 3 significant unobservable inputs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 Liability</w:t>
            </w:r>
          </w:p>
        </w:tc>
      </w:tr>
      <w:tr>
        <w:trPr>
          <w:trHeight w:val="197"/>
        </w:trPr>
        <w:tc>
          <w:tcPr>
            <w:tcW w:w="9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2025</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1,752</w:t>
            </w:r>
          </w:p>
        </w:tc>
        <w:tc>
          <w:tcPr>
            <w:tcW w:w="100" w:type="dxa"/>
            <w:vAlign w:val="bottom"/>
            <w:tcBorders>
              <w:top w:val="single" w:sz="8" w:color="CCEEFF"/>
            </w:tcBorders>
            <w:shd w:val="clear" w:color="auto" w:fill="CCEEFF"/>
          </w:tcPr>
          <w:p>
            <w:pPr>
              <w:spacing w:after="0"/>
              <w:rPr>
                <w:sz w:val="17"/>
                <w:szCs w:val="17"/>
                <w:color w:val="auto"/>
              </w:rPr>
            </w:pPr>
          </w:p>
        </w:tc>
      </w:tr>
      <w:tr>
        <w:trPr>
          <w:trHeight w:val="199"/>
        </w:trPr>
        <w:tc>
          <w:tcPr>
            <w:tcW w:w="9500" w:type="dxa"/>
            <w:vAlign w:val="bottom"/>
          </w:tcPr>
          <w:p>
            <w:pPr>
              <w:ind w:left="360"/>
              <w:spacing w:after="0"/>
              <w:rPr>
                <w:sz w:val="20"/>
                <w:szCs w:val="20"/>
                <w:color w:val="auto"/>
              </w:rPr>
            </w:pPr>
            <w:r>
              <w:rPr>
                <w:rFonts w:ascii="Arial" w:cs="Arial" w:eastAsia="Arial" w:hAnsi="Arial"/>
                <w:sz w:val="14"/>
                <w:szCs w:val="14"/>
                <w:color w:val="auto"/>
              </w:rPr>
              <w:t>Change in fair value of warrant liability</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7"/>
                <w:szCs w:val="17"/>
                <w:color w:val="auto"/>
              </w:rPr>
            </w:pPr>
          </w:p>
        </w:tc>
      </w:tr>
      <w:tr>
        <w:trPr>
          <w:trHeight w:val="203"/>
        </w:trPr>
        <w:tc>
          <w:tcPr>
            <w:tcW w:w="9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Termination of Tranche C Warrant Shares</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r>
      <w:tr>
        <w:trPr>
          <w:trHeight w:val="200"/>
        </w:trPr>
        <w:tc>
          <w:tcPr>
            <w:tcW w:w="9500" w:type="dxa"/>
            <w:vAlign w:val="bottom"/>
          </w:tcPr>
          <w:p>
            <w:pPr>
              <w:ind w:left="20"/>
              <w:spacing w:after="0"/>
              <w:rPr>
                <w:sz w:val="20"/>
                <w:szCs w:val="20"/>
                <w:color w:val="auto"/>
              </w:rPr>
            </w:pPr>
            <w:r>
              <w:rPr>
                <w:rFonts w:ascii="Arial" w:cs="Arial" w:eastAsia="Arial" w:hAnsi="Arial"/>
                <w:sz w:val="14"/>
                <w:szCs w:val="14"/>
                <w:color w:val="auto"/>
              </w:rPr>
              <w:t>Balance at March 31, 2026</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r>
      <w:tr>
        <w:trPr>
          <w:trHeight w:val="20"/>
        </w:trPr>
        <w:tc>
          <w:tcPr>
            <w:tcW w:w="9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the Company's common stock, preferred stock, debt securities, warrants and units. The 2023 Shelf Registration Statement became effective on November 29, 2023, and $126.2 million remained available for sale as of March 31, 2026.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15, 2022, the Company entered into the Sales Agreement, as amended by Amendment No. 1 to Sales Agreement dated November 17, 2023 (the Amended Sales Agreement), with TD Securities (USA) LLC (TD Cowen), as sales agent, pursuant to which the Company may offer and sell, from time to time, shares of the Company's common stock having an aggregate offering price of up to $50.0 million. The Company is not obligated to sell any shares of the Company's common stock in the offering. As of December 31, 2025, the Company has sold 360,554 shares of its common stock under the Amended Sales Agreement at an average price per share of $9.82, for gross proceeds of approximately $3.5 million and net proceeds of approximately $3.4 million after deducting $0.1 million in commissions paid to TD Cowen and other offering expenses payable by the Company. During the three months ended March 31, 2026, the Company did not sell any shares of its common stock pursuant to the Amended Sales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Public Offering</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May 8, 2025, the Company entered into an underwriting agreement with Canaccord Genuity LLC (the Underwriter) relating to the issuance and sale of an aggregate of 3,852,500 shares of its common stock, including 502,500 shares of the Company's common stock issued and sold pursuant to the exercise in full of the Underwriter’s option to purchase additional shares, to the Underwriter at a price to the public of $5.25 per share (the 2025 Public Offering). The 2025 Public Offering closed on May 9, 2025. The net proceeds to the Company from the 2025 Public Offering were approximately $18.6 million after deducting $1.6 million of the underwriting discounts and commissions and other offering expenses payable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of the Company were outstanding and exercisable as of March 31,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Expiration date</w:t>
            </w:r>
          </w:p>
        </w:tc>
      </w:tr>
      <w:tr>
        <w:trPr>
          <w:trHeight w:val="19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ind w:left="140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ind w:left="1400"/>
              <w:spacing w:after="0"/>
              <w:rPr>
                <w:sz w:val="20"/>
                <w:szCs w:val="20"/>
                <w:color w:val="auto"/>
              </w:rPr>
            </w:pPr>
            <w:r>
              <w:rPr>
                <w:rFonts w:ascii="Arial" w:cs="Arial" w:eastAsia="Arial" w:hAnsi="Arial"/>
                <w:sz w:val="14"/>
                <w:szCs w:val="14"/>
                <w:color w:val="auto"/>
              </w:rPr>
              <w:t>April 1, 2026</w:t>
            </w:r>
          </w:p>
        </w:tc>
      </w:tr>
      <w:tr>
        <w:trPr>
          <w:trHeight w:val="192"/>
        </w:trPr>
        <w:tc>
          <w:tcPr>
            <w:tcW w:w="32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Perceptive Term Loan Facility, the Company may issue warrants for the purchase of up to an additional 600,000 shares of the Company’s common stock if and when the Company satisfies certain conditions and chooses to draw additional debt tranches during the respective draw periods.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8"/>
          <w:szCs w:val="18"/>
          <w:color w:val="auto"/>
        </w:rPr>
        <w:t>The Company issued a total of 804,788 shares of common stock upon the cashless exercise of certain warrants during the three months ended March 31, 2026. No warrants to purchase common stock of the Company were exercised during the three months ended March 31,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September 2019, the Company's Board of Directors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four years from the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w:t>
      </w:r>
    </w:p>
    <w:p>
      <w:pPr>
        <w:spacing w:after="0" w:line="2" w:lineRule="exact"/>
        <w:rPr>
          <w:sz w:val="20"/>
          <w:szCs w:val="20"/>
          <w:color w:val="auto"/>
        </w:rPr>
      </w:pPr>
    </w:p>
    <w:p>
      <w:pPr>
        <w:jc w:val="both"/>
        <w:ind w:firstLine="8"/>
        <w:spacing w:after="0" w:line="250"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lesser amount determined by the Board. Pursuant to the evergreen provision, on January 1, 2026, an additional 916,463 shares of the Company's common stock became available for issuance under the 2019 Plan. As of March 31, 2026, 2,401,275 shares of the Company's common stock remained available for future awards under the 2019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9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79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2025</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1,795,639</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9"/>
        </w:trPr>
        <w:tc>
          <w:tcPr>
            <w:tcW w:w="79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649,748</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(275,671)</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(40,010)</w:t>
            </w:r>
          </w:p>
        </w:tc>
        <w:tc>
          <w:tcPr>
            <w:tcW w:w="3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March 31, 2026</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2,129,706</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2026, all of the 2,129,706 outstanding RSUs were unvested. The fair value of RSUs vested in the three months ended March 31, 2026 and 2025 was $1.0 million and $0.8 million, respectively. The weighted average grant date fair value per share for RSUs granted during the three months ended March 31, 2026 and 2025 was $3.18 and $3.71 per RSU, respectively. As of March 31, 2026, total unrecognized compensation cost related to RSUs was $7.2 million, which is expected to be recognized over a remaining weighted-average vesting period of 2.8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Price Per</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Share</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2025</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526,839</w:t>
            </w:r>
          </w:p>
        </w:tc>
        <w:tc>
          <w:tcPr>
            <w:tcW w:w="1200" w:type="dxa"/>
            <w:vAlign w:val="bottom"/>
            <w:gridSpan w:val="2"/>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6.86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190,000</w:t>
            </w:r>
          </w:p>
        </w:tc>
        <w:tc>
          <w:tcPr>
            <w:tcW w:w="120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5"/>
              </w:rPr>
              <w:t>3.16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0" w:type="dxa"/>
            <w:vAlign w:val="bottom"/>
            <w:gridSpan w:val="2"/>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3.58</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Arial" w:cs="Arial" w:eastAsia="Arial" w:hAnsi="Arial"/>
                <w:sz w:val="14"/>
                <w:szCs w:val="14"/>
                <w:color w:val="auto"/>
              </w:rPr>
              <w:t>Outstanding, March 31,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706,839</w:t>
            </w:r>
          </w:p>
        </w:tc>
        <w:tc>
          <w:tcPr>
            <w:tcW w:w="120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5"/>
              </w:rPr>
              <w:t>5.91</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March 31,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706,839</w:t>
            </w:r>
          </w:p>
        </w:tc>
        <w:tc>
          <w:tcPr>
            <w:tcW w:w="12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5.91</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Options exercisable, March 31,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379,212</w:t>
            </w:r>
          </w:p>
        </w:tc>
        <w:tc>
          <w:tcPr>
            <w:tcW w:w="120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5"/>
              </w:rPr>
              <w:t>7.68</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190,000 and 120,070 stock options granted in the three months ended March 31, 2026 and 2025, respectively. The intrinsic value is calculated as the difference between the fair value of the Company's common</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0" w:name="page21"/>
    <w:bookmarkEnd w:id="20"/>
    <w:p>
      <w:pPr>
        <w:jc w:val="both"/>
        <w:spacing w:after="0" w:line="261" w:lineRule="auto"/>
        <w:rPr>
          <w:sz w:val="20"/>
          <w:szCs w:val="20"/>
          <w:color w:val="auto"/>
        </w:rPr>
      </w:pPr>
      <w:r>
        <w:rPr>
          <w:rFonts w:ascii="Arial" w:cs="Arial" w:eastAsia="Arial" w:hAnsi="Arial"/>
          <w:sz w:val="18"/>
          <w:szCs w:val="18"/>
          <w:color w:val="auto"/>
        </w:rPr>
        <w:t>stock and the exercise price of the stock options. No options were exercised during the three months ended March 31, 2026, and 2025. As of March 31, 2026, total unrecognized compensation cost related to option awards was $0.7 million, which is expected to be recognized over a remaining weighted-average vesting period of 2.9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shares of the Company's common stock through payroll deductions of up to 20.0% of their eligible compensation. The number of shares of the Company's common stock available for issuance under the ESPP will be annually increased on the first day of each calendar year during the term of the ESPP through January 1, 2029 in an amount equal to the lesser of (i) 1.0% of the outstanding capital stock on each December 31st, or (ii) such lesser amount determined by the Board. Pursuant to the evergreen provision, on January 1, 2026, an additional 229,115 shares of the Company's common stock became available for issuance under the ESPP. As of March 31, 2026, 675,900 shares of the Company's common stock remained available for issuance under the ESPP. During the three months ended March 31, 2026, a total of 96,023 shares of the Company's common stock were issued under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condensed statements of operations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r>
      <w:tr>
        <w:trPr>
          <w:trHeight w:val="20"/>
        </w:trPr>
        <w:tc>
          <w:tcPr>
            <w:tcW w:w="7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(CODM) in making decisions regarding resource allocation and assessing performance. The Company views its operations as, and manages its business in, one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 CTD test.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CODM is its Chief Executive Officer. The CODM assesses performance for the segment and decides how to allocate resources based on revenue and net loss as reported on the condensed statements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$52.0 million and $58.0 million as of March 31, 2026 and December 31, 2025,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Segment revenue and net loss, including significant segment expenses regularly provided to the CODM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8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83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238"/>
        </w:trPr>
        <w:tc>
          <w:tcPr>
            <w:tcW w:w="8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17,306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15,498</w:t>
            </w: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10,205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9,123</w:t>
            </w:r>
          </w:p>
        </w:tc>
      </w:tr>
      <w:tr>
        <w:trPr>
          <w:trHeight w:val="178"/>
        </w:trPr>
        <w:tc>
          <w:tcPr>
            <w:tcW w:w="8360" w:type="dxa"/>
            <w:vAlign w:val="bottom"/>
          </w:tcPr>
          <w:p>
            <w:pPr>
              <w:ind w:left="20"/>
              <w:spacing w:after="0"/>
              <w:rPr>
                <w:sz w:val="20"/>
                <w:szCs w:val="20"/>
                <w:color w:val="auto"/>
              </w:rPr>
            </w:pPr>
            <w:r>
              <w:rPr>
                <w:rFonts w:ascii="Arial" w:cs="Arial" w:eastAsia="Arial" w:hAnsi="Arial"/>
                <w:sz w:val="14"/>
                <w:szCs w:val="14"/>
                <w:color w:val="auto"/>
              </w:rPr>
              <w:t>Segment operating expenses: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7,548</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Outside services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Facilities related</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Travel &amp; entertainment</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736</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compensation</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r>
      <w:tr>
        <w:trPr>
          <w:trHeight w:val="192"/>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segment operating expenses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13,619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12,488</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net loss</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Other segment items included in Segment net loss include insurance expenses, trade show and conference expenses, fulfillment expenses, board compensation, clinical trial expenses, collaboration expenses and bank fees, among others.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(this Quarterly Report) and with our audited financial statements and notes thereto included in our 2025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1A, "Risk Factors" in our 2025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Beginning in late 2022, we revitalized our organization with the addition of key members to our senior leadership team, </w:t>
      </w:r>
      <w:r>
        <w:rPr>
          <w:rFonts w:ascii="Arial" w:cs="Arial" w:eastAsia="Arial" w:hAnsi="Arial"/>
          <w:sz w:val="18"/>
          <w:szCs w:val="18"/>
          <w:color w:val="080808"/>
        </w:rPr>
        <w:t>each with successful</w:t>
      </w:r>
      <w:r>
        <w:rPr>
          <w:rFonts w:ascii="Arial" w:cs="Arial" w:eastAsia="Arial" w:hAnsi="Arial"/>
          <w:sz w:val="18"/>
          <w:szCs w:val="18"/>
          <w:color w:val="auto"/>
        </w:rPr>
        <w:t xml:space="preserve"> </w:t>
      </w:r>
      <w:r>
        <w:rPr>
          <w:rFonts w:ascii="Arial" w:cs="Arial" w:eastAsia="Arial" w:hAnsi="Arial"/>
          <w:sz w:val="18"/>
          <w:szCs w:val="18"/>
          <w:color w:val="080808"/>
        </w:rPr>
        <w:t xml:space="preserve">industry track records in diagnostics, medical device and medical technology, </w:t>
      </w:r>
      <w:r>
        <w:rPr>
          <w:rFonts w:ascii="Arial" w:cs="Arial" w:eastAsia="Arial" w:hAnsi="Arial"/>
          <w:sz w:val="18"/>
          <w:szCs w:val="18"/>
          <w:color w:val="000000"/>
        </w:rPr>
        <w:t>including our Chief Executive Officer, Chief Financial Officer,</w:t>
      </w:r>
      <w:r>
        <w:rPr>
          <w:rFonts w:ascii="Arial" w:cs="Arial" w:eastAsia="Arial" w:hAnsi="Arial"/>
          <w:sz w:val="18"/>
          <w:szCs w:val="18"/>
          <w:color w:val="080808"/>
        </w:rPr>
        <w:t xml:space="preserve"> Chief Scientific Officer, </w:t>
      </w:r>
      <w:r>
        <w:rPr>
          <w:rFonts w:ascii="Arial" w:cs="Arial" w:eastAsia="Arial" w:hAnsi="Arial"/>
          <w:sz w:val="18"/>
          <w:szCs w:val="18"/>
          <w:color w:val="000000"/>
        </w:rPr>
        <w:t>Vice President of Sales, V</w:t>
      </w:r>
      <w:r>
        <w:rPr>
          <w:rFonts w:ascii="Arial" w:cs="Arial" w:eastAsia="Arial" w:hAnsi="Arial"/>
          <w:sz w:val="18"/>
          <w:szCs w:val="18"/>
          <w:color w:val="080808"/>
        </w:rPr>
        <w:t>ice President of Commercial Strategy, and Medical and Laboratory Director</w:t>
      </w:r>
      <w:r>
        <w:rPr>
          <w:rFonts w:ascii="Arial" w:cs="Arial" w:eastAsia="Arial" w:hAnsi="Arial"/>
          <w:sz w:val="18"/>
          <w:szCs w:val="18"/>
          <w:color w:val="000000"/>
        </w:rPr>
        <w:t>. By leveraging</w:t>
      </w:r>
      <w:r>
        <w:rPr>
          <w:rFonts w:ascii="Arial" w:cs="Arial" w:eastAsia="Arial" w:hAnsi="Arial"/>
          <w:sz w:val="18"/>
          <w:szCs w:val="18"/>
          <w:color w:val="080808"/>
        </w:rPr>
        <w:t xml:space="preserve"> </w:t>
      </w:r>
      <w:r>
        <w:rPr>
          <w:rFonts w:ascii="Arial" w:cs="Arial" w:eastAsia="Arial" w:hAnsi="Arial"/>
          <w:sz w:val="18"/>
          <w:szCs w:val="18"/>
          <w:color w:val="000000"/>
        </w:rPr>
        <w:t>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have executed an operational turnaround of the business, resulting in a return to revenue growth and gross margin expansion while significantly reducing operating expenses and cash burn.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All of our AVISE® tests are performed in our approximately 13,000 square foot laboratory located in Vista, California, which is certified under the clinical laboratory testing administered by the Centers for Medicare &amp; Medicaid Services (CLIA) and accredited by the College of American Pathologists.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launching AVISE® CTD, we have produced an extensive body of peer-reviewed literature supporting the test’s clinical validity and utility, demonstrating the importance of AVISE® CTD in patient care. Revenue from this product comprised 91% and 92% of our revenue for the three months ended March 31, 2026 and 2025,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AVISE® testing products using our specialized sales force covering 45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continue our thoughtful approach to research and development. We believe there is significant potential to enhance existing or develop new testing products with superior clinical utility, on our own or through collaboration with partners.</w:t>
      </w:r>
    </w:p>
    <w:p>
      <w:pPr>
        <w:spacing w:after="0" w:line="193" w:lineRule="exact"/>
        <w:rPr>
          <w:sz w:val="20"/>
          <w:szCs w:val="20"/>
          <w:color w:val="auto"/>
        </w:rPr>
      </w:pPr>
    </w:p>
    <w:p>
      <w:pPr>
        <w:jc w:val="both"/>
        <w:ind w:left="660" w:hanging="328"/>
        <w:spacing w:after="0" w:line="228" w:lineRule="exact"/>
        <w:tabs>
          <w:tab w:leader="none" w:pos="683"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Lupus Nephritis (LN) Biomarkers</w:t>
      </w:r>
      <w:r>
        <w:rPr>
          <w:rFonts w:ascii="Arial" w:cs="Arial" w:eastAsia="Arial" w:hAnsi="Arial"/>
          <w:sz w:val="18"/>
          <w:szCs w:val="18"/>
          <w:color w:val="auto"/>
        </w:rPr>
        <w:t>. We continue to leverage our intellectual property licensed from Johns Hopkins University to develop a test for detecting protein analytes in urine that can aid rheumatologists in the ongoing management and risk stratification of patients suffering from LN. We tested a new customized array and presented novel data on the use of urinary biomarkers (especially Tenascin</w:t>
      </w:r>
      <w:r>
        <w:rPr>
          <w:rFonts w:ascii="MS PGothic" w:cs="MS PGothic" w:eastAsia="MS PGothic" w:hAnsi="MS PGothic"/>
          <w:sz w:val="18"/>
          <w:szCs w:val="18"/>
          <w:color w:val="auto"/>
        </w:rPr>
        <w:t>‑</w:t>
      </w:r>
      <w:r>
        <w:rPr>
          <w:rFonts w:ascii="Arial" w:cs="Arial" w:eastAsia="Arial" w:hAnsi="Arial"/>
          <w:sz w:val="18"/>
          <w:szCs w:val="18"/>
          <w:color w:val="auto"/>
        </w:rPr>
        <w:t>C) for the prediction of kidney function loss during the 2025 American College of Rheumatology annual meeting</w:t>
      </w:r>
    </w:p>
    <w:p>
      <w:pPr>
        <w:spacing w:after="0" w:line="1" w:lineRule="exact"/>
        <w:rPr>
          <w:sz w:val="20"/>
          <w:szCs w:val="20"/>
          <w:color w:val="auto"/>
        </w:rPr>
      </w:pPr>
    </w:p>
    <w:p>
      <w:pPr>
        <w:ind w:left="660" w:right="20"/>
        <w:spacing w:after="0" w:line="280" w:lineRule="auto"/>
        <w:rPr>
          <w:sz w:val="20"/>
          <w:szCs w:val="20"/>
          <w:color w:val="auto"/>
        </w:rPr>
      </w:pPr>
      <w:r>
        <w:rPr>
          <w:rFonts w:ascii="Arial" w:cs="Arial" w:eastAsia="Arial" w:hAnsi="Arial"/>
          <w:sz w:val="18"/>
          <w:szCs w:val="18"/>
          <w:color w:val="auto"/>
        </w:rPr>
        <w:t>(ACR 2025). During the first half of 2026, we expect further adoption by our existing and new pharma partnerships of our panel as part of exploratory trials. In addition, we continue our efforts in releasing our LN offering commercially through our clinical lab.</w:t>
      </w:r>
    </w:p>
    <w:p>
      <w:pPr>
        <w:spacing w:after="0" w:line="199" w:lineRule="exact"/>
        <w:rPr>
          <w:sz w:val="20"/>
          <w:szCs w:val="20"/>
          <w:color w:val="auto"/>
        </w:rPr>
      </w:pPr>
    </w:p>
    <w:p>
      <w:pPr>
        <w:jc w:val="both"/>
        <w:ind w:left="660" w:hanging="328"/>
        <w:spacing w:after="0" w:line="249" w:lineRule="auto"/>
        <w:tabs>
          <w:tab w:leader="none" w:pos="683" w:val="left"/>
        </w:tabs>
        <w:numPr>
          <w:ilvl w:val="0"/>
          <w:numId w:val="7"/>
        </w:numPr>
        <w:rPr>
          <w:rFonts w:ascii="Arial" w:cs="Arial" w:eastAsia="Arial" w:hAnsi="Arial"/>
          <w:sz w:val="22"/>
          <w:szCs w:val="22"/>
          <w:color w:val="auto"/>
        </w:rPr>
      </w:pPr>
      <w:r>
        <w:rPr>
          <w:rFonts w:ascii="Arial" w:cs="Arial" w:eastAsia="Arial" w:hAnsi="Arial"/>
          <w:sz w:val="18"/>
          <w:szCs w:val="18"/>
          <w:u w:val="single" w:color="auto"/>
          <w:color w:val="auto"/>
        </w:rPr>
        <w:t>SLE Disease Activity</w:t>
      </w:r>
      <w:r>
        <w:rPr>
          <w:rFonts w:ascii="Arial" w:cs="Arial" w:eastAsia="Arial" w:hAnsi="Arial"/>
          <w:sz w:val="18"/>
          <w:szCs w:val="18"/>
          <w:color w:val="auto"/>
        </w:rPr>
        <w:t>. We continue to leverage clinical and laboratory data collected across multiple longitudinal SLE cohorts to identify a set of biomarkers that can inform an artificial intelligence (AI) developed algorithm aimed at guiding ongoing treatment decisions throughout the course of a lupus patient’s journey. Our candidate assay for SLE Disease Activity is currently being clinically validated with patient recruitment ongoing.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jc w:val="both"/>
        <w:ind w:left="660" w:hanging="328"/>
        <w:spacing w:after="0" w:line="244" w:lineRule="auto"/>
        <w:tabs>
          <w:tab w:leader="none" w:pos="656" w:val="left"/>
        </w:tabs>
        <w:numPr>
          <w:ilvl w:val="0"/>
          <w:numId w:val="8"/>
        </w:numPr>
        <w:rPr>
          <w:rFonts w:ascii="Arial" w:cs="Arial" w:eastAsia="Arial" w:hAnsi="Arial"/>
          <w:sz w:val="22"/>
          <w:szCs w:val="22"/>
          <w:color w:val="auto"/>
        </w:rPr>
      </w:pPr>
      <w:r>
        <w:rPr>
          <w:rFonts w:ascii="Arial" w:cs="Arial" w:eastAsia="Arial" w:hAnsi="Arial"/>
          <w:sz w:val="18"/>
          <w:szCs w:val="18"/>
          <w:u w:val="single" w:color="auto"/>
          <w:color w:val="auto"/>
        </w:rPr>
        <w:t>RA Disease Activity</w:t>
      </w:r>
      <w:r>
        <w:rPr>
          <w:rFonts w:ascii="Arial" w:cs="Arial" w:eastAsia="Arial" w:hAnsi="Arial"/>
          <w:sz w:val="18"/>
          <w:szCs w:val="18"/>
          <w:color w:val="auto"/>
        </w:rPr>
        <w:t>. We are also continuing to leverage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 Our candidate assay for RA disease activity is in development, with the validation cohort procured for analysis.</w:t>
      </w:r>
    </w:p>
    <w:p>
      <w:pPr>
        <w:spacing w:after="0" w:line="191" w:lineRule="exact"/>
        <w:rPr>
          <w:rFonts w:ascii="Arial" w:cs="Arial" w:eastAsia="Arial" w:hAnsi="Arial"/>
          <w:sz w:val="22"/>
          <w:szCs w:val="22"/>
          <w:color w:val="auto"/>
        </w:rPr>
      </w:pPr>
    </w:p>
    <w:p>
      <w:pPr>
        <w:jc w:val="both"/>
        <w:ind w:left="660" w:hanging="328"/>
        <w:spacing w:after="0" w:line="230" w:lineRule="exact"/>
        <w:tabs>
          <w:tab w:leader="none" w:pos="683" w:val="left"/>
        </w:tabs>
        <w:numPr>
          <w:ilvl w:val="0"/>
          <w:numId w:val="8"/>
        </w:numPr>
        <w:rPr>
          <w:rFonts w:ascii="Arial" w:cs="Arial" w:eastAsia="Arial" w:hAnsi="Arial"/>
          <w:sz w:val="22"/>
          <w:szCs w:val="22"/>
          <w:color w:val="auto"/>
        </w:rPr>
      </w:pPr>
      <w:r>
        <w:rPr>
          <w:rFonts w:ascii="Arial" w:cs="Arial" w:eastAsia="Arial" w:hAnsi="Arial"/>
          <w:sz w:val="18"/>
          <w:szCs w:val="18"/>
          <w:u w:val="single" w:color="auto"/>
          <w:color w:val="auto"/>
        </w:rPr>
        <w:t>Kidney Damage Biomarkers</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a multi</w:t>
      </w:r>
      <w:r>
        <w:rPr>
          <w:rFonts w:ascii="MS PGothic" w:cs="MS PGothic" w:eastAsia="MS PGothic" w:hAnsi="MS PGothic"/>
          <w:sz w:val="18"/>
          <w:szCs w:val="18"/>
          <w:color w:val="auto"/>
        </w:rPr>
        <w:t>‑</w:t>
      </w:r>
      <w:r>
        <w:rPr>
          <w:rFonts w:ascii="Arial" w:cs="Arial" w:eastAsia="Arial" w:hAnsi="Arial"/>
          <w:sz w:val="18"/>
          <w:szCs w:val="18"/>
          <w:color w:val="auto"/>
        </w:rPr>
        <w:t>analyte blood</w:t>
      </w:r>
      <w:r>
        <w:rPr>
          <w:rFonts w:ascii="MS PGothic" w:cs="MS PGothic" w:eastAsia="MS PGothic" w:hAnsi="MS PGothic"/>
          <w:sz w:val="18"/>
          <w:szCs w:val="18"/>
          <w:color w:val="auto"/>
        </w:rPr>
        <w:t>‑</w:t>
      </w:r>
      <w:r>
        <w:rPr>
          <w:rFonts w:ascii="Arial" w:cs="Arial" w:eastAsia="Arial" w:hAnsi="Arial"/>
          <w:sz w:val="18"/>
          <w:szCs w:val="18"/>
          <w:color w:val="auto"/>
        </w:rPr>
        <w:t>based panel under development, which sensitively detects kidney damage in early renal disease, outperforming creatinine and estimated glomerular filtration rate. Two U.S. provisional patent applications were filed in May 2025 for methods of detecting kidney damage using the blood-based panel. In addition, two abstracts were presented at ACR 2025 on our biomarker panel for early kidney damage comprising uromodulin, myo</w:t>
      </w:r>
      <w:r>
        <w:rPr>
          <w:rFonts w:ascii="MS PGothic" w:cs="MS PGothic" w:eastAsia="MS PGothic" w:hAnsi="MS PGothic"/>
          <w:sz w:val="18"/>
          <w:szCs w:val="18"/>
          <w:color w:val="auto"/>
        </w:rPr>
        <w:t>‑</w:t>
      </w:r>
      <w:r>
        <w:rPr>
          <w:rFonts w:ascii="Arial" w:cs="Arial" w:eastAsia="Arial" w:hAnsi="Arial"/>
          <w:sz w:val="18"/>
          <w:szCs w:val="18"/>
          <w:color w:val="auto"/>
        </w:rPr>
        <w:t>inositol oxygenase, heparanase, and apoptosis</w:t>
      </w:r>
      <w:r>
        <w:rPr>
          <w:rFonts w:ascii="MS PGothic" w:cs="MS PGothic" w:eastAsia="MS PGothic" w:hAnsi="MS PGothic"/>
          <w:sz w:val="18"/>
          <w:szCs w:val="18"/>
          <w:color w:val="auto"/>
        </w:rPr>
        <w:t>‑</w:t>
      </w:r>
      <w:r>
        <w:rPr>
          <w:rFonts w:ascii="Arial" w:cs="Arial" w:eastAsia="Arial" w:hAnsi="Arial"/>
          <w:sz w:val="18"/>
          <w:szCs w:val="18"/>
          <w:color w:val="auto"/>
        </w:rPr>
        <w:t>resistant E3 ubiquitin ligase 1. Further investment is needed to make this offering commercially viable, and it has been deprioritized at this time, in light of other high</w:t>
      </w:r>
      <w:r>
        <w:rPr>
          <w:rFonts w:ascii="MS PGothic" w:cs="MS PGothic" w:eastAsia="MS PGothic" w:hAnsi="MS PGothic"/>
          <w:sz w:val="18"/>
          <w:szCs w:val="18"/>
          <w:color w:val="auto"/>
        </w:rPr>
        <w:t>‑</w:t>
      </w:r>
      <w:r>
        <w:rPr>
          <w:rFonts w:ascii="Arial" w:cs="Arial" w:eastAsia="Arial" w:hAnsi="Arial"/>
          <w:sz w:val="18"/>
          <w:szCs w:val="18"/>
          <w:color w:val="auto"/>
        </w:rPr>
        <w:t>potential programs within our pipeline.</w:t>
      </w:r>
    </w:p>
    <w:p>
      <w:pPr>
        <w:spacing w:after="0" w:line="173" w:lineRule="exact"/>
        <w:rPr>
          <w:rFonts w:ascii="Arial" w:cs="Arial" w:eastAsia="Arial" w:hAnsi="Arial"/>
          <w:sz w:val="22"/>
          <w:szCs w:val="22"/>
          <w:color w:val="auto"/>
        </w:rPr>
      </w:pPr>
    </w:p>
    <w:p>
      <w:pPr>
        <w:jc w:val="both"/>
        <w:ind w:left="660" w:hanging="328"/>
        <w:spacing w:after="0" w:line="259" w:lineRule="auto"/>
        <w:tabs>
          <w:tab w:leader="none" w:pos="68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Myositis Biomarkers</w:t>
      </w:r>
      <w:r>
        <w:rPr>
          <w:rFonts w:ascii="Arial" w:cs="Arial" w:eastAsia="Arial" w:hAnsi="Arial"/>
          <w:sz w:val="18"/>
          <w:szCs w:val="18"/>
          <w:color w:val="auto"/>
        </w:rPr>
        <w:t>. Myositis specific antibodies (MSA) are a well-defined group of important biomarkers for the diagnosis of idiopathic inflammatory myopathies, and the stratification of patients into clinical phenotypes, according to treatment responses, and disease outcomes. Despite the advanced research on these markers, significant challenges persist with standardization and availability of validated methods with fast turnaround time. Our research studies use different technologies for the detection of MSA. When compared, we gain a unique understanding about potential avenues for product development in the area of myositis.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193" w:lineRule="exact"/>
        <w:rPr>
          <w:sz w:val="20"/>
          <w:szCs w:val="20"/>
          <w:color w:val="auto"/>
        </w:rPr>
      </w:pPr>
    </w:p>
    <w:p>
      <w:pPr>
        <w:jc w:val="both"/>
        <w:ind w:left="660" w:hanging="328"/>
        <w:spacing w:after="0" w:line="249" w:lineRule="auto"/>
        <w:tabs>
          <w:tab w:leader="none" w:pos="683"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Commercial Launch of AVISE® CTD Enhancements.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Our flagship product, AVISE® CTD, enables clinicians to more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 complex autoimmune conditions such as SLE, RA, and Sjögren’s syndrome earlier and with greater accuracy, in each case, as compared to the current standard of care. Our laboratory specializes in the testing of rheumatic diseases, delivering precise and timely results, supported by a full suite of AVISE®-branded tests for disease diagnosis, prognosis, and monitoring. With a focus on research, innovation, education, and patient-centered care, we are dedicated to addressing the ongoing challenges of autoimmune disease management.</w:t>
      </w:r>
    </w:p>
    <w:p>
      <w:pPr>
        <w:spacing w:after="0" w:line="203"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In January 2025, we announced conditional approval by the New York State Department of Health (NYSDOH) and commercial launch of our new SLE and RA biomarker assays on the AVISE® CTD platform. Collectively, we believe these new biomarkers will</w:t>
      </w:r>
    </w:p>
    <w:p>
      <w:pPr>
        <w:spacing w:after="0" w:line="1"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further improve the clinical utility of AVISE® CTD, providing clinicians with the information they need to definitively diagnose patients and shorten their autoimmune diagnostic journeys. While these biomarkers have contributed positively to AVISE® CTD ASP, these gains have built gradually, and we remain encouraged by their progress. We expect that, over time, these new biomarkers will continue to drive gains in AVISE® CTD average selling price and gross margin, increase demand, and better position us for profitability.</w:t>
      </w:r>
    </w:p>
    <w:p>
      <w:pPr>
        <w:spacing w:after="0" w:line="234" w:lineRule="exact"/>
        <w:rPr>
          <w:sz w:val="20"/>
          <w:szCs w:val="20"/>
          <w:color w:val="auto"/>
        </w:rPr>
      </w:pPr>
    </w:p>
    <w:p>
      <w:pPr>
        <w:jc w:val="both"/>
        <w:ind w:left="660" w:hanging="328"/>
        <w:spacing w:after="0" w:line="246" w:lineRule="auto"/>
        <w:tabs>
          <w:tab w:leader="none" w:pos="683" w:val="left"/>
        </w:tabs>
        <w:numPr>
          <w:ilvl w:val="0"/>
          <w:numId w:val="10"/>
        </w:numPr>
        <w:rPr>
          <w:rFonts w:ascii="Arial" w:cs="Arial" w:eastAsia="Arial" w:hAnsi="Arial"/>
          <w:sz w:val="22"/>
          <w:szCs w:val="22"/>
          <w:color w:val="auto"/>
        </w:rPr>
      </w:pPr>
      <w:r>
        <w:rPr>
          <w:rFonts w:ascii="Arial" w:cs="Arial" w:eastAsia="Arial" w:hAnsi="Arial"/>
          <w:sz w:val="18"/>
          <w:szCs w:val="18"/>
          <w:i w:val="1"/>
          <w:iCs w:val="1"/>
          <w:u w:val="single" w:color="auto"/>
          <w:color w:val="auto"/>
        </w:rPr>
        <w:t>Peptidyl Arginine Deiminase 4 (PAD4) Biomarkers.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2025, we received conditional approval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NYSDOH and commercially launched our new PAD4 biomarker assays on the AVISE® CTD platform. Anti-PAD4 antibodies have been found to be 35% sensitive and 95% specific for RA in a peer-reviewed validation study. Additionally, anti-PAD4 antibodies have been found in 19% of anti-CCP negative RA patients, helping to address a critical seronegative diagnostic gap. Beyond the diagnostic utility, anti-PAD4 antibodies have been shown to associate with increased risk for radiographic progression, a sign of permanent joint changes.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jc w:val="both"/>
        <w:ind w:left="328" w:hanging="328"/>
        <w:spacing w:after="0" w:line="252" w:lineRule="auto"/>
        <w:tabs>
          <w:tab w:leader="none" w:pos="324" w:val="left"/>
        </w:tabs>
        <w:numPr>
          <w:ilvl w:val="0"/>
          <w:numId w:val="11"/>
        </w:numPr>
        <w:rPr>
          <w:rFonts w:ascii="Arial" w:cs="Arial" w:eastAsia="Arial" w:hAnsi="Arial"/>
          <w:sz w:val="18"/>
          <w:szCs w:val="18"/>
          <w:i w:val="1"/>
          <w:iCs w:val="1"/>
          <w:u w:val="single" w:color="auto"/>
          <w:color w:val="auto"/>
        </w:rPr>
      </w:pPr>
      <w:r>
        <w:rPr>
          <w:rFonts w:ascii="Arial" w:cs="Arial" w:eastAsia="Arial" w:hAnsi="Arial"/>
          <w:sz w:val="18"/>
          <w:szCs w:val="18"/>
          <w:i w:val="1"/>
          <w:iCs w:val="1"/>
          <w:u w:val="single" w:color="auto"/>
          <w:color w:val="auto"/>
        </w:rPr>
        <w:t>Reimbursement for Our Testing Products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 depends on achieving broad coverage and reimbursement for our tests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have in the past and continue to hold claims in the first half of the fiscal year, which typically results in increases in our accounts receivable and an accelerated decrease in our cash in the same period, with the trend subsequently reversed in the second half of the fiscal year as cash is collected on billed tests.</w:t>
      </w:r>
    </w:p>
    <w:p>
      <w:pPr>
        <w:spacing w:after="0" w:line="231" w:lineRule="exact"/>
        <w:rPr>
          <w:rFonts w:ascii="Arial" w:cs="Arial" w:eastAsia="Arial" w:hAnsi="Arial"/>
          <w:sz w:val="18"/>
          <w:szCs w:val="18"/>
          <w:i w:val="1"/>
          <w:iCs w:val="1"/>
          <w:u w:val="single" w:color="auto"/>
          <w:color w:val="auto"/>
        </w:rPr>
      </w:pPr>
    </w:p>
    <w:p>
      <w:pPr>
        <w:jc w:val="both"/>
        <w:ind w:left="328" w:hanging="328"/>
        <w:spacing w:after="0" w:line="249" w:lineRule="auto"/>
        <w:tabs>
          <w:tab w:leader="none" w:pos="324" w:val="left"/>
        </w:tabs>
        <w:numPr>
          <w:ilvl w:val="0"/>
          <w:numId w:val="11"/>
        </w:numPr>
        <w:rPr>
          <w:rFonts w:ascii="Arial" w:cs="Arial" w:eastAsia="Arial" w:hAnsi="Arial"/>
          <w:sz w:val="21"/>
          <w:szCs w:val="21"/>
          <w:color w:val="auto"/>
        </w:rPr>
      </w:pPr>
      <w:r>
        <w:rPr>
          <w:rFonts w:ascii="Arial" w:cs="Arial" w:eastAsia="Arial" w:hAnsi="Arial"/>
          <w:sz w:val="17"/>
          <w:szCs w:val="17"/>
          <w:i w:val="1"/>
          <w:iCs w:val="1"/>
          <w:u w:val="single" w:color="auto"/>
          <w:color w:val="auto"/>
        </w:rPr>
        <w:t>Expanding Adoption of AVISE® CTD.</w:t>
      </w:r>
      <w:r>
        <w:rPr>
          <w:rFonts w:ascii="Arial" w:cs="Arial" w:eastAsia="Arial" w:hAnsi="Arial"/>
          <w:sz w:val="17"/>
          <w:szCs w:val="17"/>
          <w:i w:val="1"/>
          <w:iCs w:val="1"/>
          <w:color w:val="auto"/>
        </w:rPr>
        <w:t xml:space="preserve"> </w:t>
      </w:r>
      <w:r>
        <w:rPr>
          <w:rFonts w:ascii="Arial" w:cs="Arial" w:eastAsia="Arial" w:hAnsi="Arial"/>
          <w:sz w:val="17"/>
          <w:szCs w:val="17"/>
          <w:color w:val="auto"/>
        </w:rPr>
        <w:t>Since the launch of AVISE</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CTD in 2012 and through March 31, 2026, we have delivered over</w:t>
      </w:r>
      <w:r>
        <w:rPr>
          <w:rFonts w:ascii="Arial" w:cs="Arial" w:eastAsia="Arial" w:hAnsi="Arial"/>
          <w:sz w:val="17"/>
          <w:szCs w:val="17"/>
          <w:i w:val="1"/>
          <w:iCs w:val="1"/>
          <w:color w:val="auto"/>
        </w:rPr>
        <w:t xml:space="preserve"> </w:t>
      </w:r>
      <w:r>
        <w:rPr>
          <w:rFonts w:ascii="Arial" w:cs="Arial" w:eastAsia="Arial" w:hAnsi="Arial"/>
          <w:sz w:val="17"/>
          <w:szCs w:val="17"/>
          <w:color w:val="auto"/>
        </w:rPr>
        <w:t>one million of these tests. During the three months ended March 31, 2026, the number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delivered increased by approximately 10% over the same period in 2025. Revenue growth for our testing products will depend, in part, on our ability to continue to expand our base of ordering healthcare providers and increase our penetration with existing healthcare providers and on the success of the T-Cell Biomarkers and RA Sub-Profile Biomarkers, which we added to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in January 2025.</w:t>
      </w:r>
    </w:p>
    <w:p>
      <w:pPr>
        <w:spacing w:after="0" w:line="105" w:lineRule="exact"/>
        <w:rPr>
          <w:rFonts w:ascii="Arial" w:cs="Arial" w:eastAsia="Arial" w:hAnsi="Arial"/>
          <w:sz w:val="21"/>
          <w:szCs w:val="21"/>
          <w:color w:val="auto"/>
        </w:rPr>
      </w:pPr>
    </w:p>
    <w:p>
      <w:pPr>
        <w:jc w:val="both"/>
        <w:ind w:left="328" w:hanging="328"/>
        <w:spacing w:after="0" w:line="259" w:lineRule="auto"/>
        <w:tabs>
          <w:tab w:leader="none" w:pos="351"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Development of Innovative Testing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continue to invest in research and development in order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 capabilities, bioinformatic team and proprietary technologies to pursue the development of additional testing products designed to have superior clinical utility for rheumatic conditions.</w:t>
      </w:r>
    </w:p>
    <w:p>
      <w:pPr>
        <w:spacing w:after="0" w:line="219" w:lineRule="exact"/>
        <w:rPr>
          <w:rFonts w:ascii="Arial" w:cs="Arial" w:eastAsia="Arial" w:hAnsi="Arial"/>
          <w:sz w:val="18"/>
          <w:szCs w:val="18"/>
          <w:color w:val="auto"/>
        </w:rPr>
      </w:pPr>
    </w:p>
    <w:p>
      <w:pPr>
        <w:jc w:val="both"/>
        <w:ind w:left="328" w:hanging="328"/>
        <w:spacing w:after="0" w:line="247"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a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enhancements and improved operating expense efficiencies through the implementation of certain internal initiatives, such as leveraging validation, utility and reimbursement-oriented clinical studies to facilitate payor coverage of our testing products. We center our efforts around long-term reimbursement and Average Selling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230" w:lineRule="exact"/>
        <w:rPr>
          <w:rFonts w:ascii="Arial" w:cs="Arial" w:eastAsia="Arial" w:hAnsi="Arial"/>
          <w:sz w:val="22"/>
          <w:szCs w:val="22"/>
          <w:color w:val="auto"/>
        </w:rPr>
      </w:pPr>
    </w:p>
    <w:p>
      <w:pPr>
        <w:jc w:val="both"/>
        <w:ind w:left="328" w:hanging="328"/>
        <w:spacing w:after="0" w:line="239" w:lineRule="auto"/>
        <w:tabs>
          <w:tab w:leader="none" w:pos="337"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Timing of Our Research and Development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conduct clinical studies to validate our new testing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200" w:lineRule="exact"/>
        <w:rPr>
          <w:sz w:val="20"/>
          <w:szCs w:val="20"/>
          <w:color w:val="auto"/>
        </w:rPr>
      </w:pPr>
    </w:p>
    <w:p>
      <w:pPr>
        <w:spacing w:after="0" w:line="33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06" w:right="339" w:bottom="1440" w:gutter="0" w:footer="0" w:header="0"/>
        </w:sectPr>
      </w:pPr>
    </w:p>
    <w:bookmarkStart w:id="26" w:name="page27"/>
    <w:bookmarkEnd w:id="26"/>
    <w:p>
      <w:pPr>
        <w:jc w:val="both"/>
        <w:ind w:left="660" w:hanging="328"/>
        <w:spacing w:after="0" w:line="242" w:lineRule="auto"/>
        <w:tabs>
          <w:tab w:leader="none" w:pos="683" w:val="left"/>
        </w:tabs>
        <w:numPr>
          <w:ilvl w:val="0"/>
          <w:numId w:val="12"/>
        </w:numPr>
        <w:rPr>
          <w:rFonts w:ascii="Arial" w:cs="Arial" w:eastAsia="Arial" w:hAnsi="Arial"/>
          <w:sz w:val="22"/>
          <w:szCs w:val="22"/>
          <w:color w:val="auto"/>
        </w:rPr>
      </w:pPr>
      <w:r>
        <w:rPr>
          <w:rFonts w:ascii="Arial" w:cs="Arial" w:eastAsia="Arial" w:hAnsi="Arial"/>
          <w:sz w:val="18"/>
          <w:szCs w:val="18"/>
          <w:i w:val="1"/>
          <w:iCs w:val="1"/>
          <w:u w:val="single" w:color="auto"/>
          <w:color w:val="auto"/>
        </w:rPr>
        <w:t>How We Recognize Revenue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revenue on an accrual basis, using an estimate of the amount that we will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While each of these areas present significant opportunities for us, they also pose significant risks and challenges that we must address. We discuss many of these risks, uncertainties and other factors that may affect our performance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2025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Trade Policy</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business, results of operations and financial condition may be adversely affected by uncertainty and changes in U.S. trade policies, including tariffs, quotas, trade agreements or other trade restrictions imposed by the U.S. or other governments. Our business requires access to reagents and other materials to run our tests, some of which we source from suppliers located outside the United States, including Germany. Any imposition of or increase in tariffs or other restrictions on imports of reagents or other materials,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increase our revenue may depend, in part, on the success of the T-Cell Biomarker and RA and PAD4 Sub-Profile Biomarkers enhancements to our AVISE® CTD test, in addition to our ability to further penetrate the market for our current and future testing products and increase our reimbursement and collection rates (ASP) for tests delivered.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both"/>
        <w:spacing w:after="0" w:line="235" w:lineRule="auto"/>
        <w:rPr>
          <w:sz w:val="20"/>
          <w:szCs w:val="20"/>
          <w:color w:val="auto"/>
        </w:rPr>
      </w:pPr>
      <w:r>
        <w:rPr>
          <w:rFonts w:ascii="Arial" w:cs="Arial" w:eastAsia="Arial" w:hAnsi="Arial"/>
          <w:sz w:val="18"/>
          <w:szCs w:val="18"/>
          <w:color w:val="auto"/>
        </w:rPr>
        <w:t>In April 2022, we were granted a Proprietary Laboratory Analyses code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is offered standalone or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Noridian Healthcare Solutions (Noridian), our Medicare Administrative Contractor (MAC), has set the current pricing for this PLA code at $840.65 per test. CMS will align local MAC pricing with national payment rates for the PLA code on the 2026 Clinical Laboratory Fee Schedule through their annual payment determination process to provide a standardized, nationally determined payment rate.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submitted a formal request to Noridian for coverage of our AVISE® Lupus test under the new PLA Code and on September 27, 2022, we received notice that Noridian deemed our application for a Local Coverage Determination (LCD) to be valid, but our application is still pending. Ultimately receiving a favorable LCD is uncertain and may be time-consuming, resource intensive and require multiple quarterly or annual periods to complete and is subject to risks and uncertainties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2025 Annual Report and this Quarterly Report. Further, on January 20, 2025, President Trump issued an Executive Order entitled Regulatory Freeze Pending Review, which halted all federal level regulatory rules and guidance not yet in effect. Because the Executive Order extends to LCDs not yet in effect, it leaves the fate and timing of our LCD application uncertain.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meantime, we have continued to submit Medicare claims for AVISE® Lupus, appeal denials and respond to requests for additional information. On January 31, 2024, CMS released a coverage article under which all multi-analyte proteomic testing will be considered within the scope of the Molecular Diagnostic Services Program administered by Palmetto GBA on behalf of CMS (MolDX) and reviewed through their technology assessment process. The article listed several such tests, including the AVISE® Lupus test, and requires all laboratories furnishing multi-analyte proteomics testing in MolDX jurisdictions to register with the DEX® Diagnostics Exchange Registry and obtain a Z-Code® identifier. We were issued a Z-Code® identifier in May 2024. To determine if the submitted tests are compliant with relevant policy requirements, these tests will undergo technical assessment by Palmetto GBA as part of the MolDX program. That technical assessment is on hold until such time as an LCD is issued by CMS. In the interim, we expect our current status with CMS to remain unchanged.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During the fiscal year ended December 31, 2024, we experienced moderate declines in test volume since the second half of the fiscal year ended December 31, 2023, as rheumatologists and patients adjusted to these changes. During the fiscal year ended December 31, 2025, we saw a return to volume growth. The number of AVISE® CTD tests delivered during the three months ended March 31, 2026 improved by approximately 10% as compared to the number of AVISE® CTD tests delivered during the three months ended March 31, 2025 due to continuing physician demand and adoption, early traction from our new biomarkers, and salesforce expansion. Additionally, the trailing-twelve-month ASP of our AVISE® CTD tests increased by approximately 6% during the three months ended March 31, 2026 compared to the same period in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represents the expenses associated with obtaining and testing patient specimens. The components of our cost of revenue include materials costs, direct labor, equipment, infrastructure expenses, shipping charges to transport specimens, blood specimen collections fees, royalties, depreciation and allocated overhead (including rent and utilities).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 of revenue as a percentage of revenue may vary significantly from period to period due to the composition of payors for each period's billings. Our cost per AVISE® CTD test has increased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8" w:name="page29"/>
    <w:bookmarkEnd w:id="28"/>
    <w:p>
      <w:pPr>
        <w:jc w:val="both"/>
        <w:ind w:right="20"/>
        <w:spacing w:after="0" w:line="287" w:lineRule="auto"/>
        <w:rPr>
          <w:sz w:val="20"/>
          <w:szCs w:val="20"/>
          <w:color w:val="auto"/>
        </w:rPr>
      </w:pPr>
      <w:r>
        <w:rPr>
          <w:rFonts w:ascii="Arial" w:cs="Arial" w:eastAsia="Arial" w:hAnsi="Arial"/>
          <w:sz w:val="18"/>
          <w:szCs w:val="18"/>
          <w:color w:val="auto"/>
        </w:rPr>
        <w:t>year-over-year as a result of costs associated with the addition of the T-Cell Biomarkers and RA Sub-Profile Biomarkers to our AVISE® CTD test.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consists of cash and non-cash interest expense associated with borrowings under the Perceptive Term Loan Facility as well as our other financing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 of the warrant liability relates to the Warrant Certificate.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(Expense), net consists of gains and losses on debt modification related to the First Amendment executed in March 2026, as well as Interest income earned on our cash and cash equivalents.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17,306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10,205</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r>
      <w:tr>
        <w:trPr>
          <w:trHeight w:val="17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5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r>
      <w:tr>
        <w:trPr>
          <w:trHeight w:val="198"/>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r>
      <w:tr>
        <w:trPr>
          <w:trHeight w:val="200"/>
        </w:trPr>
        <w:tc>
          <w:tcPr>
            <w:tcW w:w="5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13,619</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882</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Revenue increased $ 1.8 million, or 11.7%, for the three months ended March 31, 2026 compared to the three months ended March 31, 2025, primarily due to ASP expansion driven primarily by our new biomarkers, and, to a lesser extent, an increase in test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three months ended March 31, 2026 increased by approximately 10% compared to the same period in 2025. In addition,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trailing twelve-month ASP increased by $25 per test to $444 per test in the first quarter of 2026 from $419 per test in the first quarter of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increased $0.7 million, or 11.4%, for the three months ended March 31, 2026 compared to the three months ended March 31, 2025. This increase was primarily due to increases of $0.5 million in the cost of materials and supplies, $0.2 million in depreciation and amortization, and $0.2 million in other expenses, partially offset by a decrease of $0.2 million in employee-related expenses (including salaries, benefits and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margin as a percentage of revenue increased to 59.0% for the three months ended March 31, 2026 compared to 58.9% for the three months ended March 31, 2025, primarily due to the changes to revenue and cost of revenue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expenses increased $0.9 million, or 7.7%, for the three months ended March 31, 2026 compared to the three months ended March 31, 2025. This increase was primarily due to an increase of $0.8 million in employee-related expenses (including salaries, benefits, commissions, bonuses and stock-based compensation) and an increase of $0.1 million in outside services.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that our selling, general and administrative expenses may increase moderately in absolute dollars in the near-term as we expand our sales force and invest in infrastructure to support expected volume and revenue growth, but expect our selling, general and administrative expenses to decrease year-over-year as a percentage of revenue.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expenses increased $0.3 million, or 21.0%, for the three months ended March 31, 2026 compared to the three months ended March 31, 2025. This increase was primarily due to an increase of $0.3 million in employee-related expenses (including salaries, benefits, bonuses and stock-based compensation) and an increase of $0.1 million in clinical trial expenses, partially offset by a decrease of $0.1 million in outside services.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research and development expenses may increase moderately in absolute dollars in the near-term as we execute on additional pipeline initiatives, but expect our research and development expenses to decrease year-over-year as a percentage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increased by $ 0.7 million, including an increase of $ 0.3 million in non-cash interest expense, for the three months ended March 31, 2026 compared to the three months ended March 31, 2025, primarily due to the Perceptive Term Loan Facility that we entered into in April 2025 and the embedded finance lease related to a supply agreement, as amended, with one of our suppliers for certain reagents. We expect to continue to incur this interest expense under the Perceptive Term Loan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the warrant liability increased by $0.9 million for the three months ended March 31, 2026 compared to the three months ended March 31, 2025, primarily due to the Credit Agreement executed in April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income decreased $0.3 million for the three months ended March 31, 2026 compared to the three months ended March 31, 2025, primarily due to a $0.3 million net loss on debt modification related to the First Amendment executed in March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net losses since our inception. For the three months ended March 31, 2026 and 2025, we incurred a net loss of $4.0 million and $3.8 million, respectively, and we expect to incur additional losses in future periods. To date, we have generated only limited revenue, and despite any estimates we may make regarding our ability to become profitable, we may never achieve revenue sufficient to offset our expenses. As of March 31, 2026, we had an accumulated deficit of $318.2 million and cash and cash equivalents of $21.5 million. Cash in excess of immediate requirements is invested in accordance with our investment policy, primarily with a view to liquidity and capital preservation. Currently, our funds are held in cash. A total of an additional $ 40.0 million is available at our option under the Perceptive Term Loan Facility as amended in March 2026 should we attain specified revenue levels and satisfy other conditions. We held claims in the quarter ended March 31, 2026, which resulted in increases in our accounts receivable and an accelerated decrease in our cash and cash equivalents in the quarter ended March 31, 2026 and a reversal of that trend is expected in the remaining three quarters of the fiscal year ending December 31, 2026.</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term loan facilities.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obligations under the Perceptive Term Loan Facility are secured by a first-priority lien on substantially all of our existing and future assets. In connection with the Credit Agreement, we issued the Warrant Certificate to Perceptive. The Warrant Certificate has a ten-year term from the applicable issuance date and includes protection for certain dilutive issuances and registration rights provisions. The Perceptive Term Loan Facility includes customary affirmative, negative, and financial covenants. These include, among others, restrictions on additional indebtedness, liens, dividends, mergers and acquisitions, and affiliate transactions. The Perceptive Term Loan Facility also requires that we maintain a minimum unrestricted cash balance of $3.0 million and achieve specified net revenue levels on a quarterly basis beginning with the quarter ending June 30, 2025. In addition, upon the occurrence of an event of default, Perceptive, among other things, can declare all indebtedness due and payable immediately, which would adversely impact our liquidity and reduce the availability of our cash flows to fund working capital needs,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31" w:name="page32"/>
    <w:bookmarkEnd w:id="31"/>
    <w:p>
      <w:pPr>
        <w:jc w:val="both"/>
        <w:spacing w:after="0" w:line="287" w:lineRule="auto"/>
        <w:rPr>
          <w:sz w:val="20"/>
          <w:szCs w:val="20"/>
          <w:color w:val="auto"/>
        </w:rPr>
      </w:pPr>
      <w:r>
        <w:rPr>
          <w:rFonts w:ascii="Arial" w:cs="Arial" w:eastAsia="Arial" w:hAnsi="Arial"/>
          <w:sz w:val="18"/>
          <w:szCs w:val="18"/>
          <w:color w:val="auto"/>
        </w:rPr>
        <w:t>capital expenditures and other general corporate purposes. As of March 31, 2026, we were in compliance with all covenants of the Perceptive Term Loan Facility.</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17, 2023, we filed the Shelf Registration Statement covering the offering, from time to time, of up to $150.0 million shares of our common stock, preferred stock, debt securities, warrants and units, of which $126.2 million remained available for sale at March 31, 2026.</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15, 2022, we entered into the Amended Sales Agreement with TD Cowen, as sales agent, pursuant to which we may offer and sell, from time to time, shares of common stock having an aggregate offering price of up to $50.0 million. We are not obligated to sell any shares of our common stock under the Amended Sales Agreement. As of December 31, 2025, we have sold 360,554 shares of common stock under the Amended Sales Agreement at an average per share price of $9.82, for gross proceeds of approximately $ 3.5 million and net proceeds of approximately $3.4 million after deducting $ 0.1 million in commissions paid to TD Cowen and other offering expenses payable by us. During the three months ended March 31, 2026, we did not sell any shares of our common stock pursuant to the Amended Sales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increases in cost of revenue as a result of costs associated with the addition of the T-Cell Biomarkers and RA Sub-Profile Biomarkers to our AVISE® CTD test.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 and our office space in Carlsbad, CA, and payments for operating and finance leases related to our laboratory equipment (see "Note 4.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unaudited condensed financial statements included in this Quarterly Report and "Note 5. </w:t>
      </w:r>
      <w:r>
        <w:rPr>
          <w:rFonts w:ascii="Arial" w:cs="Arial" w:eastAsia="Arial" w:hAnsi="Arial"/>
          <w:sz w:val="18"/>
          <w:szCs w:val="18"/>
          <w:i w:val="1"/>
          <w:iCs w:val="1"/>
          <w:color w:val="auto"/>
        </w:rPr>
        <w:t>Leases</w:t>
      </w:r>
      <w:r>
        <w:rPr>
          <w:rFonts w:ascii="Arial" w:cs="Arial" w:eastAsia="Arial" w:hAnsi="Arial"/>
          <w:sz w:val="18"/>
          <w:szCs w:val="18"/>
          <w:color w:val="auto"/>
        </w:rPr>
        <w:t>," to our financial statements included in our 2025 Annual Report). Based on our current business plan, we believe that our existing cash and cash equivalents and our anticipated future revenue, will be sufficient to meet our anticipated cash requirements for at least the next twelve months from the date of this filing.</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53" w:lineRule="exact"/>
        <w:rPr>
          <w:sz w:val="20"/>
          <w:szCs w:val="20"/>
          <w:color w:val="auto"/>
        </w:rPr>
      </w:pPr>
    </w:p>
    <w:p>
      <w:pPr>
        <w:ind w:left="66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improve AVISE® CTD ASP as a result of the launch of the T-Cell Biomarkers and RA Sub-Profile Biomarkers, in addition to our ability to achieve adequate reimbursement for these additions to our AVISE® CTD test offering;</w:t>
      </w:r>
    </w:p>
    <w:p>
      <w:pPr>
        <w:spacing w:after="0" w:line="1"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ind w:left="660" w:right="20" w:hanging="328"/>
        <w:spacing w:after="0" w:line="23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and commercialization efforts; and</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may be required to finance our operations as needed through equity offerings, debt financings or other capital sources, including potential collaborations, licenses and other similar arrangements. The Perceptive Term Loan Facility involves, and any additional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83"/>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(10,417)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(10,671)</w:t>
            </w:r>
          </w:p>
        </w:tc>
      </w:tr>
      <w:tr>
        <w:trPr>
          <w:trHeight w:val="20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9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2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2026 was $10.4 million, primarily resulting from (i) our net loss of $4.0 million adjusted for non-cash charges of $1.3 million primarily related to change in fair value of warrant liability, stock-based compensation, depreciation and amortization, non-cash lease expense and non-cash interest and (ii) changes in our net operating assets of $7.8 million primarily related to net increases in accounts receivable and prepaid expenses and other current assets, partially offset by net decreases in accrued and other current liabilities and operating lease liabilities.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2025 was $10.7 million, primarily resulting from (i) our net loss of $3.8 million adjusted for non-cash charges of $ 1.2 million primarily related to stock-based compensation, depreciation, amortization, non-cash lease expense and non-cash interest, and (ii) changes in our net operating assets of $8.1 million primarily related to net increases in accounts receivable and net decreases in accrued and other current liabilities and operating lease liabilities, partially offset by net increases in accounts payable.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three months ended March 31, 2026 and 2025 was $0.2 million and $0.1 million, respectively,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2026 was $0.1 million, primarily resulting from payments on finance lease and notes payable obligations, partially offset by proceeds from ESPP purchases.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2025 was $0.1 million, primarily resulting from payments on finance lease and notes payable obligations, partially offset by proceeds from ESPP purchases.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our critical accounting estimates,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2025 Annual Report. There have been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our critical accounting policies and estimates during the three months ended March 31, 2026 as compared to the critical accounting policies and estimates disclosed in the Management’s Discussion and Analysis of Financial Condition and Operations included in our 2025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Please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unaudited condensed financial statements included in this Quarterly Report for a summary of recent accounting pronouncements.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March 31, 2026, our disclosure controls and procedures were effective at a reasonable level of assurance.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2026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party to any material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Part I, Item 1A, "Risk Factors" of our 2025 Annual Report.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2026, none of our directors or officers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37" w:name="page38"/>
    <w:bookmarkEnd w:id="37"/>
    <w:p>
      <w:pPr>
        <w:ind w:left="4223"/>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03"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30"/>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40" w:type="dxa"/>
            <w:vAlign w:val="bottom"/>
            <w:gridSpan w:val="30"/>
          </w:tcPr>
          <w:p>
            <w:pPr>
              <w:spacing w:after="0" w:line="155" w:lineRule="exact"/>
              <w:rPr>
                <w:rFonts w:ascii="Arial" w:cs="Arial" w:eastAsia="Arial" w:hAnsi="Arial"/>
                <w:sz w:val="14"/>
                <w:szCs w:val="14"/>
                <w:color w:val="0000FF"/>
              </w:rPr>
            </w:pPr>
            <w:hyperlink r:id="rId47">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Incorporation.</w:t>
              </w:r>
            </w:hyperlink>
          </w:p>
        </w:tc>
        <w:tc>
          <w:tcPr>
            <w:tcW w:w="1480" w:type="dxa"/>
            <w:vAlign w:val="bottom"/>
            <w:tcBorders>
              <w:top w:val="single" w:sz="8" w:color="0000FF"/>
            </w:tcBorders>
            <w:gridSpan w:val="8"/>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30"/>
          </w:tcPr>
          <w:p>
            <w:pPr>
              <w:spacing w:after="0"/>
              <w:rPr>
                <w:rFonts w:ascii="Arial" w:cs="Arial" w:eastAsia="Arial" w:hAnsi="Arial"/>
                <w:sz w:val="14"/>
                <w:szCs w:val="14"/>
                <w:color w:val="0000FF"/>
              </w:rPr>
            </w:pPr>
            <w:hyperlink r:id="rId48">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30"/>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Amendment to 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dated January 19, 2023</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30"/>
          </w:tcPr>
          <w:p>
            <w:pPr>
              <w:spacing w:after="0"/>
              <w:rPr>
                <w:rFonts w:ascii="Arial" w:cs="Arial" w:eastAsia="Arial" w:hAnsi="Arial"/>
                <w:sz w:val="14"/>
                <w:szCs w:val="14"/>
                <w:color w:val="0000FF"/>
              </w:rPr>
            </w:pPr>
            <w:hyperlink r:id="rId50">
              <w:r>
                <w:rPr>
                  <w:rFonts w:ascii="Arial" w:cs="Arial" w:eastAsia="Arial" w:hAnsi="Arial"/>
                  <w:sz w:val="14"/>
                  <w:szCs w:val="14"/>
                  <w:color w:val="0000FF"/>
                </w:rPr>
                <w:t>Specimen stock certificate evidencing the shares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50">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40" w:type="dxa"/>
            <w:vAlign w:val="bottom"/>
            <w:gridSpan w:val="30"/>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51">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30"/>
          </w:tcPr>
          <w:p>
            <w:pPr>
              <w:spacing w:after="0" w:line="115" w:lineRule="exact"/>
              <w:rPr>
                <w:rFonts w:ascii="Arial" w:cs="Arial" w:eastAsia="Arial" w:hAnsi="Arial"/>
                <w:sz w:val="13"/>
                <w:szCs w:val="13"/>
                <w:color w:val="0000FF"/>
              </w:rPr>
            </w:pPr>
            <w:hyperlink r:id="rId51">
              <w:r>
                <w:rPr>
                  <w:rFonts w:ascii="Arial" w:cs="Arial" w:eastAsia="Arial" w:hAnsi="Arial"/>
                  <w:sz w:val="13"/>
                  <w:szCs w:val="13"/>
                  <w:color w:val="0000FF"/>
                </w:rPr>
                <w:t>connection with private placement financings.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2880" w:type="dxa"/>
            <w:vAlign w:val="bottom"/>
            <w:tcBorders>
              <w:top w:val="single" w:sz="8" w:color="0000FF"/>
            </w:tcBorders>
            <w:gridSpan w:val="20"/>
          </w:tcPr>
          <w:p>
            <w:pPr>
              <w:spacing w:after="0"/>
              <w:rPr>
                <w:rFonts w:ascii="Arial" w:cs="Arial" w:eastAsia="Arial" w:hAnsi="Arial"/>
                <w:sz w:val="14"/>
                <w:szCs w:val="14"/>
                <w:color w:val="0000FF"/>
              </w:rPr>
            </w:pPr>
            <w:hyperlink r:id="rId52">
              <w:r>
                <w:rPr>
                  <w:rFonts w:ascii="Arial" w:cs="Arial" w:eastAsia="Arial" w:hAnsi="Arial"/>
                  <w:sz w:val="14"/>
                  <w:szCs w:val="14"/>
                  <w:color w:val="0000FF"/>
                </w:rPr>
                <w:t>Form of Common Stock Purchase Warrant to</w:t>
              </w:r>
            </w:hyperlink>
          </w:p>
        </w:tc>
        <w:tc>
          <w:tcPr>
            <w:tcW w:w="260" w:type="dxa"/>
            <w:vAlign w:val="bottom"/>
            <w:gridSpan w:val="10"/>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0"/>
          </w:tcPr>
          <w:p>
            <w:pPr>
              <w:spacing w:after="0" w:line="129" w:lineRule="exact"/>
              <w:rPr>
                <w:rFonts w:ascii="Arial" w:cs="Arial" w:eastAsia="Arial" w:hAnsi="Arial"/>
                <w:sz w:val="14"/>
                <w:szCs w:val="14"/>
                <w:color w:val="0000FF"/>
              </w:rPr>
            </w:pPr>
            <w:hyperlink r:id="rId52">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1720" w:type="dxa"/>
            <w:vAlign w:val="bottom"/>
            <w:tcBorders>
              <w:bottom w:val="single" w:sz="8" w:color="0000FF"/>
            </w:tcBorders>
            <w:gridSpan w:val="8"/>
          </w:tcPr>
          <w:p>
            <w:pPr>
              <w:spacing w:after="0"/>
              <w:rPr>
                <w:rFonts w:ascii="Arial" w:cs="Arial" w:eastAsia="Arial" w:hAnsi="Arial"/>
                <w:sz w:val="14"/>
                <w:szCs w:val="14"/>
                <w:color w:val="0000FF"/>
              </w:rPr>
            </w:pPr>
            <w:hyperlink r:id="rId53">
              <w:r>
                <w:rPr>
                  <w:rFonts w:ascii="Arial" w:cs="Arial" w:eastAsia="Arial" w:hAnsi="Arial"/>
                  <w:sz w:val="14"/>
                  <w:szCs w:val="14"/>
                  <w:color w:val="0000FF"/>
                </w:rPr>
                <w:t>Form of Exchange Warrant</w:t>
              </w:r>
            </w:hyperlink>
          </w:p>
        </w:tc>
        <w:tc>
          <w:tcPr>
            <w:tcW w:w="1420" w:type="dxa"/>
            <w:vAlign w:val="bottom"/>
            <w:gridSpan w:val="22"/>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3140" w:type="dxa"/>
            <w:vAlign w:val="bottom"/>
            <w:gridSpan w:val="30"/>
          </w:tcPr>
          <w:p>
            <w:pPr>
              <w:spacing w:after="0"/>
              <w:rPr>
                <w:rFonts w:ascii="Arial" w:cs="Arial" w:eastAsia="Arial" w:hAnsi="Arial"/>
                <w:sz w:val="14"/>
                <w:szCs w:val="14"/>
                <w:color w:val="0000FF"/>
              </w:rPr>
            </w:pPr>
            <w:hyperlink r:id="rId54">
              <w:r>
                <w:rPr>
                  <w:rFonts w:ascii="Arial" w:cs="Arial" w:eastAsia="Arial" w:hAnsi="Arial"/>
                  <w:sz w:val="14"/>
                  <w:szCs w:val="14"/>
                  <w:color w:val="0000FF"/>
                </w:rPr>
                <w:t>Warrant Certificate, dated April 25, 2025, issued</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6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by the Company to Perceptive Credit Holdings</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7"/>
              </w:rPr>
            </w:pPr>
            <w:hyperlink r:id="rId54">
              <w:r>
                <w:rPr>
                  <w:rFonts w:ascii="Arial" w:cs="Arial" w:eastAsia="Arial" w:hAnsi="Arial"/>
                  <w:sz w:val="13"/>
                  <w:szCs w:val="13"/>
                  <w:color w:val="0000FF"/>
                  <w:w w:val="97"/>
                </w:rPr>
                <w:t>IV, LP.</w:t>
              </w:r>
            </w:hyperlink>
          </w:p>
        </w:tc>
        <w:tc>
          <w:tcPr>
            <w:tcW w:w="2540" w:type="dxa"/>
            <w:vAlign w:val="bottom"/>
            <w:tcBorders>
              <w:top w:val="single" w:sz="8" w:color="0000FF"/>
            </w:tcBorders>
            <w:gridSpan w:val="21"/>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30"/>
          </w:tcPr>
          <w:p>
            <w:pPr>
              <w:spacing w:after="0"/>
              <w:rPr>
                <w:sz w:val="20"/>
                <w:szCs w:val="20"/>
                <w:color w:val="auto"/>
              </w:rPr>
            </w:pPr>
            <w:r>
              <w:rPr>
                <w:rFonts w:ascii="Arial" w:cs="Arial" w:eastAsia="Arial" w:hAnsi="Arial"/>
                <w:sz w:val="14"/>
                <w:szCs w:val="14"/>
                <w:color w:val="0000FF"/>
              </w:rPr>
              <w:t>Amended &amp; Restated Non-Employee Director</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520" w:type="dxa"/>
            <w:vAlign w:val="bottom"/>
            <w:tcBorders>
              <w:top w:val="single" w:sz="8" w:color="0000FF"/>
              <w:bottom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Compensation Program</w:t>
            </w:r>
          </w:p>
        </w:tc>
        <w:tc>
          <w:tcPr>
            <w:tcW w:w="1380" w:type="dxa"/>
            <w:vAlign w:val="bottom"/>
            <w:tcBorders>
              <w:top w:val="single" w:sz="8" w:color="0000FF"/>
            </w:tcBorders>
            <w:gridSpan w:val="14"/>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40" w:type="dxa"/>
            <w:vAlign w:val="bottom"/>
            <w:gridSpan w:val="30"/>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0"/>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600" w:type="dxa"/>
            <w:vAlign w:val="bottom"/>
            <w:tcBorders>
              <w:top w:val="single" w:sz="8" w:color="0000FF"/>
            </w:tcBorders>
            <w:gridSpan w:val="16"/>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20" w:type="dxa"/>
            <w:vAlign w:val="bottom"/>
            <w:gridSpan w:val="2"/>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3140" w:type="dxa"/>
            <w:vAlign w:val="bottom"/>
            <w:gridSpan w:val="30"/>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00" w:type="dxa"/>
            <w:vAlign w:val="bottom"/>
            <w:tcBorders>
              <w:top w:val="single" w:sz="8" w:color="0000FF"/>
            </w:tcBorders>
            <w:gridSpan w:val="28"/>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560" w:type="dxa"/>
            <w:vAlign w:val="bottom"/>
            <w:tcBorders>
              <w:top w:val="single" w:sz="8" w:color="0000FF"/>
            </w:tcBorders>
            <w:gridSpan w:val="14"/>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80" w:type="dxa"/>
            <w:vAlign w:val="bottom"/>
            <w:gridSpan w:val="16"/>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20" w:type="dxa"/>
            <w:vAlign w:val="bottom"/>
            <w:tcBorders>
              <w:top w:val="single" w:sz="8" w:color="0000FF"/>
            </w:tcBorders>
            <w:gridSpan w:val="25"/>
          </w:tcPr>
          <w:p>
            <w:pPr>
              <w:spacing w:after="0" w:line="129" w:lineRule="exact"/>
              <w:rPr>
                <w:sz w:val="20"/>
                <w:szCs w:val="20"/>
                <w:color w:val="auto"/>
              </w:rPr>
            </w:pPr>
            <w:r>
              <w:rPr>
                <w:rFonts w:ascii="Arial" w:cs="Arial" w:eastAsia="Arial" w:hAnsi="Arial"/>
                <w:sz w:val="14"/>
                <w:szCs w:val="14"/>
                <w:color w:val="0000FF"/>
              </w:rPr>
              <w:t>Act of 2002.</w:t>
            </w:r>
          </w:p>
        </w:tc>
        <w:tc>
          <w:tcPr>
            <w:tcW w:w="120" w:type="dxa"/>
            <w:vAlign w:val="bottom"/>
            <w:gridSpan w:val="5"/>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40" w:type="dxa"/>
            <w:vAlign w:val="bottom"/>
            <w:gridSpan w:val="30"/>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00" w:type="dxa"/>
            <w:vAlign w:val="bottom"/>
            <w:tcBorders>
              <w:top w:val="single" w:sz="8" w:color="0000FF"/>
            </w:tcBorders>
            <w:gridSpan w:val="24"/>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4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18"/>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580" w:type="dxa"/>
            <w:vAlign w:val="bottom"/>
            <w:tcBorders>
              <w:top w:val="single" w:sz="8" w:color="0000FF"/>
            </w:tcBorders>
            <w:gridSpan w:val="15"/>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60" w:type="dxa"/>
            <w:vAlign w:val="bottom"/>
            <w:gridSpan w:val="15"/>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10"/>
            <w:shd w:val="clear" w:color="auto" w:fill="0000FF"/>
          </w:tcPr>
          <w:p>
            <w:pPr>
              <w:spacing w:after="0" w:line="20" w:lineRule="exact"/>
              <w:rPr>
                <w:sz w:val="1"/>
                <w:szCs w:val="1"/>
                <w:color w:val="auto"/>
              </w:rPr>
            </w:pPr>
          </w:p>
        </w:tc>
        <w:tc>
          <w:tcPr>
            <w:tcW w:w="1140" w:type="dxa"/>
            <w:vAlign w:val="bottom"/>
            <w:gridSpan w:val="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30"/>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0"/>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3140" w:type="dxa"/>
            <w:vAlign w:val="bottom"/>
            <w:gridSpan w:val="30"/>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30"/>
          </w:tcPr>
          <w:p>
            <w:pPr>
              <w:spacing w:after="0"/>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101.CAL</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101.DEF</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101.LAB</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101.PRE</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0"/>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40" w:type="dxa"/>
            <w:vAlign w:val="bottom"/>
            <w:gridSpan w:val="30"/>
          </w:tcPr>
          <w:p>
            <w:pPr>
              <w:spacing w:after="0" w:line="153" w:lineRule="exact"/>
              <w:rPr>
                <w:sz w:val="20"/>
                <w:szCs w:val="20"/>
                <w:color w:val="auto"/>
              </w:rPr>
            </w:pPr>
            <w:r>
              <w:rPr>
                <w:rFonts w:ascii="Arial" w:cs="Arial" w:eastAsia="Arial" w:hAnsi="Arial"/>
                <w:sz w:val="14"/>
                <w:szCs w:val="14"/>
                <w:color w:val="auto"/>
              </w:rPr>
              <w:t>March 31, 2026, has been formatted in Inline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943"/>
        <w:spacing w:after="0"/>
        <w:rPr>
          <w:sz w:val="20"/>
          <w:szCs w:val="20"/>
          <w:color w:val="auto"/>
        </w:rPr>
      </w:pPr>
      <w:r>
        <w:rPr>
          <w:rFonts w:ascii="Arial" w:cs="Arial" w:eastAsia="Arial" w:hAnsi="Arial"/>
          <w:sz w:val="14"/>
          <w:szCs w:val="14"/>
          <w:color w:val="auto"/>
        </w:rPr>
        <w:t>XBRL.</w:t>
      </w:r>
    </w:p>
    <w:p>
      <w:pPr>
        <w:spacing w:after="0" w:line="342" w:lineRule="exact"/>
        <w:rPr>
          <w:sz w:val="20"/>
          <w:szCs w:val="20"/>
          <w:color w:val="auto"/>
        </w:rPr>
      </w:pPr>
    </w:p>
    <w:p>
      <w:pPr>
        <w:ind w:left="643" w:hanging="643"/>
        <w:spacing w:after="0" w:line="268" w:lineRule="auto"/>
        <w:tabs>
          <w:tab w:leader="none" w:pos="34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Furnished herewith.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38" w:lineRule="exact"/>
        <w:rPr>
          <w:sz w:val="20"/>
          <w:szCs w:val="20"/>
          <w:color w:val="auto"/>
        </w:rPr>
      </w:pPr>
    </w:p>
    <w:p>
      <w:pPr>
        <w:ind w:left="3"/>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363"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57" w:top="890"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760" w:type="dxa"/>
            <w:vAlign w:val="bottom"/>
          </w:tcPr>
          <w:p>
            <w:pPr>
              <w:spacing w:after="0"/>
              <w:rPr>
                <w:sz w:val="20"/>
                <w:szCs w:val="20"/>
                <w:color w:val="auto"/>
              </w:rPr>
            </w:pPr>
            <w:r>
              <w:rPr>
                <w:rFonts w:ascii="Arial" w:cs="Arial" w:eastAsia="Arial" w:hAnsi="Arial"/>
                <w:sz w:val="18"/>
                <w:szCs w:val="18"/>
                <w:color w:val="auto"/>
              </w:rPr>
              <w:t>Date: May 11, 2026</w:t>
            </w:r>
          </w:p>
        </w:tc>
        <w:tc>
          <w:tcPr>
            <w:tcW w:w="2840" w:type="dxa"/>
            <w:vAlign w:val="bottom"/>
          </w:tcPr>
          <w:p>
            <w:pPr>
              <w:ind w:left="22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18"/>
        </w:trPr>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29"/>
        </w:trPr>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760" w:type="dxa"/>
            <w:vAlign w:val="bottom"/>
          </w:tcPr>
          <w:p>
            <w:pPr>
              <w:spacing w:after="0"/>
              <w:rPr>
                <w:sz w:val="20"/>
                <w:szCs w:val="20"/>
                <w:color w:val="auto"/>
              </w:rPr>
            </w:pPr>
            <w:r>
              <w:rPr>
                <w:rFonts w:ascii="Arial" w:cs="Arial" w:eastAsia="Arial" w:hAnsi="Arial"/>
                <w:sz w:val="18"/>
                <w:szCs w:val="18"/>
                <w:color w:val="auto"/>
              </w:rPr>
              <w:t>Date: May 11, 2026</w:t>
            </w:r>
          </w:p>
        </w:tc>
        <w:tc>
          <w:tcPr>
            <w:tcW w:w="2840" w:type="dxa"/>
            <w:vAlign w:val="bottom"/>
          </w:tcPr>
          <w:p>
            <w:pPr>
              <w:ind w:left="22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G. Black</w:t>
            </w:r>
          </w:p>
        </w:tc>
      </w:tr>
      <w:tr>
        <w:trPr>
          <w:trHeight w:val="218"/>
        </w:trPr>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Jeffrey G. Black</w:t>
            </w:r>
          </w:p>
        </w:tc>
      </w:tr>
      <w:tr>
        <w:trPr>
          <w:trHeight w:val="229"/>
        </w:trPr>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133"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Eligible Directors (as defined below) on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Exagen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Amended and Restated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who may be eligible to receive such cash or equity compensation, unless such Eligible Director declines the receipt of such cash or equity compensation by written notice to the Company. Eligible Directors will include members of the Board who are designated by or affiliated with H.I.G. Capital, LLC (the “</w:t>
      </w:r>
      <w:r>
        <w:rPr>
          <w:rFonts w:ascii="Times New Roman" w:cs="Times New Roman" w:eastAsia="Times New Roman" w:hAnsi="Times New Roman"/>
          <w:sz w:val="20"/>
          <w:szCs w:val="20"/>
          <w:b w:val="1"/>
          <w:bCs w:val="1"/>
          <w:i w:val="1"/>
          <w:iCs w:val="1"/>
          <w:color w:val="auto"/>
        </w:rPr>
        <w:t>Affiliated Directors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This Program shall become effective on February 27, 2026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68"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Eligible Director shall be eligible to receive an annual cash retainer of $50,000 for service</w:t>
      </w:r>
    </w:p>
    <w:p>
      <w:pPr>
        <w:spacing w:after="0" w:line="28"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Board.</w:t>
      </w:r>
    </w:p>
    <w:p>
      <w:pPr>
        <w:spacing w:after="0" w:line="200" w:lineRule="exact"/>
        <w:rPr>
          <w:rFonts w:ascii="Times New Roman" w:cs="Times New Roman" w:eastAsia="Times New Roman" w:hAnsi="Times New Roman"/>
          <w:sz w:val="20"/>
          <w:szCs w:val="20"/>
          <w:color w:val="auto"/>
        </w:rPr>
      </w:pPr>
    </w:p>
    <w:p>
      <w:pPr>
        <w:ind w:left="340" w:firstLine="964"/>
        <w:spacing w:after="0" w:line="283" w:lineRule="auto"/>
        <w:tabs>
          <w:tab w:leader="none" w:pos="19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An Eligible Director shall be eligible to receive the following additional annual retainers, as applicable:</w:t>
      </w:r>
    </w:p>
    <w:p>
      <w:pPr>
        <w:spacing w:after="0" w:line="146" w:lineRule="exact"/>
        <w:rPr>
          <w:rFonts w:ascii="Times New Roman" w:cs="Times New Roman" w:eastAsia="Times New Roman" w:hAnsi="Times New Roman"/>
          <w:sz w:val="20"/>
          <w:szCs w:val="20"/>
          <w:color w:val="auto"/>
        </w:rPr>
      </w:pPr>
    </w:p>
    <w:p>
      <w:pPr>
        <w:ind w:left="340" w:right="20" w:firstLine="1612"/>
        <w:spacing w:after="0" w:line="283" w:lineRule="auto"/>
        <w:tabs>
          <w:tab w:leader="none" w:pos="2385"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An Eligible Director serving as Chairman of the Board shall be eligible to receive an additional annual retainer of $20,000 for such service.</w:t>
      </w:r>
    </w:p>
    <w:p>
      <w:pPr>
        <w:spacing w:after="0" w:line="146" w:lineRule="exact"/>
        <w:rPr>
          <w:rFonts w:ascii="Times New Roman" w:cs="Times New Roman" w:eastAsia="Times New Roman" w:hAnsi="Times New Roman"/>
          <w:sz w:val="20"/>
          <w:szCs w:val="20"/>
          <w:color w:val="auto"/>
        </w:rPr>
      </w:pPr>
    </w:p>
    <w:p>
      <w:pPr>
        <w:jc w:val="both"/>
        <w:ind w:left="340" w:firstLine="1612"/>
        <w:spacing w:after="0" w:line="268" w:lineRule="auto"/>
        <w:tabs>
          <w:tab w:leader="none" w:pos="248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An Eligible Director serving as Chairperson of the Audit Committee shall be eligible to receive an additional annual retainer of $12,000 for such service. An Eligible Director serving as a member of the Audit Committee (other than the Chairperson) shall be eligible to receive an additional annual retainer of $7,500 for such service.</w:t>
      </w:r>
    </w:p>
    <w:p>
      <w:pPr>
        <w:spacing w:after="0" w:line="161" w:lineRule="exact"/>
        <w:rPr>
          <w:rFonts w:ascii="Times New Roman" w:cs="Times New Roman" w:eastAsia="Times New Roman" w:hAnsi="Times New Roman"/>
          <w:sz w:val="20"/>
          <w:szCs w:val="20"/>
          <w:color w:val="auto"/>
        </w:rPr>
      </w:pPr>
    </w:p>
    <w:p>
      <w:pPr>
        <w:jc w:val="both"/>
        <w:ind w:left="340" w:firstLine="1612"/>
        <w:spacing w:after="0" w:line="258" w:lineRule="auto"/>
        <w:tabs>
          <w:tab w:leader="none" w:pos="2468"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An Eligible Director serving as Chairperson of the Compensation Committee shall be eligible to receive an additional annual retainer of $10,000 for such service. An Eligible Director serving as a member of the Compensation Committee (other than the Chairperson) shall be eligible to receive an additional annual retainer of $7,500 for such service.</w:t>
      </w:r>
    </w:p>
    <w:p>
      <w:pPr>
        <w:spacing w:after="0" w:line="185" w:lineRule="exact"/>
        <w:rPr>
          <w:rFonts w:ascii="Times New Roman" w:cs="Times New Roman" w:eastAsia="Times New Roman" w:hAnsi="Times New Roman"/>
          <w:sz w:val="20"/>
          <w:szCs w:val="20"/>
          <w:color w:val="auto"/>
        </w:rPr>
      </w:pPr>
    </w:p>
    <w:p>
      <w:pPr>
        <w:jc w:val="both"/>
        <w:ind w:left="340" w:firstLine="1612"/>
        <w:spacing w:after="0" w:line="254" w:lineRule="auto"/>
        <w:tabs>
          <w:tab w:leader="none" w:pos="2668"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An Eligible Director serving as Chairperson of the Nominating and Corporate Governance Committee shall be eligible to receive an additional annual retainer of $9,000 for such service. An Eligible Director serving as a member of the Nominating and Corporate Governance Committee (other than the Chairperson) shall be eligible to receive an additional annual retainer of $7,500 for such service.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964"/>
        <w:spacing w:after="0" w:line="253" w:lineRule="auto"/>
        <w:tabs>
          <w:tab w:leader="none" w:pos="160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With respect to each Affiliated Director, any such annual cash retainers shall, when payable, be paid to H.I.G. Capital, LLC.</w:t>
      </w:r>
    </w:p>
    <w:p>
      <w:pPr>
        <w:spacing w:after="0" w:line="192" w:lineRule="exact"/>
        <w:rPr>
          <w:rFonts w:ascii="Times New Roman" w:cs="Times New Roman" w:eastAsia="Times New Roman" w:hAnsi="Times New Roman"/>
          <w:sz w:val="20"/>
          <w:szCs w:val="20"/>
          <w:color w:val="auto"/>
        </w:rPr>
      </w:pPr>
    </w:p>
    <w:p>
      <w:pPr>
        <w:ind w:left="960" w:hanging="644"/>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964"/>
        <w:spacing w:after="0" w:line="253" w:lineRule="auto"/>
        <w:tabs>
          <w:tab w:leader="none" w:pos="160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Eligible Directors shall be granted the equity awards described below. The awards described below shall be granted under and shall be subject to the terms and provisions of the Company’s 2019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79" w:lineRule="exact"/>
        <w:rPr>
          <w:rFonts w:ascii="Times New Roman" w:cs="Times New Roman" w:eastAsia="Times New Roman" w:hAnsi="Times New Roman"/>
          <w:sz w:val="20"/>
          <w:szCs w:val="20"/>
          <w:color w:val="auto"/>
        </w:rPr>
      </w:pPr>
    </w:p>
    <w:p>
      <w:pPr>
        <w:jc w:val="both"/>
        <w:ind w:firstLine="964"/>
        <w:spacing w:after="0" w:line="243" w:lineRule="auto"/>
        <w:tabs>
          <w:tab w:leader="none" w:pos="16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Eligible Director who is initially elected or appointed to serve on the Board after the Effective Date automatically shall be granted a non-qualified stock option to purchase the number of shares of the Company’s common stock as is equal to the Black-Scholes value of $200,000 on the grant date (rounded down to the nearest whole share) (the “</w:t>
      </w:r>
      <w:r>
        <w:rPr>
          <w:rFonts w:ascii="Times New Roman" w:cs="Times New Roman" w:eastAsia="Times New Roman" w:hAnsi="Times New Roman"/>
          <w:sz w:val="20"/>
          <w:szCs w:val="20"/>
          <w:b w:val="1"/>
          <w:bCs w:val="1"/>
          <w:i w:val="1"/>
          <w:iCs w:val="1"/>
          <w:color w:val="auto"/>
        </w:rPr>
        <w:t>Initial Equity Award</w:t>
      </w:r>
      <w:r>
        <w:rPr>
          <w:rFonts w:ascii="Times New Roman" w:cs="Times New Roman" w:eastAsia="Times New Roman" w:hAnsi="Times New Roman"/>
          <w:sz w:val="20"/>
          <w:szCs w:val="20"/>
          <w:color w:val="auto"/>
        </w:rPr>
        <w:t>”). The Initial Equity Award shall be granted on the date on which such Eligible Director is appointed or elected to serve on the Board, and shall vest as to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shares underlying the option on each monthly anniversary of the grant date, subject to such Eligible Director’s continued service through the applicable vesting date, so that the option is fully vested on the third anniversary of the grant date, subject to such Eligible Director’s continued service through the applicable vesting date.</w:t>
      </w:r>
    </w:p>
    <w:p>
      <w:pPr>
        <w:spacing w:after="0" w:line="188" w:lineRule="exact"/>
        <w:rPr>
          <w:rFonts w:ascii="Times New Roman" w:cs="Times New Roman" w:eastAsia="Times New Roman" w:hAnsi="Times New Roman"/>
          <w:sz w:val="20"/>
          <w:szCs w:val="20"/>
          <w:color w:val="auto"/>
        </w:rPr>
      </w:pPr>
    </w:p>
    <w:p>
      <w:pPr>
        <w:jc w:val="both"/>
        <w:ind w:firstLine="964"/>
        <w:spacing w:after="0" w:line="253" w:lineRule="auto"/>
        <w:tabs>
          <w:tab w:leader="none" w:pos="160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Awards</w:t>
      </w:r>
      <w:r>
        <w:rPr>
          <w:rFonts w:ascii="Times New Roman" w:cs="Times New Roman" w:eastAsia="Times New Roman" w:hAnsi="Times New Roman"/>
          <w:sz w:val="20"/>
          <w:szCs w:val="20"/>
          <w:color w:val="auto"/>
        </w:rPr>
        <w:t>. An Eligible Director who is serving on the Board as of the date of the annual meeting of the Company’s stockholders (the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each calendar year beginning with calendar year 2026 shall be granted, on such Annual Meeting date, a non-qualified stock option to purchase the number of shares of the Company’s common stock as is equal to the Black-Scholes value of $100,000 on the grant date (rounded down to the nearest whole share) (an “</w:t>
      </w:r>
      <w:r>
        <w:rPr>
          <w:rFonts w:ascii="Times New Roman" w:cs="Times New Roman" w:eastAsia="Times New Roman" w:hAnsi="Times New Roman"/>
          <w:sz w:val="20"/>
          <w:szCs w:val="20"/>
          <w:b w:val="1"/>
          <w:bCs w:val="1"/>
          <w:i w:val="1"/>
          <w:iCs w:val="1"/>
          <w:color w:val="auto"/>
        </w:rPr>
        <w:t>Annual Award</w:t>
      </w:r>
      <w:r>
        <w:rPr>
          <w:rFonts w:ascii="Times New Roman" w:cs="Times New Roman" w:eastAsia="Times New Roman" w:hAnsi="Times New Roman"/>
          <w:sz w:val="20"/>
          <w:szCs w:val="20"/>
          <w:color w:val="auto"/>
        </w:rPr>
        <w:t>” and together with the Initial Equity Award, the “</w:t>
      </w:r>
      <w:r>
        <w:rPr>
          <w:rFonts w:ascii="Times New Roman" w:cs="Times New Roman" w:eastAsia="Times New Roman" w:hAnsi="Times New Roman"/>
          <w:sz w:val="20"/>
          <w:szCs w:val="20"/>
          <w:b w:val="1"/>
          <w:bCs w:val="1"/>
          <w:i w:val="1"/>
          <w:iCs w:val="1"/>
          <w:color w:val="auto"/>
        </w:rPr>
        <w:t>Director Equity Awards</w:t>
      </w:r>
      <w:r>
        <w:rPr>
          <w:rFonts w:ascii="Times New Roman" w:cs="Times New Roman" w:eastAsia="Times New Roman" w:hAnsi="Times New Roman"/>
          <w:sz w:val="20"/>
          <w:szCs w:val="20"/>
          <w:color w:val="auto"/>
        </w:rPr>
        <w:t>”). Each Annual Award shall vest in full on the earlier to occur of (i) the one-year anniversary of the applicable grant date and (ii) the date of the next Annual Meeting following the grant date, subject to continued service through the applicable vesting date. No Eligible Director shall be entitled to receive the Initial Equity Award and the Annual Award in the same calendar year. In such instance, an Eligible Director shall receive the Initial Equity Award only.</w:t>
      </w:r>
    </w:p>
    <w:p>
      <w:pPr>
        <w:spacing w:after="0" w:line="180" w:lineRule="exact"/>
        <w:rPr>
          <w:rFonts w:ascii="Times New Roman" w:cs="Times New Roman" w:eastAsia="Times New Roman" w:hAnsi="Times New Roman"/>
          <w:sz w:val="20"/>
          <w:szCs w:val="20"/>
          <w:color w:val="auto"/>
        </w:rPr>
      </w:pPr>
    </w:p>
    <w:p>
      <w:pPr>
        <w:ind w:firstLine="964"/>
        <w:spacing w:after="0" w:line="283" w:lineRule="auto"/>
        <w:tabs>
          <w:tab w:leader="none" w:pos="16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Events</w:t>
      </w:r>
      <w:r>
        <w:rPr>
          <w:rFonts w:ascii="Times New Roman" w:cs="Times New Roman" w:eastAsia="Times New Roman" w:hAnsi="Times New Roman"/>
          <w:sz w:val="20"/>
          <w:szCs w:val="20"/>
          <w:color w:val="auto"/>
        </w:rPr>
        <w:t>. Notwithstanding the foregoing, an Eligible Director’s Director Equity Award(s) shall vest in full immediately prior to the occurrence of a Change in Control to the extent outstanding at such time.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0"/>
          </w:cols>
          <w:pgMar w:left="660" w:top="1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340" w:firstLine="964"/>
        <w:spacing w:after="0" w:line="258" w:lineRule="auto"/>
        <w:tabs>
          <w:tab w:leader="none" w:pos="194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Post-Termination Exercise Period</w:t>
      </w:r>
      <w:r>
        <w:rPr>
          <w:rFonts w:ascii="Times New Roman" w:cs="Times New Roman" w:eastAsia="Times New Roman" w:hAnsi="Times New Roman"/>
          <w:sz w:val="20"/>
          <w:szCs w:val="20"/>
          <w:color w:val="auto"/>
        </w:rPr>
        <w:t>. Except as may otherwise be provided in the applicable award agreement, any portion of a Director Equity Award other than the Initial Equity Award, which vests and becomes exercisable will remain vested and exercisable until the earlier of the maximum term of the option and the one-year anniversary of the Eligible Director’s Termination of Service, unless such Termination of Service is for Cause.</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3" w:name="page44"/>
    <w:bookmarkEnd w:id="43"/>
    <w:p>
      <w:pPr>
        <w:ind w:left="-20" w:firstLine="332"/>
        <w:spacing w:after="0" w:line="396" w:lineRule="auto"/>
        <w:tabs>
          <w:tab w:leader="none" w:pos="7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11, 2026</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Jeffrey G. Black, certify that:</w:t>
      </w:r>
    </w:p>
    <w:p>
      <w:pPr>
        <w:spacing w:after="0" w:line="306"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5" w:name="page46"/>
    <w:bookmarkEnd w:id="45"/>
    <w:p>
      <w:pPr>
        <w:ind w:left="-20" w:firstLine="332"/>
        <w:spacing w:after="0" w:line="396" w:lineRule="auto"/>
        <w:tabs>
          <w:tab w:leader="none" w:pos="7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11, 2026</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 Black</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Jeffrey G. Black</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2026 (the</w:t>
      </w:r>
    </w:p>
    <w:p>
      <w:pPr>
        <w:spacing w:after="0" w:line="90" w:lineRule="exact"/>
        <w:rPr>
          <w:rFonts w:ascii="Arial" w:cs="Arial" w:eastAsia="Arial" w:hAnsi="Arial"/>
          <w:sz w:val="18"/>
          <w:szCs w:val="18"/>
          <w:color w:val="auto"/>
        </w:rPr>
      </w:pPr>
    </w:p>
    <w:p>
      <w:pPr>
        <w:ind w:left="660" w:right="320"/>
        <w:spacing w:after="0" w:line="381"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12"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2026</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2026 (the</w:t>
      </w:r>
    </w:p>
    <w:p>
      <w:pPr>
        <w:spacing w:after="0" w:line="90" w:lineRule="exact"/>
        <w:rPr>
          <w:rFonts w:ascii="Arial" w:cs="Arial" w:eastAsia="Arial" w:hAnsi="Arial"/>
          <w:sz w:val="18"/>
          <w:szCs w:val="18"/>
          <w:color w:val="auto"/>
        </w:rPr>
      </w:pPr>
    </w:p>
    <w:p>
      <w:pPr>
        <w:ind w:left="660" w:right="320"/>
        <w:spacing w:after="0" w:line="396"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86"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2026</w:t>
      </w:r>
    </w:p>
    <w:p>
      <w:pPr>
        <w:sectPr>
          <w:pgSz w:w="11900" w:h="16838" w:orient="portrait"/>
          <w:cols w:equalWidth="0" w:num="1">
            <w:col w:w="11240"/>
          </w:cols>
          <w:pgMar w:left="320" w:top="958" w:right="339" w:bottom="1440" w:gutter="0" w:footer="0" w:header="0"/>
        </w:sectPr>
      </w:pPr>
    </w:p>
    <w:bookmarkStart w:id="47" w:name="page48"/>
    <w:bookmarkEnd w:id="47"/>
    <w:p>
      <w:pPr>
        <w:ind w:left="6420"/>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Jeffrey G. Black</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2"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606"/>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436C6125"/>
    <w:multiLevelType w:val="hybridMultilevel"/>
    <w:lvl w:ilvl="0">
      <w:lvlJc w:val="left"/>
      <w:lvlText w:val="%1"/>
      <w:numFmt w:val="decimal"/>
      <w:start w:val="1"/>
    </w:lvl>
    <w:lvl w:ilvl="1">
      <w:lvlJc w:val="left"/>
      <w:lvlText w:val="%2."/>
      <w:numFmt w:val="lowerLetter"/>
      <w:start w:val="3"/>
    </w:lvl>
  </w:abstractNum>
  <w:abstractNum w:abstractNumId="16">
    <w:nsid w:val="628C895D"/>
    <w:multiLevelType w:val="hybridMultilevel"/>
    <w:lvl w:ilvl="0">
      <w:lvlJc w:val="left"/>
      <w:lvlText w:val="%1."/>
      <w:numFmt w:val="decimal"/>
      <w:start w:val="2"/>
    </w:lvl>
    <w:lvl w:ilvl="1">
      <w:lvlJc w:val="left"/>
      <w:lvlText w:val="%2."/>
      <w:numFmt w:val="lowerLetter"/>
      <w:start w:val="1"/>
    </w:lvl>
  </w:abstractNum>
  <w:abstractNum w:abstractNumId="17">
    <w:nsid w:val="333AB105"/>
    <w:multiLevelType w:val="hybridMultilevel"/>
    <w:lvl w:ilvl="0">
      <w:lvlJc w:val="left"/>
      <w:lvlText w:val="%1"/>
      <w:numFmt w:val="decimal"/>
      <w:start w:val="1"/>
    </w:lvl>
    <w:lvl w:ilvl="1">
      <w:lvlJc w:val="left"/>
      <w:lvlText w:val="%2."/>
      <w:numFmt w:val="lowerLetter"/>
      <w:start w:val="5"/>
    </w:lvl>
  </w:abstractNum>
  <w:abstractNum w:abstractNumId="18">
    <w:nsid w:val="721DA317"/>
    <w:multiLevelType w:val="hybridMultilevel"/>
    <w:lvl w:ilvl="0">
      <w:lvlJc w:val="left"/>
      <w:lvlText w:val="%1."/>
      <w:numFmt w:val="decimal"/>
      <w:start w:val="3"/>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47" Type="http://schemas.openxmlformats.org/officeDocument/2006/relationships/hyperlink" Target="https://www.sec.gov/Archives/edgar/data/1274737/000119312519252366/d769261dex31.htm" TargetMode="External"/><Relationship Id="rId48" Type="http://schemas.openxmlformats.org/officeDocument/2006/relationships/hyperlink" Target="https://www.sec.gov/Archives/edgar/data/1274737/000127473721000017/ex31-amendedandrestatedbyl.htm" TargetMode="External"/><Relationship Id="rId49" Type="http://schemas.openxmlformats.org/officeDocument/2006/relationships/hyperlink" Target="https://www.sec.gov/Archives/edgar/data/1274737/000127473723000004/exhibit-exagenxamendmentto.htm" TargetMode="External"/><Relationship Id="rId50" Type="http://schemas.openxmlformats.org/officeDocument/2006/relationships/hyperlink" Target="https://www.sec.gov/Archives/edgar/data/1274737/000119312519240403/d692844dex41.htm" TargetMode="External"/><Relationship Id="rId51" Type="http://schemas.openxmlformats.org/officeDocument/2006/relationships/hyperlink" Target="https://www.sec.gov/Archives/edgar/data/1274737/000119312519228011/d692844dex44.htm" TargetMode="External"/><Relationship Id="rId52" Type="http://schemas.openxmlformats.org/officeDocument/2006/relationships/hyperlink" Target="https://www.sec.gov/Archives/edgar/data/1274737/000119312519228011/d692844dex48.htm" TargetMode="External"/><Relationship Id="rId53" Type="http://schemas.openxmlformats.org/officeDocument/2006/relationships/hyperlink" Target="https://www.sec.gov/Archives/edgar/data/1274737/000127473721000094/ex45-formofprexfundedwarra.htm" TargetMode="External"/><Relationship Id="rId54" Type="http://schemas.openxmlformats.org/officeDocument/2006/relationships/hyperlink" Target="https://www.sec.gov/Archives/edgar/data/1274737/000119312525100447/d81185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2026-05-11T08:20:33Z</dcterms:created>
  <dcterms:modified xsi:type="dcterms:W3CDTF">2026-05-11T08:20:33Z</dcterms:modified>
</cp:coreProperties>
</file>