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Arial;sans-serif" w:hAnsi="Arial;sans-serif"/>
          <w:b/>
          <w:color w:val="000000"/>
          <w:sz w:val="32"/>
        </w:rPr>
        <w:t>FORM 10-Q</w:t>
      </w:r>
    </w:p>
    <w:p>
      <w:pPr>
        <w:pStyle w:val="TextBody"/>
        <w:bidi w:val="0"/>
        <w:spacing w:before="0" w:after="0"/>
        <w:jc w:val="center"/>
        <w:rPr/>
      </w:pPr>
      <w:r>
        <w:rPr/>
      </w:r>
    </w:p>
    <w:p>
      <w:pPr>
        <w:pStyle w:val="TextBody"/>
        <w:bidi w:val="0"/>
        <w:spacing w:lineRule="auto" w:line="276" w:before="0" w:after="0"/>
        <w:jc w:val="left"/>
        <w:rPr>
          <w:rFonts w:ascii="Arial;sans-serif" w:hAnsi="Arial;sans-serif"/>
          <w:b/>
          <w:color w:val="000000"/>
          <w:sz w:val="18"/>
        </w:rPr>
      </w:pPr>
      <w:r>
        <w:rPr>
          <w:rFonts w:ascii="Arial;sans-serif" w:hAnsi="Arial;sans-serif"/>
          <w:b/>
          <w:color w:val="000000"/>
          <w:sz w:val="18"/>
        </w:rPr>
        <w:t xml:space="preserve">(Mark One)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For the quarterly period ended March 31, 2023</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pPr>
      <w:r>
        <w:rPr>
          <w:rFonts w:ascii="Arial;sans-serif" w:hAnsi="Arial;sans-serif"/>
          <w:b/>
          <w:color w:val="000000"/>
          <w:sz w:val="18"/>
        </w:rPr>
        <w:t xml:space="preserve">Commission File Number: </w:t>
      </w:r>
      <w:r>
        <w:rPr>
          <w:rFonts w:ascii="Arial;sans-serif" w:hAnsi="Arial;sans-serif"/>
          <w:b/>
          <w:color w:val="000000"/>
          <w:sz w:val="20"/>
        </w:rPr>
        <w:t>001-39049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EXAGEN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tbl>
      <w:tblPr>
        <w:tblW w:w="5494" w:type="dxa"/>
        <w:jc w:val="center"/>
        <w:tblInd w:w="0" w:type="dxa"/>
        <w:tblLayout w:type="fixed"/>
        <w:tblCellMar>
          <w:top w:w="28" w:type="dxa"/>
          <w:left w:w="28" w:type="dxa"/>
          <w:bottom w:w="28" w:type="dxa"/>
          <w:right w:w="28" w:type="dxa"/>
        </w:tblCellMar>
      </w:tblPr>
      <w:tblGrid>
        <w:gridCol w:w="269"/>
        <w:gridCol w:w="236"/>
        <w:gridCol w:w="236"/>
        <w:gridCol w:w="274"/>
        <w:gridCol w:w="274"/>
        <w:gridCol w:w="274"/>
        <w:gridCol w:w="331"/>
        <w:gridCol w:w="331"/>
        <w:gridCol w:w="332"/>
        <w:gridCol w:w="236"/>
        <w:gridCol w:w="236"/>
        <w:gridCol w:w="236"/>
        <w:gridCol w:w="109"/>
        <w:gridCol w:w="109"/>
        <w:gridCol w:w="109"/>
        <w:gridCol w:w="109"/>
        <w:gridCol w:w="109"/>
        <w:gridCol w:w="109"/>
        <w:gridCol w:w="244"/>
        <w:gridCol w:w="244"/>
        <w:gridCol w:w="244"/>
        <w:gridCol w:w="244"/>
        <w:gridCol w:w="244"/>
        <w:gridCol w:w="355"/>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26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20-0434866</w:t>
            </w:r>
          </w:p>
        </w:tc>
      </w:tr>
      <w:tr>
        <w:trPr/>
        <w:tc>
          <w:tcPr>
            <w:tcW w:w="326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1261 Liberty Way</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Vista,</w:t>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California</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92081</w:t>
            </w:r>
          </w:p>
        </w:tc>
      </w:tr>
      <w:tr>
        <w:trPr/>
        <w:tc>
          <w:tcPr>
            <w:tcW w:w="326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r>
    </w:tbl>
    <w:tbl>
      <w:tblPr>
        <w:tblW w:w="4512" w:type="dxa"/>
        <w:jc w:val="center"/>
        <w:tblInd w:w="0" w:type="dxa"/>
        <w:tblLayout w:type="fixed"/>
        <w:tblCellMar>
          <w:top w:w="28" w:type="dxa"/>
          <w:left w:w="28" w:type="dxa"/>
          <w:bottom w:w="28" w:type="dxa"/>
          <w:right w:w="28" w:type="dxa"/>
        </w:tblCellMar>
      </w:tblPr>
      <w:tblGrid>
        <w:gridCol w:w="615"/>
        <w:gridCol w:w="541"/>
        <w:gridCol w:w="548"/>
        <w:gridCol w:w="819"/>
        <w:gridCol w:w="819"/>
        <w:gridCol w:w="1170"/>
      </w:tblGrid>
      <w:tr>
        <w:trPr/>
        <w:tc>
          <w:tcPr>
            <w:tcW w:w="61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17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(760)</w:t>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560-1501</w:t>
            </w:r>
          </w:p>
        </w:tc>
      </w:tr>
      <w:tr>
        <w:trPr/>
        <w:tc>
          <w:tcPr>
            <w:tcW w:w="45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(Registrant's Telephone Number, Including Area Code)</w:t>
            </w:r>
          </w:p>
        </w:tc>
      </w:tr>
    </w:tbl>
    <w:p>
      <w:pPr>
        <w:pStyle w:val="TextBody"/>
        <w:bidi w:val="0"/>
        <w:spacing w:lineRule="auto" w:line="288" w:before="0" w:after="0"/>
        <w:jc w:val="left"/>
        <w:rPr/>
      </w:pPr>
      <w:r>
        <w:rPr>
          <w:color w:val="000000"/>
        </w:rPr>
        <w:t> </w:t>
      </w:r>
      <w:r>
        <w:rPr>
          <w:rFonts w:ascii="Arial;sans-serif" w:hAnsi="Arial;sans-serif"/>
          <w:b w:val="false"/>
          <w:color w:val="000000"/>
          <w:sz w:val="16"/>
        </w:rPr>
        <w:t>Securities registered pursuant to Section 12(b) of the Act:</w:t>
      </w:r>
    </w:p>
    <w:tbl>
      <w:tblPr>
        <w:tblW w:w="9367" w:type="dxa"/>
        <w:jc w:val="left"/>
        <w:tblInd w:w="0" w:type="dxa"/>
        <w:tblLayout w:type="fixed"/>
        <w:tblCellMar>
          <w:top w:w="28" w:type="dxa"/>
          <w:left w:w="28" w:type="dxa"/>
          <w:bottom w:w="28" w:type="dxa"/>
          <w:right w:w="28" w:type="dxa"/>
        </w:tblCellMar>
      </w:tblPr>
      <w:tblGrid>
        <w:gridCol w:w="1258"/>
        <w:gridCol w:w="1104"/>
        <w:gridCol w:w="1118"/>
        <w:gridCol w:w="109"/>
        <w:gridCol w:w="109"/>
        <w:gridCol w:w="109"/>
        <w:gridCol w:w="524"/>
        <w:gridCol w:w="524"/>
        <w:gridCol w:w="526"/>
        <w:gridCol w:w="109"/>
        <w:gridCol w:w="109"/>
        <w:gridCol w:w="109"/>
        <w:gridCol w:w="1071"/>
        <w:gridCol w:w="1071"/>
        <w:gridCol w:w="1517"/>
      </w:tblGrid>
      <w:tr>
        <w:trPr/>
        <w:tc>
          <w:tcPr>
            <w:tcW w:w="125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XGN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The Nasdaq Global Market</w:t>
            </w:r>
          </w:p>
        </w:tc>
      </w:tr>
    </w:tbl>
    <w:p>
      <w:pPr>
        <w:pStyle w:val="TextBody"/>
        <w:bidi w:val="0"/>
        <w:spacing w:lineRule="auto" w:line="276" w:before="180" w:after="283"/>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 No ☐ </w:t>
      </w:r>
    </w:p>
    <w:p>
      <w:pPr>
        <w:pStyle w:val="TextBody"/>
        <w:bidi w:val="0"/>
        <w:spacing w:lineRule="auto" w:line="276" w:before="120" w:after="283"/>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 No ☐ </w:t>
      </w:r>
    </w:p>
    <w:p>
      <w:pPr>
        <w:pStyle w:val="TextBody"/>
        <w:bidi w:val="0"/>
        <w:spacing w:lineRule="auto" w:line="276" w:before="120" w:after="283"/>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w:t>
      </w:r>
    </w:p>
    <w:tbl>
      <w:tblPr>
        <w:tblW w:w="4820"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120" w:after="283"/>
        <w:jc w:val="left"/>
        <w:rPr/>
      </w:pPr>
      <w:r>
        <w:rPr/>
      </w:r>
    </w:p>
    <w:p>
      <w:pPr>
        <w:pStyle w:val="TextBody"/>
        <w:bidi w:val="0"/>
        <w:spacing w:lineRule="auto" w:line="288" w:before="60" w:after="283"/>
        <w:jc w:val="left"/>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Securities Act  </w:t>
      </w:r>
      <w:r>
        <w:rPr>
          <w:color w:val="000000"/>
        </w:rPr>
        <w:t>☐</w:t>
      </w:r>
    </w:p>
    <w:p>
      <w:pPr>
        <w:pStyle w:val="TextBody"/>
        <w:bidi w:val="0"/>
        <w:spacing w:lineRule="auto" w:line="288" w:before="120" w:after="283"/>
        <w:jc w:val="left"/>
        <w:rPr/>
      </w:pPr>
      <w:r>
        <w:rPr>
          <w:rFonts w:ascii="Arial;sans-serif" w:hAnsi="Arial;sans-serif"/>
          <w:b w:val="false"/>
          <w:color w:val="000000"/>
          <w:sz w:val="16"/>
        </w:rPr>
        <w:t>Indicate by check mark whether the registrant is a shell company (as defined in Rule 12b-2 of the Exchange Act). Yes </w:t>
      </w:r>
      <w:r>
        <w:rPr>
          <w:color w:val="000000"/>
        </w:rPr>
        <w:t xml:space="preserve">☐ </w:t>
      </w:r>
      <w:r>
        <w:rPr>
          <w:rFonts w:ascii="Arial;sans-serif" w:hAnsi="Arial;sans-serif"/>
          <w:b w:val="false"/>
          <w:color w:val="000000"/>
          <w:sz w:val="16"/>
        </w:rPr>
        <w:t>No</w:t>
      </w:r>
      <w:r>
        <w:rPr>
          <w:color w:val="000000"/>
        </w:rPr>
        <w:t xml:space="preserve"> ☒</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Total shares of common stock outstanding as of the close of business on May 11, 2023 was 16,825,696.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7"/>
        <w:gridCol w:w="261"/>
        <w:gridCol w:w="263"/>
        <w:gridCol w:w="2935"/>
        <w:gridCol w:w="2911"/>
        <w:gridCol w:w="2919"/>
        <w:gridCol w:w="180"/>
        <w:gridCol w:w="180"/>
        <w:gridCol w:w="259"/>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8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Information</w:t>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Item 1. </w:t>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13">
              <w:r>
                <w:rPr>
                  <w:rStyle w:val="InternetLink"/>
                  <w:rFonts w:ascii="Arial;sans-serif" w:hAnsi="Arial;sans-serif"/>
                  <w:b w:val="false"/>
                  <w:color w:val="0000FF"/>
                  <w:sz w:val="20"/>
                  <w:u w:val="single"/>
                </w:rPr>
                <w:t>Unaudited Condensed Financial Statements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13">
              <w:r>
                <w:rPr>
                  <w:rStyle w:val="InternetLink"/>
                  <w:rFonts w:ascii="Arial;sans-serif" w:hAnsi="Arial;sans-serif"/>
                  <w:b w:val="false"/>
                  <w:color w:val="0000FF"/>
                  <w:sz w:val="20"/>
                  <w:u w:val="single"/>
                </w:rPr>
                <w:t>1</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16">
              <w:r>
                <w:rPr>
                  <w:rStyle w:val="InternetLink"/>
                  <w:rFonts w:ascii="Arial;sans-serif" w:hAnsi="Arial;sans-serif"/>
                  <w:b w:val="false"/>
                  <w:color w:val="000080"/>
                  <w:sz w:val="20"/>
                  <w:u w:val="single"/>
                </w:rPr>
                <w:t xml:space="preserve">Unaudited Condensed Balance Sheets as of </w:t>
              </w:r>
            </w:hyperlink>
            <w:hyperlink w:anchor="ic6a5e7b0edc94c399549fe8f80e94568_16">
              <w:r>
                <w:rPr>
                  <w:rStyle w:val="InternetLink"/>
                  <w:rFonts w:ascii="Arial;sans-serif" w:hAnsi="Arial;sans-serif"/>
                  <w:b w:val="false"/>
                  <w:color w:val="000080"/>
                  <w:sz w:val="20"/>
                  <w:u w:val="single"/>
                </w:rPr>
                <w:t>March 31, 2023</w:t>
              </w:r>
            </w:hyperlink>
            <w:hyperlink w:anchor="ic6a5e7b0edc94c399549fe8f80e94568_16">
              <w:r>
                <w:rPr>
                  <w:rStyle w:val="InternetLink"/>
                  <w:rFonts w:ascii="Arial;sans-serif" w:hAnsi="Arial;sans-serif"/>
                  <w:b w:val="false"/>
                  <w:color w:val="000080"/>
                  <w:sz w:val="20"/>
                  <w:u w:val="single"/>
                </w:rPr>
                <w:t xml:space="preserve"> and December 31, 20</w:t>
              </w:r>
            </w:hyperlink>
            <w:hyperlink w:anchor="ic6a5e7b0edc94c399549fe8f80e94568_16">
              <w:r>
                <w:rPr>
                  <w:rStyle w:val="InternetLink"/>
                  <w:rFonts w:ascii="Arial;sans-serif" w:hAnsi="Arial;sans-serif"/>
                  <w:b w:val="false"/>
                  <w:color w:val="000080"/>
                  <w:sz w:val="20"/>
                  <w:u w:val="single"/>
                </w:rPr>
                <w:t>2</w:t>
              </w:r>
            </w:hyperlink>
            <w:hyperlink w:anchor="ic6a5e7b0edc94c399549fe8f80e94568_16">
              <w:r>
                <w:rPr>
                  <w:rStyle w:val="InternetLink"/>
                  <w:rFonts w:ascii="Arial;sans-serif" w:hAnsi="Arial;sans-serif"/>
                  <w:b w:val="false"/>
                  <w:color w:val="000080"/>
                  <w:sz w:val="20"/>
                  <w:u w:val="single"/>
                </w:rPr>
                <w:t>2</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16">
              <w:r>
                <w:rPr>
                  <w:rStyle w:val="InternetLink"/>
                  <w:rFonts w:ascii="Arial;sans-serif" w:hAnsi="Arial;sans-serif"/>
                  <w:b w:val="false"/>
                  <w:color w:val="0000FF"/>
                  <w:sz w:val="20"/>
                  <w:u w:val="single"/>
                </w:rPr>
                <w:t>1</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19">
              <w:r>
                <w:rPr>
                  <w:rStyle w:val="InternetLink"/>
                  <w:rFonts w:ascii="Arial;sans-serif" w:hAnsi="Arial;sans-serif"/>
                  <w:b w:val="false"/>
                  <w:color w:val="000080"/>
                  <w:sz w:val="20"/>
                  <w:u w:val="single"/>
                </w:rPr>
                <w:t xml:space="preserve">Unaudited Condensed Statements of Operations for the Three </w:t>
              </w:r>
            </w:hyperlink>
            <w:hyperlink w:anchor="ic6a5e7b0edc94c399549fe8f80e94568_19">
              <w:r>
                <w:rPr>
                  <w:rStyle w:val="InternetLink"/>
                  <w:rFonts w:ascii="Arial;sans-serif" w:hAnsi="Arial;sans-serif"/>
                  <w:b w:val="false"/>
                  <w:color w:val="000080"/>
                  <w:sz w:val="20"/>
                  <w:u w:val="single"/>
                </w:rPr>
                <w:t xml:space="preserve">Months ended </w:t>
              </w:r>
            </w:hyperlink>
            <w:hyperlink w:anchor="ic6a5e7b0edc94c399549fe8f80e94568_16">
              <w:r>
                <w:rPr>
                  <w:rStyle w:val="InternetLink"/>
                  <w:rFonts w:ascii="Arial;sans-serif" w:hAnsi="Arial;sans-serif"/>
                  <w:b w:val="false"/>
                  <w:color w:val="000080"/>
                  <w:sz w:val="20"/>
                  <w:u w:val="single"/>
                </w:rPr>
                <w:t>March 31, 2023</w:t>
              </w:r>
            </w:hyperlink>
            <w:hyperlink w:anchor="ic6a5e7b0edc94c399549fe8f80e94568_19">
              <w:r>
                <w:rPr>
                  <w:rStyle w:val="InternetLink"/>
                  <w:rFonts w:ascii="Arial;sans-serif" w:hAnsi="Arial;sans-serif"/>
                  <w:b w:val="false"/>
                  <w:color w:val="000080"/>
                  <w:sz w:val="20"/>
                  <w:u w:val="single"/>
                </w:rPr>
                <w:t xml:space="preserve"> and 20</w:t>
              </w:r>
            </w:hyperlink>
            <w:hyperlink w:anchor="ic6a5e7b0edc94c399549fe8f80e94568_19">
              <w:r>
                <w:rPr>
                  <w:rStyle w:val="InternetLink"/>
                  <w:rFonts w:ascii="Arial;sans-serif" w:hAnsi="Arial;sans-serif"/>
                  <w:b w:val="false"/>
                  <w:color w:val="000080"/>
                  <w:sz w:val="20"/>
                  <w:u w:val="single"/>
                </w:rPr>
                <w:t>2</w:t>
              </w:r>
            </w:hyperlink>
            <w:hyperlink w:anchor="ic6a5e7b0edc94c399549fe8f80e94568_19">
              <w:r>
                <w:rPr>
                  <w:rStyle w:val="InternetLink"/>
                  <w:rFonts w:ascii="Arial;sans-serif" w:hAnsi="Arial;sans-serif"/>
                  <w:b w:val="false"/>
                  <w:color w:val="000080"/>
                  <w:sz w:val="20"/>
                  <w:u w:val="single"/>
                </w:rPr>
                <w:t>2</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19">
              <w:r>
                <w:rPr>
                  <w:rStyle w:val="InternetLink"/>
                  <w:rFonts w:ascii="Arial;sans-serif" w:hAnsi="Arial;sans-serif"/>
                  <w:b w:val="false"/>
                  <w:color w:val="0000FF"/>
                  <w:sz w:val="20"/>
                  <w:u w:val="single"/>
                </w:rPr>
                <w:t>2</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22">
              <w:r>
                <w:rPr>
                  <w:rStyle w:val="InternetLink"/>
                  <w:rFonts w:ascii="Arial;sans-serif" w:hAnsi="Arial;sans-serif"/>
                  <w:b w:val="false"/>
                  <w:color w:val="000080"/>
                  <w:sz w:val="20"/>
                  <w:u w:val="single"/>
                </w:rPr>
                <w:t>Unaudited Condensed Statements of Stockholders' Equity for the Three</w:t>
              </w:r>
            </w:hyperlink>
            <w:hyperlink w:anchor="ic6a5e7b0edc94c399549fe8f80e94568_22">
              <w:r>
                <w:rPr>
                  <w:rStyle w:val="InternetLink"/>
                  <w:rFonts w:ascii="Arial;sans-serif" w:hAnsi="Arial;sans-serif"/>
                  <w:b w:val="false"/>
                  <w:color w:val="000080"/>
                  <w:sz w:val="20"/>
                  <w:u w:val="single"/>
                </w:rPr>
                <w:t xml:space="preserve"> Months ended </w:t>
              </w:r>
            </w:hyperlink>
            <w:hyperlink w:anchor="ic6a5e7b0edc94c399549fe8f80e94568_16">
              <w:r>
                <w:rPr>
                  <w:rStyle w:val="InternetLink"/>
                  <w:rFonts w:ascii="Arial;sans-serif" w:hAnsi="Arial;sans-serif"/>
                  <w:b w:val="false"/>
                  <w:color w:val="000080"/>
                  <w:sz w:val="20"/>
                  <w:u w:val="single"/>
                </w:rPr>
                <w:t>March 31, 2023</w:t>
              </w:r>
            </w:hyperlink>
            <w:hyperlink w:anchor="ic6a5e7b0edc94c399549fe8f80e94568_22">
              <w:r>
                <w:rPr>
                  <w:rStyle w:val="InternetLink"/>
                  <w:rFonts w:ascii="Arial;sans-serif" w:hAnsi="Arial;sans-serif"/>
                  <w:b w:val="false"/>
                  <w:color w:val="000080"/>
                  <w:sz w:val="20"/>
                  <w:u w:val="single"/>
                </w:rPr>
                <w:t xml:space="preserve"> and 2</w:t>
              </w:r>
            </w:hyperlink>
            <w:hyperlink w:anchor="ic6a5e7b0edc94c399549fe8f80e94568_22">
              <w:r>
                <w:rPr>
                  <w:rStyle w:val="InternetLink"/>
                  <w:rFonts w:ascii="Arial;sans-serif" w:hAnsi="Arial;sans-serif"/>
                  <w:b w:val="false"/>
                  <w:color w:val="000080"/>
                  <w:sz w:val="20"/>
                  <w:u w:val="single"/>
                </w:rPr>
                <w:t>022</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22">
              <w:r>
                <w:rPr>
                  <w:rStyle w:val="InternetLink"/>
                  <w:rFonts w:ascii="Arial;sans-serif" w:hAnsi="Arial;sans-serif"/>
                  <w:b w:val="false"/>
                  <w:color w:val="0000FF"/>
                  <w:sz w:val="20"/>
                  <w:u w:val="single"/>
                </w:rPr>
                <w:t>3</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25">
              <w:r>
                <w:rPr>
                  <w:rStyle w:val="InternetLink"/>
                  <w:rFonts w:ascii="Arial;sans-serif" w:hAnsi="Arial;sans-serif"/>
                  <w:b w:val="false"/>
                  <w:color w:val="000080"/>
                  <w:sz w:val="20"/>
                  <w:u w:val="single"/>
                </w:rPr>
                <w:t xml:space="preserve">Unaudited Condensed Statements of Cash Flows for the </w:t>
              </w:r>
            </w:hyperlink>
            <w:hyperlink w:anchor="ic6a5e7b0edc94c399549fe8f80e94568_25">
              <w:r>
                <w:rPr>
                  <w:rStyle w:val="InternetLink"/>
                  <w:rFonts w:ascii="Arial;sans-serif" w:hAnsi="Arial;sans-serif"/>
                  <w:b w:val="false"/>
                  <w:color w:val="000080"/>
                  <w:sz w:val="20"/>
                  <w:u w:val="single"/>
                </w:rPr>
                <w:t>Three</w:t>
              </w:r>
            </w:hyperlink>
            <w:hyperlink w:anchor="ic6a5e7b0edc94c399549fe8f80e94568_25">
              <w:r>
                <w:rPr>
                  <w:rStyle w:val="InternetLink"/>
                  <w:rFonts w:ascii="Arial;sans-serif" w:hAnsi="Arial;sans-serif"/>
                  <w:b w:val="false"/>
                  <w:color w:val="000080"/>
                  <w:sz w:val="20"/>
                  <w:u w:val="single"/>
                </w:rPr>
                <w:t xml:space="preserve"> Months ended </w:t>
              </w:r>
            </w:hyperlink>
            <w:hyperlink w:anchor="ic6a5e7b0edc94c399549fe8f80e94568_16">
              <w:r>
                <w:rPr>
                  <w:rStyle w:val="InternetLink"/>
                  <w:rFonts w:ascii="Arial;sans-serif" w:hAnsi="Arial;sans-serif"/>
                  <w:b w:val="false"/>
                  <w:color w:val="000080"/>
                  <w:sz w:val="20"/>
                  <w:u w:val="single"/>
                </w:rPr>
                <w:t>March 31, 2023</w:t>
              </w:r>
            </w:hyperlink>
            <w:hyperlink w:anchor="ic6a5e7b0edc94c399549fe8f80e94568_25">
              <w:r>
                <w:rPr>
                  <w:rStyle w:val="InternetLink"/>
                  <w:rFonts w:ascii="Arial;sans-serif" w:hAnsi="Arial;sans-serif"/>
                  <w:b w:val="false"/>
                  <w:color w:val="000080"/>
                  <w:sz w:val="20"/>
                  <w:u w:val="single"/>
                </w:rPr>
                <w:t xml:space="preserve"> and 202</w:t>
              </w:r>
            </w:hyperlink>
            <w:hyperlink w:anchor="ic6a5e7b0edc94c399549fe8f80e94568_25">
              <w:r>
                <w:rPr>
                  <w:rStyle w:val="InternetLink"/>
                  <w:rFonts w:ascii="Arial;sans-serif" w:hAnsi="Arial;sans-serif"/>
                  <w:b w:val="false"/>
                  <w:color w:val="000080"/>
                  <w:sz w:val="20"/>
                  <w:u w:val="single"/>
                </w:rPr>
                <w:t>2</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25">
              <w:r>
                <w:rPr>
                  <w:rStyle w:val="InternetLink"/>
                  <w:rFonts w:ascii="Arial;sans-serif" w:hAnsi="Arial;sans-serif"/>
                  <w:b w:val="false"/>
                  <w:color w:val="0000FF"/>
                  <w:sz w:val="20"/>
                  <w:u w:val="single"/>
                </w:rPr>
                <w:t>5</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28">
              <w:r>
                <w:rPr>
                  <w:rStyle w:val="InternetLink"/>
                  <w:rFonts w:ascii="Arial;sans-serif" w:hAnsi="Arial;sans-serif"/>
                  <w:b w:val="false"/>
                  <w:color w:val="0000FF"/>
                  <w:sz w:val="20"/>
                  <w:u w:val="single"/>
                </w:rPr>
                <w:t>Notes to Unaudited Condensed Financial Statements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28">
              <w:r>
                <w:rPr>
                  <w:rStyle w:val="InternetLink"/>
                  <w:rFonts w:ascii="Arial;sans-serif" w:hAnsi="Arial;sans-serif"/>
                  <w:b w:val="false"/>
                  <w:color w:val="0000FF"/>
                  <w:sz w:val="20"/>
                  <w:u w:val="single"/>
                </w:rPr>
                <w:t>6</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64">
              <w:r>
                <w:rPr>
                  <w:rStyle w:val="InternetLink"/>
                  <w:rFonts w:ascii="Arial;sans-serif" w:hAnsi="Arial;sans-serif"/>
                  <w:b w:val="false"/>
                  <w:color w:val="0000FF"/>
                  <w:sz w:val="20"/>
                  <w:u w:val="single"/>
                </w:rPr>
                <w:t>Management's Discussion and Analysis of Financial Condition and Results of Operations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64">
              <w:r>
                <w:rPr>
                  <w:rStyle w:val="InternetLink"/>
                  <w:rFonts w:ascii="Arial;sans-serif" w:hAnsi="Arial;sans-serif"/>
                  <w:b w:val="false"/>
                  <w:color w:val="0000FF"/>
                  <w:sz w:val="20"/>
                  <w:u w:val="single"/>
                </w:rPr>
                <w:t>19</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79">
              <w:r>
                <w:rPr>
                  <w:rStyle w:val="InternetLink"/>
                  <w:rFonts w:ascii="Arial;sans-serif" w:hAnsi="Arial;sans-serif"/>
                  <w:b w:val="false"/>
                  <w:color w:val="0000FF"/>
                  <w:sz w:val="20"/>
                  <w:u w:val="single"/>
                </w:rPr>
                <w:t>Quantitative and Qualitative Disclosures About Market Risk</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79">
              <w:r>
                <w:rPr>
                  <w:rStyle w:val="InternetLink"/>
                  <w:rFonts w:ascii="Arial;sans-serif" w:hAnsi="Arial;sans-serif"/>
                  <w:b w:val="false"/>
                  <w:color w:val="0000FF"/>
                  <w:sz w:val="20"/>
                  <w:u w:val="single"/>
                </w:rPr>
                <w:t>27</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82">
              <w:r>
                <w:rPr>
                  <w:rStyle w:val="InternetLink"/>
                  <w:rFonts w:ascii="Arial;sans-serif" w:hAnsi="Arial;sans-serif"/>
                  <w:b w:val="false"/>
                  <w:color w:val="0000FF"/>
                  <w:sz w:val="20"/>
                  <w:u w:val="single"/>
                </w:rPr>
                <w:t>Controls and Procedures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82">
              <w:r>
                <w:rPr>
                  <w:rStyle w:val="InternetLink"/>
                  <w:rFonts w:ascii="Arial;sans-serif" w:hAnsi="Arial;sans-serif"/>
                  <w:b w:val="false"/>
                  <w:color w:val="0000FF"/>
                  <w:sz w:val="20"/>
                  <w:u w:val="single"/>
                </w:rPr>
                <w:t>28</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8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Information</w:t>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88">
              <w:r>
                <w:rPr>
                  <w:rStyle w:val="InternetLink"/>
                  <w:rFonts w:ascii="Arial;sans-serif" w:hAnsi="Arial;sans-serif"/>
                  <w:b w:val="false"/>
                  <w:color w:val="0000FF"/>
                  <w:sz w:val="20"/>
                  <w:u w:val="single"/>
                </w:rPr>
                <w:t>Legal Proceedings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88">
              <w:r>
                <w:rPr>
                  <w:rStyle w:val="InternetLink"/>
                  <w:rFonts w:ascii="Arial;sans-serif" w:hAnsi="Arial;sans-serif"/>
                  <w:b w:val="false"/>
                  <w:color w:val="0000FF"/>
                  <w:sz w:val="20"/>
                  <w:u w:val="single"/>
                </w:rPr>
                <w:t>30</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91">
              <w:r>
                <w:rPr>
                  <w:rStyle w:val="InternetLink"/>
                  <w:rFonts w:ascii="Arial;sans-serif" w:hAnsi="Arial;sans-serif"/>
                  <w:b w:val="false"/>
                  <w:color w:val="0000FF"/>
                  <w:sz w:val="20"/>
                  <w:u w:val="single"/>
                </w:rPr>
                <w:t>Risk Factors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91">
              <w:r>
                <w:rPr>
                  <w:rStyle w:val="InternetLink"/>
                  <w:rFonts w:ascii="Arial;sans-serif" w:hAnsi="Arial;sans-serif"/>
                  <w:b w:val="false"/>
                  <w:color w:val="0000FF"/>
                  <w:sz w:val="20"/>
                  <w:u w:val="single"/>
                </w:rPr>
                <w:t>30</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97">
              <w:r>
                <w:rPr>
                  <w:rStyle w:val="InternetLink"/>
                  <w:rFonts w:ascii="Arial;sans-serif" w:hAnsi="Arial;sans-serif"/>
                  <w:b w:val="false"/>
                  <w:color w:val="0000FF"/>
                  <w:sz w:val="20"/>
                  <w:u w:val="single"/>
                </w:rPr>
                <w:t>Exhibits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97">
              <w:r>
                <w:rPr>
                  <w:rStyle w:val="InternetLink"/>
                  <w:rFonts w:ascii="Arial;sans-serif" w:hAnsi="Arial;sans-serif"/>
                  <w:b w:val="false"/>
                  <w:color w:val="0000FF"/>
                  <w:sz w:val="20"/>
                  <w:u w:val="single"/>
                </w:rPr>
                <w:t>32</w:t>
              </w:r>
            </w:hyperlink>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100">
              <w:r>
                <w:rPr>
                  <w:rStyle w:val="InternetLink"/>
                  <w:rFonts w:ascii="Arial;sans-serif" w:hAnsi="Arial;sans-serif"/>
                  <w:b w:val="false"/>
                  <w:color w:val="0000FF"/>
                  <w:sz w:val="20"/>
                  <w:u w:val="single"/>
                </w:rPr>
                <w:t>Signatures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a5e7b0edc94c399549fe8f80e94568_100">
              <w:r>
                <w:rPr>
                  <w:rStyle w:val="InternetLink"/>
                  <w:rFonts w:ascii="Arial;sans-serif" w:hAnsi="Arial;sans-serif"/>
                  <w:b w:val="false"/>
                  <w:color w:val="0000FF"/>
                  <w:sz w:val="20"/>
                  <w:u w:val="single"/>
                </w:rPr>
                <w:t>33</w:t>
              </w:r>
            </w:hyperlink>
          </w:p>
        </w:tc>
      </w:tr>
    </w:tbl>
    <w:p>
      <w:pPr>
        <w:pStyle w:val="TextBody"/>
        <w:bidi w:val="0"/>
        <w:spacing w:before="0" w:after="0"/>
        <w:jc w:val="center"/>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Item 1.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 Condensed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55"/>
        <w:gridCol w:w="2219"/>
        <w:gridCol w:w="2096"/>
        <w:gridCol w:w="109"/>
        <w:gridCol w:w="109"/>
        <w:gridCol w:w="109"/>
        <w:gridCol w:w="218"/>
        <w:gridCol w:w="721"/>
        <w:gridCol w:w="121"/>
        <w:gridCol w:w="109"/>
        <w:gridCol w:w="109"/>
        <w:gridCol w:w="109"/>
        <w:gridCol w:w="239"/>
        <w:gridCol w:w="790"/>
        <w:gridCol w:w="192"/>
      </w:tblGrid>
      <w:tr>
        <w:trPr/>
        <w:tc>
          <w:tcPr>
            <w:tcW w:w="295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7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62,391 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65,716 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72,611 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79,234 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86,221 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Borrowings-non-current portion, net of discounts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28,778 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43,297 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43,761 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$0.001 par value; 10,000,000 shares authorized, no shares issued or outstanding as of March 31, 2023 and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$0.001 par value; 200,000,000 shares authorized as of March 31, 2023 and December 31, 2022; 16,827,014 and 16,549,984 shares issued and outstanding as of March 31,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299,135 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297,970 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(263,215)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(255,527)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35,937 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42,460 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79,234 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86,221 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 Condensed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tbl>
      <w:tblPr>
        <w:tblW w:w="10103" w:type="dxa"/>
        <w:jc w:val="center"/>
        <w:tblInd w:w="0" w:type="dxa"/>
        <w:tblLayout w:type="fixed"/>
        <w:tblCellMar>
          <w:top w:w="28" w:type="dxa"/>
          <w:left w:w="28" w:type="dxa"/>
          <w:bottom w:w="28" w:type="dxa"/>
          <w:right w:w="28" w:type="dxa"/>
        </w:tblCellMar>
      </w:tblPr>
      <w:tblGrid>
        <w:gridCol w:w="2427"/>
        <w:gridCol w:w="2134"/>
        <w:gridCol w:w="2158"/>
        <w:gridCol w:w="109"/>
        <w:gridCol w:w="109"/>
        <w:gridCol w:w="109"/>
        <w:gridCol w:w="223"/>
        <w:gridCol w:w="738"/>
        <w:gridCol w:w="120"/>
        <w:gridCol w:w="120"/>
        <w:gridCol w:w="120"/>
        <w:gridCol w:w="120"/>
        <w:gridCol w:w="217"/>
        <w:gridCol w:w="798"/>
        <w:gridCol w:w="120"/>
        <w:gridCol w:w="109"/>
        <w:gridCol w:w="109"/>
        <w:gridCol w:w="109"/>
        <w:gridCol w:w="154"/>
      </w:tblGrid>
      <w:tr>
        <w:trPr/>
        <w:tc>
          <w:tcPr>
            <w:tcW w:w="2427"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18,936 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20,073 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(10,272)</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(0.44)</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(0.60)</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shares used to compute net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17,526,763 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16,992,391 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financial statements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 Condensed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56"/>
        <w:gridCol w:w="1014"/>
        <w:gridCol w:w="1019"/>
        <w:gridCol w:w="109"/>
        <w:gridCol w:w="109"/>
        <w:gridCol w:w="109"/>
        <w:gridCol w:w="480"/>
        <w:gridCol w:w="481"/>
        <w:gridCol w:w="216"/>
        <w:gridCol w:w="112"/>
        <w:gridCol w:w="112"/>
        <w:gridCol w:w="112"/>
        <w:gridCol w:w="228"/>
        <w:gridCol w:w="386"/>
        <w:gridCol w:w="137"/>
        <w:gridCol w:w="109"/>
        <w:gridCol w:w="109"/>
        <w:gridCol w:w="109"/>
        <w:gridCol w:w="196"/>
        <w:gridCol w:w="736"/>
        <w:gridCol w:w="109"/>
        <w:gridCol w:w="109"/>
        <w:gridCol w:w="109"/>
        <w:gridCol w:w="109"/>
        <w:gridCol w:w="214"/>
        <w:gridCol w:w="822"/>
        <w:gridCol w:w="120"/>
        <w:gridCol w:w="109"/>
        <w:gridCol w:w="109"/>
        <w:gridCol w:w="109"/>
        <w:gridCol w:w="245"/>
        <w:gridCol w:w="808"/>
        <w:gridCol w:w="194"/>
      </w:tblGrid>
      <w:tr>
        <w:trPr/>
        <w:tc>
          <w:tcPr>
            <w:tcW w:w="115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Stockholders'</w:t>
              <w:br/>
              <w:t>Equity</w:t>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Balances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16,549,984 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(255,527)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42,460 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from vested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113,378 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70,317 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93,335 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Balances as of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16,827,014 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(263,215)</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35,937 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 Condensed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56"/>
        <w:gridCol w:w="1014"/>
        <w:gridCol w:w="1019"/>
        <w:gridCol w:w="109"/>
        <w:gridCol w:w="109"/>
        <w:gridCol w:w="109"/>
        <w:gridCol w:w="480"/>
        <w:gridCol w:w="481"/>
        <w:gridCol w:w="216"/>
        <w:gridCol w:w="112"/>
        <w:gridCol w:w="112"/>
        <w:gridCol w:w="112"/>
        <w:gridCol w:w="228"/>
        <w:gridCol w:w="386"/>
        <w:gridCol w:w="137"/>
        <w:gridCol w:w="109"/>
        <w:gridCol w:w="109"/>
        <w:gridCol w:w="109"/>
        <w:gridCol w:w="196"/>
        <w:gridCol w:w="736"/>
        <w:gridCol w:w="109"/>
        <w:gridCol w:w="109"/>
        <w:gridCol w:w="109"/>
        <w:gridCol w:w="109"/>
        <w:gridCol w:w="214"/>
        <w:gridCol w:w="822"/>
        <w:gridCol w:w="120"/>
        <w:gridCol w:w="109"/>
        <w:gridCol w:w="109"/>
        <w:gridCol w:w="109"/>
        <w:gridCol w:w="245"/>
        <w:gridCol w:w="808"/>
        <w:gridCol w:w="194"/>
      </w:tblGrid>
      <w:tr>
        <w:trPr/>
        <w:tc>
          <w:tcPr>
            <w:tcW w:w="115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Stockholders'</w:t>
              <w:br/>
              <w:t>Equity</w:t>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Balances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16,164,994 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(208,140)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84,936 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from vested restricted stock units and payment of employees'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35,681 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Balances as of March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16,231,198 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294,552 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(218,412)</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76,156 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 Condensed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color w:val="000000"/>
        </w:rPr>
      </w:pPr>
      <w:r>
        <w:rPr>
          <w:color w:val="000000"/>
        </w:rPr>
        <w:t> </w:t>
      </w:r>
    </w:p>
    <w:tbl>
      <w:tblPr>
        <w:tblW w:w="8572" w:type="dxa"/>
        <w:jc w:val="center"/>
        <w:tblInd w:w="0" w:type="dxa"/>
        <w:tblLayout w:type="fixed"/>
        <w:tblCellMar>
          <w:top w:w="28" w:type="dxa"/>
          <w:left w:w="28" w:type="dxa"/>
          <w:bottom w:w="28" w:type="dxa"/>
          <w:right w:w="28" w:type="dxa"/>
        </w:tblCellMar>
      </w:tblPr>
      <w:tblGrid>
        <w:gridCol w:w="2049"/>
        <w:gridCol w:w="1800"/>
        <w:gridCol w:w="1805"/>
        <w:gridCol w:w="109"/>
        <w:gridCol w:w="109"/>
        <w:gridCol w:w="109"/>
        <w:gridCol w:w="216"/>
        <w:gridCol w:w="713"/>
        <w:gridCol w:w="120"/>
        <w:gridCol w:w="120"/>
        <w:gridCol w:w="120"/>
        <w:gridCol w:w="120"/>
        <w:gridCol w:w="216"/>
        <w:gridCol w:w="796"/>
        <w:gridCol w:w="170"/>
      </w:tblGrid>
      <w:tr>
        <w:trPr/>
        <w:tc>
          <w:tcPr>
            <w:tcW w:w="204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debt discount and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Non-cash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disposal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(9,749)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(8,574)</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taxes withheld on vested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common stock issued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on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 on note payable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(10,207)</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(9,691)</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62,591 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99,542 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52,384 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89,851 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 of non-cash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purchased under notes payable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incurred, but not paid, in connection with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Unaudited Interim Condensed Financial Statements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 Organization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Description of Business</w:t>
      </w:r>
    </w:p>
    <w:p>
      <w:pPr>
        <w:pStyle w:val="TextBody"/>
        <w:bidi w:val="0"/>
        <w:spacing w:lineRule="auto" w:line="276" w:before="180" w:after="283"/>
        <w:jc w:val="left"/>
        <w:rPr>
          <w:rFonts w:ascii="Arial;sans-serif" w:hAnsi="Arial;sans-serif"/>
          <w:b w:val="false"/>
          <w:color w:val="000000"/>
          <w:sz w:val="20"/>
        </w:rPr>
      </w:pPr>
      <w:r>
        <w:rPr>
          <w:rFonts w:ascii="Arial;sans-serif" w:hAnsi="Arial;sans-serif"/>
          <w:b w:val="false"/>
          <w:color w:val="000000"/>
          <w:sz w:val="20"/>
        </w:rPr>
        <w:t>Exagen Inc. (the Company) is a commercial-stage diagnostics company dedicated to helping patients suffering from debilitating and chronic autoimmune diseases by enabling timely differential diagnosis and optimizing therapeutic intervention.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Liquidity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has incurred recurring losses and negative cash flows from operating activities since inception. The Company anticipates that it will continue to incur net losses into the foreseeable future. As of March 31, 2023, the Company had cash and cash equivalents of $52.2 million and had an accumulated deficit of $263.2 million. Since inception, the Company has financed its operations primarily through a combination of equity financings,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condensed financial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2. Summary of Significant Accounting Policies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Basis of Presentation and Use of Estimates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accompanying interim condensed balance sheet as of March 31, 2023, condensed statements of operations, stockholders' equity and cash flows for the three months ended March 31, 2023 and the related footnote disclosures are unaudited and have been prepared in accordance with the rules and regulations of the Securities and Exchange Commission (SEC), and with accounting principles generally accepted in the United States (GAAP) applicable to interim financial statements. These unaudited condensed financial statements and related footnote disclosures should be read in conjunction with the Company’s audited financial statements for the year ended December 31, 2022, included in its Annual Report on Form 10-K filed with the SEC on March 20, 2023. In management's opinion, the unaudited interim condensed financial statements have been prepared on the same basis as the audited financial statements and include all normal adjustments, necessary for the fair presentation of the Company's financial position as of March 31, 2023 and its results of operations for the periods presented. The results for the three months ended March 31, 2023 are not necessarily indicative of the results expected for the full fiscal year or any other interim period. The year-end condensed balance sheet data was derived from audited financial statements, but does not include all disclosures required by GAAP.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preparation of the accompanying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 Actual results could materially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Significant estimates and assumptions made in the accompanying condensed financial statements include, but are not limited to revenue recognition, the recoverability of its long-lived assets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Concentration of Credit Risk and Other Risk and Uncertainties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 The Company has not experienced any losses on its cash or cash equivalents.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pStyle w:val="TextBody"/>
        <w:bidi w:val="0"/>
        <w:spacing w:lineRule="auto" w:line="288" w:before="0" w:after="0"/>
        <w:jc w:val="left"/>
        <w:rPr>
          <w:color w:val="000000"/>
        </w:rPr>
      </w:pPr>
      <w:r>
        <w:rPr>
          <w:color w:val="000000"/>
        </w:rPr>
        <w:t> </w:t>
      </w:r>
    </w:p>
    <w:tbl>
      <w:tblPr>
        <w:tblW w:w="4243" w:type="dxa"/>
        <w:jc w:val="left"/>
        <w:tblInd w:w="0" w:type="dxa"/>
        <w:tblLayout w:type="fixed"/>
        <w:tblCellMar>
          <w:top w:w="28" w:type="dxa"/>
          <w:left w:w="28" w:type="dxa"/>
          <w:bottom w:w="28" w:type="dxa"/>
          <w:right w:w="28" w:type="dxa"/>
        </w:tblCellMar>
      </w:tblPr>
      <w:tblGrid>
        <w:gridCol w:w="584"/>
        <w:gridCol w:w="514"/>
        <w:gridCol w:w="521"/>
        <w:gridCol w:w="109"/>
        <w:gridCol w:w="109"/>
        <w:gridCol w:w="109"/>
        <w:gridCol w:w="165"/>
        <w:gridCol w:w="166"/>
        <w:gridCol w:w="352"/>
        <w:gridCol w:w="150"/>
        <w:gridCol w:w="150"/>
        <w:gridCol w:w="150"/>
        <w:gridCol w:w="165"/>
        <w:gridCol w:w="166"/>
        <w:gridCol w:w="352"/>
        <w:gridCol w:w="109"/>
        <w:gridCol w:w="109"/>
        <w:gridCol w:w="109"/>
        <w:gridCol w:w="154"/>
      </w:tblGrid>
      <w:tr>
        <w:trPr/>
        <w:tc>
          <w:tcPr>
            <w:tcW w:w="58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w:t>
            </w:r>
          </w:p>
        </w:tc>
        <w:tc>
          <w:tcPr>
            <w:tcW w:w="481" w:type="dxa"/>
            <w:gridSpan w:val="4"/>
            <w:tcBorders/>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Advantage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Blue Shield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9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77"/>
        <w:gridCol w:w="377"/>
        <w:gridCol w:w="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than 10%.</w:t>
            </w:r>
          </w:p>
        </w:tc>
      </w:tr>
    </w:tbl>
    <w:p>
      <w:pPr>
        <w:pStyle w:val="TextBody"/>
        <w:bidi w:val="0"/>
        <w:spacing w:before="60" w:after="283"/>
        <w:jc w:val="left"/>
        <w:rPr/>
      </w:pPr>
      <w:r>
        <w:rPr/>
      </w:r>
    </w:p>
    <w:tbl>
      <w:tblPr>
        <w:tblW w:w="5363" w:type="dxa"/>
        <w:jc w:val="left"/>
        <w:tblInd w:w="0" w:type="dxa"/>
        <w:tblLayout w:type="fixed"/>
        <w:tblCellMar>
          <w:top w:w="28" w:type="dxa"/>
          <w:left w:w="28" w:type="dxa"/>
          <w:bottom w:w="28" w:type="dxa"/>
          <w:right w:w="28" w:type="dxa"/>
        </w:tblCellMar>
      </w:tblPr>
      <w:tblGrid>
        <w:gridCol w:w="584"/>
        <w:gridCol w:w="514"/>
        <w:gridCol w:w="521"/>
        <w:gridCol w:w="109"/>
        <w:gridCol w:w="109"/>
        <w:gridCol w:w="109"/>
        <w:gridCol w:w="289"/>
        <w:gridCol w:w="289"/>
        <w:gridCol w:w="682"/>
        <w:gridCol w:w="179"/>
        <w:gridCol w:w="179"/>
        <w:gridCol w:w="179"/>
        <w:gridCol w:w="339"/>
        <w:gridCol w:w="339"/>
        <w:gridCol w:w="942"/>
      </w:tblGrid>
      <w:tr>
        <w:trPr/>
        <w:tc>
          <w:tcPr>
            <w:tcW w:w="58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Accounts Receivable, Net</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Advantage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60" w:after="283"/>
        <w:jc w:val="left"/>
        <w:rPr/>
      </w:pPr>
      <w:r>
        <w:rPr/>
      </w:r>
    </w:p>
    <w:p>
      <w:pPr>
        <w:pStyle w:val="TextBody"/>
        <w:bidi w:val="0"/>
        <w:spacing w:lineRule="auto" w:line="288" w:before="240" w:after="283"/>
        <w:jc w:val="left"/>
        <w:rPr/>
      </w:pPr>
      <w:r>
        <w:rPr>
          <w:rFonts w:ascii="Arial;sans-serif" w:hAnsi="Arial;sans-serif"/>
          <w:b w:val="false"/>
          <w:color w:val="000000"/>
          <w:sz w:val="20"/>
        </w:rPr>
        <w:t>For the three months ended March 31, 2023 and 2022, approximately 87% and 84%, respectively, of the Company's revenue was related to the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is dependent on key suppliers for certain laboratory materials. For the three months ended March 31, 2023 and 2022, approximately 97% and 95%, respectively, of the Company's diagnostic testing supplies were purchased from two suppliers. An interruption in the supply of these materials would impact the Company's ability to perform testing services.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Disaggregation of Revenue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includes the Company's revenues as disaggregated by payor and customer category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4478" w:type="dxa"/>
        <w:jc w:val="left"/>
        <w:tblInd w:w="0" w:type="dxa"/>
        <w:tblLayout w:type="fixed"/>
        <w:tblCellMar>
          <w:top w:w="28" w:type="dxa"/>
          <w:left w:w="28" w:type="dxa"/>
          <w:bottom w:w="28" w:type="dxa"/>
          <w:right w:w="28" w:type="dxa"/>
        </w:tblCellMar>
      </w:tblPr>
      <w:tblGrid>
        <w:gridCol w:w="407"/>
        <w:gridCol w:w="356"/>
        <w:gridCol w:w="361"/>
        <w:gridCol w:w="109"/>
        <w:gridCol w:w="109"/>
        <w:gridCol w:w="109"/>
        <w:gridCol w:w="224"/>
        <w:gridCol w:w="739"/>
        <w:gridCol w:w="124"/>
        <w:gridCol w:w="124"/>
        <w:gridCol w:w="124"/>
        <w:gridCol w:w="124"/>
        <w:gridCol w:w="224"/>
        <w:gridCol w:w="739"/>
        <w:gridCol w:w="124"/>
        <w:gridCol w:w="109"/>
        <w:gridCol w:w="109"/>
        <w:gridCol w:w="109"/>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Client(1)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(1)Includes hospitals, other laboratories, etc.</w:t>
      </w:r>
    </w:p>
    <w:p>
      <w:pPr>
        <w:pStyle w:val="TextBody"/>
        <w:bidi w:val="0"/>
        <w:spacing w:lineRule="auto" w:line="288" w:before="0" w:after="0"/>
        <w:ind w:left="0" w:right="0" w:hanging="360"/>
        <w:jc w:val="left"/>
        <w:rPr/>
      </w:pPr>
      <w:r>
        <w:rPr>
          <w:rFonts w:ascii="Arial;sans-serif" w:hAnsi="Arial;sans-serif"/>
          <w:b w:val="false"/>
          <w:color w:val="000000"/>
          <w:sz w:val="16"/>
        </w:rPr>
        <w:t>(2)Includes patient self-pay</w:t>
      </w:r>
      <w:r>
        <w:rPr>
          <w:rFonts w:ascii="Times New Roman;sans-serif" w:hAnsi="Times New Roman;sans-serif"/>
          <w:b w:val="false"/>
          <w:color w:val="000000"/>
          <w:sz w:val="20"/>
        </w:rPr>
        <w: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Fair Value Measurements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carrying value of the Company's cash, cash equivalents and restricted cash, accounts receivable, prepaid expenses and other current assets, accounts payable and accrued and other current liabilities approximate their fair values due to their short-term nature, which are determined to be a Level 1 measurement (see Note 6). The estimated fair value of the Company's long-term borrowings is determined by Level 2 inputs and based primarily on quoted market prices for the same or similar issues. As of March 31, 2023, the 2017 Term Loan (as defined below) had a carrying value of $28.4 million and a fair value of $27.1 million. As of December 31, 2022, the 2017 Term Loan had a carrying value of $28.3 million and a fair value of $26.9 million The estimated fair value of the 2017 Term Loan, was determined based on a discounted cash flow approach using available market information on discount and borrowing rates with similar terms, maturities, and credit ratings. The recorded value of the Company's other long-term borrowing was $0.7 million and approximated its fair value as of March 31, 2023.</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Cash, Cash Equivalents and Restricted Cash</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considers all highly-liquid investments purchased with a remaining maturity date of three months or less upon acquisition to be cash equivalents. These investments are stated at cost, which approximates fair value.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has an arrangement with a financial institution with which it has an existing banking relationship, whereby in exchange for the issuance of corporate credit cards, the Company agreed to obtain a certificate of deposit with this financial institution as collateral for the balances borrowed on these cards ($0.2 million at March 31, 2023 and December 31, 2022).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presented in the accompanying statements of cash flows consist of the following (in thousands):</w:t>
      </w:r>
    </w:p>
    <w:p>
      <w:pPr>
        <w:pStyle w:val="TextBody"/>
        <w:bidi w:val="0"/>
        <w:spacing w:lineRule="auto" w:line="288" w:before="0" w:after="0"/>
        <w:jc w:val="left"/>
        <w:rPr>
          <w:color w:val="000000"/>
        </w:rPr>
      </w:pPr>
      <w:r>
        <w:rPr>
          <w:color w:val="000000"/>
        </w:rPr>
        <w:t> </w:t>
      </w:r>
    </w:p>
    <w:tbl>
      <w:tblPr>
        <w:tblW w:w="5317"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259"/>
        <w:gridCol w:w="856"/>
        <w:gridCol w:w="144"/>
        <w:gridCol w:w="109"/>
        <w:gridCol w:w="109"/>
        <w:gridCol w:w="109"/>
        <w:gridCol w:w="257"/>
        <w:gridCol w:w="847"/>
        <w:gridCol w:w="20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2022</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52,184 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89,751 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52,384 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89,851 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Arial;sans-serif" w:hAnsi="Arial;sans-serif"/>
          <w:b/>
          <w:i/>
          <w:color w:val="000000"/>
          <w:sz w:val="20"/>
        </w:rPr>
      </w:pPr>
      <w:r>
        <w:rPr>
          <w:rFonts w:ascii="Arial;sans-serif" w:hAnsi="Arial;sans-serif"/>
          <w:b/>
          <w:i/>
          <w:color w:val="000000"/>
          <w:sz w:val="20"/>
        </w:rPr>
        <w:t>Long-lived Assets</w:t>
      </w:r>
    </w:p>
    <w:p>
      <w:pPr>
        <w:pStyle w:val="TextBody"/>
        <w:bidi w:val="0"/>
        <w:spacing w:lineRule="auto" w:line="276" w:before="180" w:after="283"/>
        <w:jc w:val="left"/>
        <w:rPr>
          <w:rFonts w:ascii="Arial;sans-serif" w:hAnsi="Arial;sans-serif"/>
          <w:b w:val="false"/>
          <w:color w:val="000000"/>
          <w:sz w:val="20"/>
        </w:rPr>
      </w:pPr>
      <w:r>
        <w:rPr>
          <w:rFonts w:ascii="Arial;sans-serif" w:hAnsi="Arial;sans-serif"/>
          <w:b w:val="false"/>
          <w:color w:val="000000"/>
          <w:sz w:val="20"/>
        </w:rPr>
        <w:t xml:space="preserve">The Company’s long-lived assets are comprised principally of its property and equipment and operating lease assets. The Company amortizes all finite lived intangible assets over their respective estimated useful lives. Operating lease assets are amortized over the term of the leases. In considering whether long-lived assets are impaired, we combine our intangible assets and other long-lived assets, into groupings, a determination which we principally make on the basis of whether the assets are specific to a particular test we offer or technology we are developing. If the Company identifies a change in the circumstances related to its long-lived assets that indicates the carrying value of any such asset may not be recoverable, the Company will perform an impairment analysis.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283"/>
        <w:jc w:val="left"/>
        <w:rPr>
          <w:rFonts w:ascii="Arial;sans-serif" w:hAnsi="Arial;sans-serif"/>
          <w:b w:val="false"/>
          <w:color w:val="000000"/>
          <w:sz w:val="20"/>
        </w:rPr>
      </w:pPr>
      <w:r>
        <w:rPr>
          <w:rFonts w:ascii="Arial;sans-serif" w:hAnsi="Arial;sans-serif"/>
          <w:b w:val="false"/>
          <w:color w:val="000000"/>
          <w:sz w:val="20"/>
        </w:rPr>
        <w:t xml:space="preserve">long-lived asset is deemed to be impaired when the undiscounted cash flows expected to be generated by the asset (or asset group) are less than the asset’s carrying amount. Management’s estimates of future cash flows are impacted by projected test volume and levels of reimbursement, as well as expectations related to the future cost structure of the entity. Any required impairment loss would be measured as the amount by which the asset’s carrying value exceeds its fair value, and would be recorded as a reduction in the carrying value of the related asset and a charge to operating expense. </w:t>
      </w:r>
    </w:p>
    <w:p>
      <w:pPr>
        <w:pStyle w:val="TextBody"/>
        <w:bidi w:val="0"/>
        <w:spacing w:lineRule="auto" w:line="276" w:before="320" w:after="283"/>
        <w:jc w:val="left"/>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(each, a payor) consist of commercial payors (healthcare insurers), government payors (primarily Medicare and Medicaid), client payors (i.e., hospitals, other laboratories, etc.) and patient self-pay. The Company's service is a single performance obligation that is completed upon the delivery of test results to the prescribing physician which triggers revenue recognition.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Payors are billed at the Company's list price.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Adjustments are recorded in the current period as changes in estimates occur. Further adjustments to the allowances, based on actual receipts, are recorded upon settlement. Included in revenues for the three months ended March 31, 2023 and 2022 was a $0.3 million net revenue increase and a $0.2 million net revenue decrease, respectively, associated with changes in estimated variable consideration related to performance obligations satisfied in previous periods. The transaction price is estimated using an expected value method on a portfolio basis.</w:t>
      </w:r>
    </w:p>
    <w:p>
      <w:pPr>
        <w:pStyle w:val="TextBody"/>
        <w:bidi w:val="0"/>
        <w:spacing w:lineRule="auto" w:line="268" w:before="240" w:after="283"/>
        <w:jc w:val="left"/>
        <w:rPr>
          <w:rFonts w:ascii="Arial;sans-serif" w:hAnsi="Arial;sans-serif"/>
          <w:b w:val="false"/>
          <w:color w:val="000000"/>
          <w:sz w:val="20"/>
        </w:rPr>
      </w:pPr>
      <w:r>
        <w:rPr>
          <w:rFonts w:ascii="Arial;sans-serif" w:hAnsi="Arial;sans-serif"/>
          <w:b w:val="false"/>
          <w:color w:val="000000"/>
          <w:sz w:val="20"/>
        </w:rPr>
        <w:t>Variable consideration is included in the transaction price only to the extent it is probable that a significant reversal in the amount of cumulative revenue recognized will not occur when the uncertainties with respect to the amount are resolved. The Company's portfolios are grouped per payor (i.e. each individual commercial payor, Medicare, Medicaid, client payors, patient self-pay, etc.) and per test. Consideration may be constrained and excluded from the transaction price in situations where there is no contractually agreed upon reimbursement coverage or in absence of a predictable pattern and history of collectability with a payor. Accordingly, in such situations revenues are recognized on the basis of actual cash collections. Additionally, from time to time, the Company may issue refunds to payors for overpayments or amounts billed in error. Any refunds are accounted for as reductions in revenues in the statement of operations as an element of variable consideration. The estimated expected refunds are accrued as a liability on the Company’s balance sheet.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Collection of the Company's net revenues from payors is normally a function of providing complete and correct billing information to the healthcare insurers and generally occurs within 30 to 90 days of billing. Contracts do not contain significant financing components based on the typical period of time between performance of services and collection of consideration.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Accounts Receivable and Allowance for Credit Losses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accrue an allowance for credit losses against our accounts receivable based on management’s current estimate of amounts that will not be collected. Management’s estimates are typically based on historical loss information adjusted for current conditions. We generally do not perform evaluations of the financial condition of our customers and generally do not require collateral. The allowance for credit losses was zero as of March 31, 2023. Adjustments for implicit price concessions attributable to variable consideration, as discussed above, are incorporated into the measurement of the accounts receivable balances and are not part of the allowance for credit losses.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Research and Development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Costs associated with research and development activities are expensed as incurred and include, but are not limited to, personnel-related expenses, including stock-based compensation expense, materials, laboratory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supplies, consulting costs, costs associated with setting up and conducting clinical studies and allocated overhead including rent and utilities.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Advertising and Marketing Costs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Costs associated with advertising and marketing activities are expensed as incurred. Total advertising and marketing costs were approximately $0.3 million for the three months ended March 31, 2023 and 2022, and are included in selling, general and administrative expenses in the accompanying condensed statements of operations.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Shipping and Handling Costs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Costs incurred for shipping and handling are included in costs of revenue in the accompanying condensed statements of operations and totaled approximately $0.7 million and $0.6 million for the three months ended March 31, 2023 and 2022, respectively.</w:t>
      </w:r>
    </w:p>
    <w:p>
      <w:pPr>
        <w:pStyle w:val="TextBody"/>
        <w:bidi w:val="0"/>
        <w:spacing w:lineRule="auto" w:line="276" w:before="240" w:after="283"/>
        <w:jc w:val="left"/>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76" w:before="180" w:after="283"/>
        <w:jc w:val="left"/>
        <w:rPr>
          <w:rFonts w:ascii="Arial;sans-serif" w:hAnsi="Arial;sans-serif"/>
          <w:b w:val="false"/>
          <w:color w:val="000000"/>
          <w:sz w:val="20"/>
        </w:rPr>
      </w:pPr>
      <w:r>
        <w:rPr>
          <w:rFonts w:ascii="Arial;sans-serif" w:hAnsi="Arial;sans-serif"/>
          <w:b w:val="false"/>
          <w:color w:val="000000"/>
          <w:sz w:val="20"/>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and purchases under the Company's 2019 Employee Stock Purchase Plan (ESPP) rights is determined using the Black-Scholes-Merton (BSM) option pricing model, which requires management to make certain assumptions regarding a number of complex and subjective variables. Equity award forfeitures are recorded as they occur.</w:t>
      </w:r>
    </w:p>
    <w:p>
      <w:pPr>
        <w:pStyle w:val="TextBody"/>
        <w:bidi w:val="0"/>
        <w:spacing w:lineRule="auto" w:line="276" w:before="180" w:after="283"/>
        <w:jc w:val="left"/>
        <w:rPr>
          <w:rFonts w:ascii="Arial;sans-serif" w:hAnsi="Arial;sans-serif"/>
          <w:b w:val="false"/>
          <w:color w:val="000000"/>
          <w:sz w:val="20"/>
        </w:rPr>
      </w:pPr>
      <w:r>
        <w:rPr>
          <w:rFonts w:ascii="Arial;sans-serif" w:hAnsi="Arial;sans-serif"/>
          <w:b w:val="false"/>
          <w:color w:val="000000"/>
          <w:sz w:val="20"/>
        </w:rPr>
        <w:t>The BSM option pricing model incorporates various inputs, including the fair value of the Company's common stock, expected volatility, expected term and risk-free interest rates. Volatility is based on the Company's historical calculated volatility since being publicly traded. The weighted-average expected term of options was calculated using the simplified method. The risk-free interest rate for periods within the contractual term of the option is based on the U.S. Treasury yield in effect at the time of grant. The dividend yield is zero, as the Company has never declared or paid dividends and has no plans to do so in the foreseeable future.</w:t>
      </w:r>
    </w:p>
    <w:p>
      <w:pPr>
        <w:pStyle w:val="TextBody"/>
        <w:bidi w:val="0"/>
        <w:spacing w:lineRule="auto" w:line="276" w:before="180" w:after="283"/>
        <w:jc w:val="left"/>
        <w:rPr>
          <w:rFonts w:ascii="Arial;sans-serif" w:hAnsi="Arial;sans-serif"/>
          <w:b w:val="false"/>
          <w:color w:val="000000"/>
          <w:sz w:val="20"/>
        </w:rPr>
      </w:pPr>
      <w:r>
        <w:rPr>
          <w:rFonts w:ascii="Arial;sans-serif" w:hAnsi="Arial;sans-serif"/>
          <w:b w:val="false"/>
          <w:color w:val="000000"/>
          <w:sz w:val="20"/>
        </w:rPr>
        <w:t>The fair value of each restricted stock unit is determined on the grant date using the closing price of the Company's common stock on that date. The Company's restricted stock units generally vest in equal annual installments over four years from the date of grant or, for grants to new hires, date of hire. Vesting of restricted stock units is subject to the holder's continued service with the Company. The Company issues new shares to satisfy restricted stock units upon vesting.</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Comprehensive Loss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Net Loss Per Share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The weighted-average number of shares used to compute basic and diluted shares includes shares issuable upon the exercise of pre-funded warrants at a nominal price. Potentially dilutive common stock equivalents are comprised of warrants for the purchase of common stock, stock options, restricted stock units outstanding under the Company's 2019 Incentive Award Plan (the 2019 Plan) and shares of the Company's common stock pursuant to the ESPP. For the three months ended March 31, 2023 and 2022, there is no difference in the number of shares used to calculate basic and diluted shares outstanding, as the inclusion of the potentially dilutive securities would be antidilutive.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Potentially dilutive securities not included in the calculation of diluted net loss per share, because to do so would be anti-dilutive, are as follows (in common stock equivalent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024" w:type="dxa"/>
        <w:jc w:val="left"/>
        <w:tblInd w:w="0" w:type="dxa"/>
        <w:tblLayout w:type="fixed"/>
        <w:tblCellMar>
          <w:top w:w="28" w:type="dxa"/>
          <w:left w:w="28" w:type="dxa"/>
          <w:bottom w:w="28" w:type="dxa"/>
          <w:right w:w="28" w:type="dxa"/>
        </w:tblCellMar>
      </w:tblPr>
      <w:tblGrid>
        <w:gridCol w:w="1028"/>
        <w:gridCol w:w="902"/>
        <w:gridCol w:w="905"/>
        <w:gridCol w:w="109"/>
        <w:gridCol w:w="109"/>
        <w:gridCol w:w="109"/>
        <w:gridCol w:w="435"/>
        <w:gridCol w:w="436"/>
        <w:gridCol w:w="156"/>
        <w:gridCol w:w="109"/>
        <w:gridCol w:w="109"/>
        <w:gridCol w:w="109"/>
        <w:gridCol w:w="435"/>
        <w:gridCol w:w="436"/>
        <w:gridCol w:w="156"/>
        <w:gridCol w:w="109"/>
        <w:gridCol w:w="109"/>
        <w:gridCol w:w="109"/>
        <w:gridCol w:w="154"/>
      </w:tblGrid>
      <w:tr>
        <w:trPr/>
        <w:tc>
          <w:tcPr>
            <w:tcW w:w="102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Warrants to purchase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409,108 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409,108 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1,019,076 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2,002,039 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1,494,085 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878,575 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2,937,005 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3,296,651 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Arial;sans-serif" w:hAnsi="Arial;sans-serif"/>
          <w:b/>
          <w:i/>
          <w:color w:val="000000"/>
          <w:sz w:val="20"/>
        </w:rPr>
      </w:pPr>
      <w:r>
        <w:rPr>
          <w:rFonts w:ascii="Arial;sans-serif" w:hAnsi="Arial;sans-serif"/>
          <w:b/>
          <w:i/>
          <w:color w:val="000000"/>
          <w:sz w:val="20"/>
        </w:rPr>
        <w:t>Segment Reporting</w:t>
      </w:r>
    </w:p>
    <w:p>
      <w:pPr>
        <w:pStyle w:val="TextBody"/>
        <w:bidi w:val="0"/>
        <w:spacing w:lineRule="auto" w:line="276" w:before="180" w:after="283"/>
        <w:jc w:val="left"/>
        <w:rPr>
          <w:rFonts w:ascii="Arial;sans-serif" w:hAnsi="Arial;sans-serif"/>
          <w:b w:val="false"/>
          <w:color w:val="000000"/>
          <w:sz w:val="20"/>
        </w:rPr>
      </w:pPr>
      <w:r>
        <w:rPr>
          <w:rFonts w:ascii="Arial;sans-serif" w:hAnsi="Arial;sans-serif"/>
          <w:b w:val="false"/>
          <w:color w:val="000000"/>
          <w:sz w:val="20"/>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The Company has elected to use the extended transition period for complying with new or revised accounting standards pursuant to Section 107(b) of the JOBS Act. Unless otherwise discussed, the impact of recently issued standards that are not yet effective will not have a material impact on the Company's financial position or results of operations upon adoption.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Recently Adopted Accounting Standards</w:t>
      </w:r>
    </w:p>
    <w:p>
      <w:pPr>
        <w:pStyle w:val="TextBody"/>
        <w:bidi w:val="0"/>
        <w:spacing w:lineRule="auto" w:line="276" w:before="180" w:after="283"/>
        <w:jc w:val="left"/>
        <w:rPr/>
      </w:pPr>
      <w:r>
        <w:rPr>
          <w:rFonts w:ascii="Arial;sans-serif" w:hAnsi="Arial;sans-serif"/>
          <w:b w:val="false"/>
          <w:color w:val="000000"/>
          <w:sz w:val="20"/>
        </w:rPr>
        <w:t xml:space="preserve">In June 2016, the FASB issued Accounting Standards Update (ASU) 2016-13, </w:t>
      </w:r>
      <w:r>
        <w:rPr>
          <w:rFonts w:ascii="Arial;sans-serif" w:hAnsi="Arial;sans-serif"/>
          <w:b w:val="false"/>
          <w:i/>
          <w:color w:val="000000"/>
          <w:sz w:val="20"/>
        </w:rPr>
        <w:t>Financial Instruments - Credit Losses (Topic 326): Measurement of Credit Losses on Financial Instruments</w:t>
      </w:r>
      <w:r>
        <w:rPr>
          <w:rFonts w:ascii="Arial;sans-serif" w:hAnsi="Arial;sans-serif"/>
          <w:b w:val="false"/>
          <w:color w:val="000000"/>
          <w:sz w:val="20"/>
        </w:rPr>
        <w:t xml:space="preserve">, which requires the measurement of expected credit losses (based on historical experience, current conditions and reasonable forecasts) for financial instruments (such as accounts receivable) held at the reporting date which are carried at amortized cost. The main objective of this ASU is to provide financial statement users with more decision-useful information about the expected credit losses on financial instruments and other commitments to extend credit held by a reporting entity at each reporting date. In November 2018, the FASB issued ASU 2018-19, </w:t>
      </w:r>
      <w:r>
        <w:rPr>
          <w:rFonts w:ascii="Arial;sans-serif" w:hAnsi="Arial;sans-serif"/>
          <w:b w:val="false"/>
          <w:i/>
          <w:color w:val="000000"/>
          <w:sz w:val="20"/>
        </w:rPr>
        <w:t>Codification Improvements to Topic 326, Financing Instruments-Credit Losses</w:t>
      </w:r>
      <w:r>
        <w:rPr>
          <w:rFonts w:ascii="Arial;sans-serif" w:hAnsi="Arial;sans-serif"/>
          <w:b w:val="false"/>
          <w:color w:val="000000"/>
          <w:sz w:val="20"/>
        </w:rPr>
        <w:t>, which included an amendment of the effective date for nonpublic entities. For emerging growth companies, ASU 2016-13 is effective for fiscal years beginning after December 15, 2022, including interim periods within those fiscal years. The Company adopted this pronouncement on January 1, 2023. The adoption did not have an impact on its condensed financial statements.</w:t>
      </w:r>
    </w:p>
    <w:p>
      <w:pPr>
        <w:pStyle w:val="TextBody"/>
        <w:bidi w:val="0"/>
        <w:spacing w:lineRule="auto" w:line="276" w:before="180" w:after="283"/>
        <w:jc w:val="left"/>
        <w:rPr/>
      </w:pPr>
      <w:r>
        <w:rPr>
          <w:rFonts w:ascii="Arial;sans-serif" w:hAnsi="Arial;sans-serif"/>
          <w:b w:val="false"/>
          <w:color w:val="000000"/>
          <w:sz w:val="20"/>
        </w:rPr>
        <w:t xml:space="preserve">In August 2020, the FASB issued ASU 2020-06, </w:t>
      </w:r>
      <w:r>
        <w:rPr>
          <w:rFonts w:ascii="Arial;sans-serif" w:hAnsi="Arial;sans-serif"/>
          <w:b w:val="false"/>
          <w:i/>
          <w:color w:val="000000"/>
          <w:sz w:val="20"/>
        </w:rPr>
        <w:t>Debt—Debt with Conversion and Other Options (Subtopic 470-20) and Derivatives and Hedging—Contracts in Entity’s Own Equity (Subtopic 815-40)</w:t>
      </w:r>
      <w:r>
        <w:rPr>
          <w:rFonts w:ascii="Arial;sans-serif" w:hAnsi="Arial;sans-serif"/>
          <w:b w:val="false"/>
          <w:color w:val="000000"/>
          <w:sz w:val="20"/>
        </w:rPr>
        <w:t>. ASU 2020-06 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ASU 2020-06 modifies how particular convertible instruments and certain contracts that may be settled in cash or shares impact the diluted EPS computation. The amendments in ASU 2020-06 are effective for smaller reporting companies as defined by the SEC for fiscal years beginning after December 15, 2023, including interim periods within those fiscal years. The Company adopted ASU 2020-06 as of January 1, 2023. The adoption did not have an impact on its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3. Other Financial Information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Prepaid Expenses and Other Current Assets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 consist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7377" w:type="dxa"/>
        <w:jc w:val="left"/>
        <w:tblInd w:w="0" w:type="dxa"/>
        <w:tblLayout w:type="fixed"/>
        <w:tblCellMar>
          <w:top w:w="28" w:type="dxa"/>
          <w:left w:w="28" w:type="dxa"/>
          <w:bottom w:w="28" w:type="dxa"/>
          <w:right w:w="28" w:type="dxa"/>
        </w:tblCellMar>
      </w:tblPr>
      <w:tblGrid>
        <w:gridCol w:w="1353"/>
        <w:gridCol w:w="1190"/>
        <w:gridCol w:w="1191"/>
        <w:gridCol w:w="109"/>
        <w:gridCol w:w="109"/>
        <w:gridCol w:w="109"/>
        <w:gridCol w:w="287"/>
        <w:gridCol w:w="814"/>
        <w:gridCol w:w="159"/>
        <w:gridCol w:w="109"/>
        <w:gridCol w:w="109"/>
        <w:gridCol w:w="109"/>
        <w:gridCol w:w="358"/>
        <w:gridCol w:w="1016"/>
        <w:gridCol w:w="201"/>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Diagnostic testing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product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maintenance and insurance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4,143 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Property and Equipment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Property and equipment consist of the following (in thousands):</w:t>
      </w:r>
    </w:p>
    <w:p>
      <w:pPr>
        <w:pStyle w:val="TextBody"/>
        <w:bidi w:val="0"/>
        <w:spacing w:lineRule="auto" w:line="288" w:before="0" w:after="0"/>
        <w:jc w:val="left"/>
        <w:rPr>
          <w:color w:val="000000"/>
        </w:rPr>
      </w:pPr>
      <w:r>
        <w:rPr>
          <w:color w:val="000000"/>
        </w:rPr>
        <w:t> </w:t>
      </w:r>
    </w:p>
    <w:tbl>
      <w:tblPr>
        <w:tblW w:w="7317" w:type="dxa"/>
        <w:jc w:val="left"/>
        <w:tblInd w:w="0" w:type="dxa"/>
        <w:tblLayout w:type="fixed"/>
        <w:tblCellMar>
          <w:top w:w="28" w:type="dxa"/>
          <w:left w:w="28" w:type="dxa"/>
          <w:bottom w:w="28" w:type="dxa"/>
          <w:right w:w="28" w:type="dxa"/>
        </w:tblCellMar>
      </w:tblPr>
      <w:tblGrid>
        <w:gridCol w:w="1332"/>
        <w:gridCol w:w="1169"/>
        <w:gridCol w:w="1173"/>
        <w:gridCol w:w="109"/>
        <w:gridCol w:w="109"/>
        <w:gridCol w:w="109"/>
        <w:gridCol w:w="287"/>
        <w:gridCol w:w="814"/>
        <w:gridCol w:w="159"/>
        <w:gridCol w:w="109"/>
        <w:gridCol w:w="109"/>
        <w:gridCol w:w="109"/>
        <w:gridCol w:w="358"/>
        <w:gridCol w:w="1016"/>
        <w:gridCol w:w="201"/>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Laboratory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Computer equipment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13,321 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(5,124)</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8,197 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Depreciation and amortization expense for the three months ended March 31, 2023 and 2022 was approximately $0.6 million and $0.3 million, respectively.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Accrued and Other Current Liabilities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Accrued and other current liabilities consist of the following (in thousands):</w:t>
      </w:r>
    </w:p>
    <w:p>
      <w:pPr>
        <w:pStyle w:val="TextBody"/>
        <w:bidi w:val="0"/>
        <w:spacing w:lineRule="auto" w:line="288" w:before="0" w:after="0"/>
        <w:jc w:val="left"/>
        <w:rPr>
          <w:color w:val="000000"/>
        </w:rPr>
      </w:pPr>
      <w:r>
        <w:rPr>
          <w:color w:val="000000"/>
        </w:rPr>
        <w:t> </w:t>
      </w:r>
    </w:p>
    <w:tbl>
      <w:tblPr>
        <w:tblW w:w="6868" w:type="dxa"/>
        <w:jc w:val="left"/>
        <w:tblInd w:w="0" w:type="dxa"/>
        <w:tblLayout w:type="fixed"/>
        <w:tblCellMar>
          <w:top w:w="28" w:type="dxa"/>
          <w:left w:w="28" w:type="dxa"/>
          <w:bottom w:w="28" w:type="dxa"/>
          <w:right w:w="28" w:type="dxa"/>
        </w:tblCellMar>
      </w:tblPr>
      <w:tblGrid>
        <w:gridCol w:w="1169"/>
        <w:gridCol w:w="1027"/>
        <w:gridCol w:w="1029"/>
        <w:gridCol w:w="109"/>
        <w:gridCol w:w="109"/>
        <w:gridCol w:w="109"/>
        <w:gridCol w:w="287"/>
        <w:gridCol w:w="814"/>
        <w:gridCol w:w="159"/>
        <w:gridCol w:w="109"/>
        <w:gridCol w:w="109"/>
        <w:gridCol w:w="109"/>
        <w:gridCol w:w="358"/>
        <w:gridCol w:w="1016"/>
        <w:gridCol w:w="201"/>
        <w:gridCol w:w="154"/>
      </w:tblGrid>
      <w:tr>
        <w:trPr/>
        <w:tc>
          <w:tcPr>
            <w:tcW w:w="116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payroll and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purchases of goods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clinical study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obligations,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Refund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5,347 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4. Borrowings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2017 Term Loan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September 2017, the Company executed a term loan agreement (the 2017 Term Loan) with Innovatus Life Sciences Lending Fund I, LP (Innovatus), as amended, pursuant to which the Company borrowed $25.0 million. As of March 31, 2023, no additional amounts remained available to borrow under the 2017 Term Loan.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 November 2021, the Company executed the Second Amendment to the Loan and Security Agreement (the 2017 Loan Amendment) and, as further described in Note 9, on April 28, 2023, the Company and Innovatus entered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Third Loan Amendment to the 2017 Term Loan (Third Loan Amendment). The interest rate on all borrowings under the 2017 Loan Amendment was 8.0%, of which 2.0% was paid in-kind in the form of additional term loans (PIK Loans) until December of 2024, after which interest was scheduled to accrue at an annual rate of 8.0%. The Company estimated the effective interest rate of this loan to be approximately 8.5%. Accrued interest is due and payable monthly, unless the Company elects to pay paid-in-kind interest. The outstanding principal and accrued interest on the 2017 Loan Amendment was to be repaid in twenty-four equal monthly installments commencing in December 2024. Upon repayment of the final installment under the 2017 Loan Amendment, the Company is required to pay an additional fee of $1.0 million. This obligation is being accreted into interest expense over the term of the Loan Amendment using the effective interest method. For each of the three months ended March 31, 2023 and 2022, the Company issued PIK Loans totaling $0.1 million.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2017 Loan Amendment required a prepayment premium of 2% of the aggregate outstanding principal and decreased by 1% on each of November 1, 2023 and 2024.</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2017 Loan Amendment is collateralized by a first priority security interest in substantially all of the Company's assets, including intellectual property. The affirmative covenants of the 2017 Loan Amendment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affirmative covenants require that the Company achieve a specified level of revenue, as measured quarterly on a rolling twelve-month basis. The consequences of failing to achieve the performance covenant were eligible to be cured if, within sixty days of failing to achieve the performance covenant, the Company issues additional equity securities or subordinated debt with net proceeds sufficient to fund any cash flow deficiency generated from operations, as defined. The 2017 Loan Amendment requires that the Company maintain certain levels of minimum liquidity and maintains an unrestricted cash balance of $2.0 million.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Loan Amendment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As of March 31, 2023, the Company was in compliance with all covenants of the 2017 Loan Amendment.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Upon an event of default in any of the 2017 Loan Amendment covenants, the repayment of the 2017 Loan Amendment may be accelerated, and the applicable interest rate will be increased by 4.0% until the default is cured. Although repayment of the 2017 Loan Amendment can be accelerated under certain circumstances, the Company believes acceleration of this loan is not probable as of the date of these condensed financial statements. Accordingly, the Company has reflected the amounts of the 2017 Loan Amendment due beyond twelve months of the balance sheet date as non-current.</w:t>
      </w:r>
    </w:p>
    <w:p>
      <w:pPr>
        <w:pStyle w:val="TextBody"/>
        <w:bidi w:val="0"/>
        <w:spacing w:lineRule="auto" w:line="276" w:before="180" w:after="283"/>
        <w:jc w:val="left"/>
        <w:rPr>
          <w:rFonts w:ascii="Arial;sans-serif" w:hAnsi="Arial;sans-serif"/>
          <w:b w:val="false"/>
          <w:i/>
          <w:color w:val="000000"/>
          <w:sz w:val="20"/>
        </w:rPr>
      </w:pPr>
      <w:r>
        <w:rPr>
          <w:rFonts w:ascii="Arial;sans-serif" w:hAnsi="Arial;sans-serif"/>
          <w:b w:val="false"/>
          <w:i/>
          <w:color w:val="000000"/>
          <w:sz w:val="20"/>
        </w:rPr>
        <w:t>2022 Equipment Notes Payable</w:t>
      </w:r>
    </w:p>
    <w:p>
      <w:pPr>
        <w:pStyle w:val="TextBody"/>
        <w:bidi w:val="0"/>
        <w:spacing w:lineRule="auto" w:line="276" w:before="180" w:after="283"/>
        <w:jc w:val="left"/>
        <w:rPr>
          <w:rFonts w:ascii="Arial;sans-serif" w:hAnsi="Arial;sans-serif"/>
          <w:b w:val="false"/>
          <w:color w:val="000000"/>
          <w:sz w:val="20"/>
        </w:rPr>
      </w:pPr>
      <w:r>
        <w:rPr>
          <w:rFonts w:ascii="Arial;sans-serif" w:hAnsi="Arial;sans-serif"/>
          <w:b w:val="false"/>
          <w:color w:val="000000"/>
          <w:sz w:val="20"/>
        </w:rPr>
        <w:t>In May 2022, the Company purchased laboratory equipment using notes payable. At March 31, 2023, the total notes payable balance related to this financed equipment was $1.0 million, with $0.3 million classified within borrowings-current portion and $0.7 million within borrowings-non-current portion, net of discounts and debt issuance costs in the accompanying balance sheets. The financed equipment is subject to a 5.28% effective interest rate and will mature on October 1, 2026.</w:t>
      </w:r>
    </w:p>
    <w:p>
      <w:pPr>
        <w:pStyle w:val="TextBody"/>
        <w:bidi w:val="0"/>
        <w:spacing w:lineRule="auto" w:line="276" w:before="180" w:after="283"/>
        <w:jc w:val="left"/>
        <w:rPr>
          <w:rFonts w:ascii="Arial;sans-serif" w:hAnsi="Arial;sans-serif"/>
          <w:b w:val="false"/>
          <w:i/>
          <w:color w:val="000000"/>
          <w:sz w:val="20"/>
        </w:rPr>
      </w:pPr>
      <w:r>
        <w:rPr>
          <w:rFonts w:ascii="Arial;sans-serif" w:hAnsi="Arial;sans-serif"/>
          <w:b w:val="false"/>
          <w:i/>
          <w:color w:val="000000"/>
          <w:sz w:val="20"/>
        </w:rPr>
        <w:t>Future Minimum Payments on the Outstanding Borrowings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of March 31, 2023, future minimum aggregate payments, including interest, for outstanding borrowings under the 2017 Loan Amendment 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797" w:type="dxa"/>
        <w:jc w:val="left"/>
        <w:tblInd w:w="0" w:type="dxa"/>
        <w:tblLayout w:type="fixed"/>
        <w:tblCellMar>
          <w:top w:w="28" w:type="dxa"/>
          <w:left w:w="28" w:type="dxa"/>
          <w:bottom w:w="28" w:type="dxa"/>
          <w:right w:w="28" w:type="dxa"/>
        </w:tblCellMar>
      </w:tblPr>
      <w:tblGrid>
        <w:gridCol w:w="1983"/>
        <w:gridCol w:w="1743"/>
        <w:gridCol w:w="1748"/>
        <w:gridCol w:w="109"/>
        <w:gridCol w:w="109"/>
        <w:gridCol w:w="109"/>
        <w:gridCol w:w="196"/>
        <w:gridCol w:w="646"/>
        <w:gridCol w:w="154"/>
      </w:tblGrid>
      <w:tr>
        <w:trPr/>
        <w:tc>
          <w:tcPr>
            <w:tcW w:w="198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2023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Unamortized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borrowings, net of discounts and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Borrowings-current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Borrowings-non-current portion, net of discounts and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5. Commitments and Contingencies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Acquisition-related liabilities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connection with the acquisition of the medical diagnostics division of Royalty Pharma Collection Trust (Royalty Pharma) (formerly known as Cypress Bioscience, Inc.) in 2010, the Company has ongoing royalty payment obligations of 2.5% on net sales of products which incorporate certain acquired technologies. Future royalties payable under these arrangements are limited to the lesser of (i) an aggregate of $1.2 million (including an upfront payment of $0.1 million) and (ii) the total royalties earned through January 1, 2024.</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Licensing Agreements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has licensed technology for use in its diagnostic tests. In addition to the milestone payments required by these agreements, individual license agreements generally provide for ongoing royalty payments ranging from 1.5% to 7.0% on net sales of products which incorporate licensed technology, as defined in such agreements. Royalties are accrued when earned and recorded in costs of revenue in the accompanying condensed statements of operations.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Collaboration Obligations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May 2021, the Company entered into a master research collaboration agreement with Allegheny Health Network Research Institute (AHN), pursuant to which the Company is required to pay AHN a collaboration fee of $0.4 million for each year during the initial term of the agreement. Collaboration expenses under the master research collaboration agreement were $0.1 million for each of the three months ended March 31, 2023 and 2022. Collaboration expenses under the AHN collaboration are included in research and development expenses.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Supply Agreement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December 2021, the Company entered into an amended supply agreement with one supplier for reagents which includes minimum annual purchase commitments of $6.9 million and $8.0 million for the years ending December 31, 2023 and 2024, respectively, with a 15% annual increase thereafter for unconditional minimum purchase commitments through the year ending December 31, 2025.</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Contingencies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the normal course of business, the Company enters into contracts and agreements that contain a variety of representations and warranties and provide for general indemnifications; including for subpoenas and other civil investigative demands, from governmental agencies, Medicare or Medicaid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Litigation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From time to time, the Company may be subject to various legal proceedings that arise in the ordinary course of business activities. The Company does not believe the outcome of any such matters will have a material effect on its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6. Fair Value Measurements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Techniques used to measure fair value must maximize the use of observable inputs and minimize the use of unobservable inputs.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three-levels of the valuation hierarchy for disclosure of fair value measurements are defined as follows:</w:t>
      </w:r>
    </w:p>
    <w:p>
      <w:pPr>
        <w:pStyle w:val="TextBody"/>
        <w:bidi w:val="0"/>
        <w:spacing w:lineRule="auto" w:line="288" w:before="240" w:after="283"/>
        <w:ind w:left="0" w:right="0" w:hanging="1440"/>
        <w:jc w:val="left"/>
        <w:rPr>
          <w:rFonts w:ascii="Arial;sans-serif" w:hAnsi="Arial;sans-serif"/>
          <w:b w:val="false"/>
          <w:color w:val="000000"/>
          <w:sz w:val="20"/>
        </w:rPr>
      </w:pPr>
      <w:r>
        <w:rPr>
          <w:rFonts w:ascii="Arial;sans-serif" w:hAnsi="Arial;sans-serif"/>
          <w:b w:val="false"/>
          <w:color w:val="000000"/>
          <w:sz w:val="20"/>
        </w:rPr>
        <w:t>Level 1 -    Unadjusted quoted prices in active markets for identical assets or liabilities;</w:t>
      </w:r>
    </w:p>
    <w:p>
      <w:pPr>
        <w:pStyle w:val="TextBody"/>
        <w:bidi w:val="0"/>
        <w:spacing w:lineRule="auto" w:line="288" w:before="240" w:after="283"/>
        <w:ind w:left="0" w:right="0" w:hanging="1440"/>
        <w:jc w:val="left"/>
        <w:rPr>
          <w:rFonts w:ascii="Arial;sans-serif" w:hAnsi="Arial;sans-serif"/>
          <w:b w:val="false"/>
          <w:color w:val="000000"/>
          <w:sz w:val="20"/>
        </w:rPr>
      </w:pPr>
      <w:r>
        <w:rPr>
          <w:rFonts w:ascii="Arial;sans-serif" w:hAnsi="Arial;sans-serif"/>
          <w:b w:val="false"/>
          <w:color w:val="000000"/>
          <w:sz w:val="20"/>
        </w:rPr>
        <w:t>Level 2 -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pStyle w:val="TextBody"/>
        <w:bidi w:val="0"/>
        <w:spacing w:lineRule="auto" w:line="288" w:before="240" w:after="283"/>
        <w:ind w:left="0" w:right="0" w:hanging="1440"/>
        <w:jc w:val="left"/>
        <w:rPr>
          <w:rFonts w:ascii="Arial;sans-serif" w:hAnsi="Arial;sans-serif"/>
          <w:b w:val="false"/>
          <w:color w:val="000000"/>
          <w:sz w:val="20"/>
        </w:rPr>
      </w:pPr>
      <w:r>
        <w:rPr>
          <w:rFonts w:ascii="Arial;sans-serif" w:hAnsi="Arial;sans-serif"/>
          <w:b w:val="false"/>
          <w:color w:val="000000"/>
          <w:sz w:val="20"/>
        </w:rPr>
        <w:t>Level 3 -    Unobservable inputs that are supported by little or no market activity for the related assets or liabilities.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categorization of a financial instrument within the valuation hierarchy is based upon the lowest level of input that is significant to the fair value measurement. The following table sets forth the Company's financial instruments that were measured at fair value on a recurring basis within the fair value hierarchy (in thousands):</w:t>
      </w:r>
    </w:p>
    <w:p>
      <w:pPr>
        <w:pStyle w:val="TextBody"/>
        <w:bidi w:val="0"/>
        <w:spacing w:lineRule="auto" w:line="288" w:before="0" w:after="0"/>
        <w:jc w:val="left"/>
        <w:rPr>
          <w:color w:val="000000"/>
        </w:rPr>
      </w:pPr>
      <w:r>
        <w:rPr>
          <w:color w:val="000000"/>
        </w:rPr>
        <w:t> </w:t>
      </w:r>
    </w:p>
    <w:tbl>
      <w:tblPr>
        <w:tblW w:w="9146" w:type="dxa"/>
        <w:jc w:val="left"/>
        <w:tblInd w:w="0" w:type="dxa"/>
        <w:tblLayout w:type="fixed"/>
        <w:tblCellMar>
          <w:top w:w="28" w:type="dxa"/>
          <w:left w:w="28" w:type="dxa"/>
          <w:bottom w:w="28" w:type="dxa"/>
          <w:right w:w="28" w:type="dxa"/>
        </w:tblCellMar>
      </w:tblPr>
      <w:tblGrid>
        <w:gridCol w:w="1616"/>
        <w:gridCol w:w="1417"/>
        <w:gridCol w:w="1436"/>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406"/>
        <w:gridCol w:w="154"/>
      </w:tblGrid>
      <w:tr>
        <w:trPr/>
        <w:tc>
          <w:tcPr>
            <w:tcW w:w="161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 funds, 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Certificate of deposit, included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color w:val="000000"/>
        </w:rPr>
      </w:pPr>
      <w:r>
        <w:rPr>
          <w:color w:val="000000"/>
        </w:rPr>
        <w:t> </w:t>
      </w:r>
    </w:p>
    <w:tbl>
      <w:tblPr>
        <w:tblW w:w="9146" w:type="dxa"/>
        <w:jc w:val="left"/>
        <w:tblInd w:w="0" w:type="dxa"/>
        <w:tblLayout w:type="fixed"/>
        <w:tblCellMar>
          <w:top w:w="28" w:type="dxa"/>
          <w:left w:w="28" w:type="dxa"/>
          <w:bottom w:w="28" w:type="dxa"/>
          <w:right w:w="28" w:type="dxa"/>
        </w:tblCellMar>
      </w:tblPr>
      <w:tblGrid>
        <w:gridCol w:w="1616"/>
        <w:gridCol w:w="1417"/>
        <w:gridCol w:w="1436"/>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406"/>
        <w:gridCol w:w="154"/>
      </w:tblGrid>
      <w:tr>
        <w:trPr/>
        <w:tc>
          <w:tcPr>
            <w:tcW w:w="161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 funds, 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Certificate of deposit, included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pPr>
      <w:r>
        <w:rPr>
          <w:rFonts w:ascii="Arial;sans-serif" w:hAnsi="Arial;sans-serif"/>
          <w:b w:val="false"/>
          <w:color w:val="000000"/>
          <w:sz w:val="20"/>
        </w:rPr>
        <w:t>The fair value of the Company's money market funds is based on quoted market prices.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7. Stockholders' Equity</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Common Stock</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At The Market Sales Agreement</w:t>
      </w:r>
    </w:p>
    <w:p>
      <w:pPr>
        <w:pStyle w:val="TextBody"/>
        <w:bidi w:val="0"/>
        <w:spacing w:lineRule="auto" w:line="268" w:before="240" w:after="283"/>
        <w:jc w:val="left"/>
        <w:rPr>
          <w:rFonts w:ascii="Arial;sans-serif" w:hAnsi="Arial;sans-serif"/>
          <w:b w:val="false"/>
          <w:color w:val="000000"/>
          <w:sz w:val="20"/>
        </w:rPr>
      </w:pPr>
      <w:r>
        <w:rPr>
          <w:rFonts w:ascii="Arial;sans-serif" w:hAnsi="Arial;sans-serif"/>
          <w:b w:val="false"/>
          <w:color w:val="000000"/>
          <w:sz w:val="20"/>
        </w:rPr>
        <w:t xml:space="preserve">On September 15, 2022, the Company entered into a sales agreement (the Sales Agreement) with Cowen and Company, LLC (the Sales Agent), pursuant to which the Company may offer and sell, from time to time, shares of Company common stock having an aggregate offering price of up to $50.0 million. The Company is not obligated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left"/>
        <w:rPr>
          <w:rFonts w:ascii="Arial;sans-serif" w:hAnsi="Arial;sans-serif"/>
          <w:b w:val="false"/>
          <w:color w:val="000000"/>
          <w:sz w:val="20"/>
        </w:rPr>
      </w:pPr>
      <w:r>
        <w:rPr>
          <w:rFonts w:ascii="Arial;sans-serif" w:hAnsi="Arial;sans-serif"/>
          <w:b w:val="false"/>
          <w:color w:val="000000"/>
          <w:sz w:val="20"/>
        </w:rPr>
        <w:t>sell any shares of Company common stock in the offering. As of March 31, 2023, the Company has not sold any shares of its common stock pursuant to the Sales Agreement.</w:t>
      </w:r>
    </w:p>
    <w:p>
      <w:pPr>
        <w:pStyle w:val="TextBody"/>
        <w:bidi w:val="0"/>
        <w:spacing w:lineRule="auto" w:line="268" w:before="240" w:after="283"/>
        <w:jc w:val="left"/>
        <w:rPr>
          <w:rFonts w:ascii="Arial;sans-serif" w:hAnsi="Arial;sans-serif"/>
          <w:b/>
          <w:i/>
          <w:color w:val="000000"/>
          <w:sz w:val="20"/>
        </w:rPr>
      </w:pPr>
      <w:r>
        <w:rPr>
          <w:rFonts w:ascii="Arial;sans-serif" w:hAnsi="Arial;sans-serif"/>
          <w:b/>
          <w:i/>
          <w:color w:val="000000"/>
          <w:sz w:val="20"/>
        </w:rPr>
        <w:t>Outstanding Warrants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equity classified warrants to purchase common stock were outstanding as of March 31, 2023:</w:t>
      </w:r>
    </w:p>
    <w:tbl>
      <w:tblPr>
        <w:tblW w:w="7940" w:type="dxa"/>
        <w:jc w:val="left"/>
        <w:tblInd w:w="0" w:type="dxa"/>
        <w:tblLayout w:type="fixed"/>
        <w:tblCellMar>
          <w:top w:w="28" w:type="dxa"/>
          <w:left w:w="28" w:type="dxa"/>
          <w:bottom w:w="28" w:type="dxa"/>
          <w:right w:w="28" w:type="dxa"/>
        </w:tblCellMar>
      </w:tblPr>
      <w:tblGrid>
        <w:gridCol w:w="696"/>
        <w:gridCol w:w="609"/>
        <w:gridCol w:w="614"/>
        <w:gridCol w:w="273"/>
        <w:gridCol w:w="273"/>
        <w:gridCol w:w="280"/>
        <w:gridCol w:w="109"/>
        <w:gridCol w:w="109"/>
        <w:gridCol w:w="109"/>
        <w:gridCol w:w="273"/>
        <w:gridCol w:w="775"/>
        <w:gridCol w:w="152"/>
        <w:gridCol w:w="109"/>
        <w:gridCol w:w="109"/>
        <w:gridCol w:w="109"/>
        <w:gridCol w:w="494"/>
        <w:gridCol w:w="494"/>
        <w:gridCol w:w="496"/>
        <w:gridCol w:w="109"/>
        <w:gridCol w:w="109"/>
        <w:gridCol w:w="109"/>
        <w:gridCol w:w="448"/>
        <w:gridCol w:w="448"/>
        <w:gridCol w:w="634"/>
      </w:tblGrid>
      <w:tr>
        <w:trPr/>
        <w:tc>
          <w:tcPr>
            <w:tcW w:w="69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Expiration date</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warrants</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19,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19, 2026</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warrants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March 31,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March 31, 2026</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warrants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April 1,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April 1, 2026</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warrants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September 7,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September 7, 2024</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warrants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December 7,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December 7, 2025</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warrants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804,951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0.001 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June 22,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None</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During the three months ended March 31, 2023, no warrants to purchase common stock were exercised.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8. Stock Option Plan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2019 Incentive Award Plan</w:t>
      </w:r>
    </w:p>
    <w:p>
      <w:pPr>
        <w:pStyle w:val="TextBody"/>
        <w:bidi w:val="0"/>
        <w:spacing w:lineRule="auto" w:line="276" w:before="180" w:after="283"/>
        <w:jc w:val="left"/>
        <w:rPr>
          <w:rFonts w:ascii="Arial;sans-serif" w:hAnsi="Arial;sans-serif"/>
          <w:b w:val="false"/>
          <w:color w:val="000000"/>
          <w:sz w:val="20"/>
        </w:rPr>
      </w:pPr>
      <w:r>
        <w:rPr>
          <w:rFonts w:ascii="Arial;sans-serif" w:hAnsi="Arial;sans-serif"/>
          <w:b w:val="false"/>
          <w:color w:val="000000"/>
          <w:sz w:val="20"/>
        </w:rPr>
        <w:t>In September 2019, the Company's Board of Directors adopted, and the Company's stockholders approved, the 2019 Plan. Under the 2019 Plan, which expires in September 2029, the Company may grant stock options, stock appreciation rights, restricted stock, restricted stock units and other awards to individuals who are then employees, officers, non-employee directors or consultants of the Company or its subsidiaries. The options generally expire ten years after the date of grant and are exercisable to the extent vested. Vesting is established by the Board of Directors and is generally four years from the date of grant or, for grants to new hires, date of hire. The 2019 Plan contains an "evergreen provision" that allows annual increases in the number of shares available for issuance on the first day of each calendar year through January 1, 2029 in an amount equal to the lesser of: (i) 4% of the outstanding capital stock on each December 31st, or (ii) such lesser amount determined by the Board of Directors. As of March 31, 2023, 1,851,836 shares of common stock remained available for future awards under the 2019 Plan.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2019 Employee Stock Purchase Plan</w:t>
      </w:r>
    </w:p>
    <w:p>
      <w:pPr>
        <w:pStyle w:val="TextBody"/>
        <w:bidi w:val="0"/>
        <w:spacing w:lineRule="auto" w:line="276" w:before="180" w:after="283"/>
        <w:jc w:val="left"/>
        <w:rPr>
          <w:rFonts w:ascii="Arial;sans-serif" w:hAnsi="Arial;sans-serif"/>
          <w:b w:val="false"/>
          <w:color w:val="000000"/>
          <w:sz w:val="20"/>
        </w:rPr>
      </w:pPr>
      <w:r>
        <w:rPr>
          <w:rFonts w:ascii="Arial;sans-serif" w:hAnsi="Arial;sans-serif"/>
          <w:b w:val="false"/>
          <w:color w:val="000000"/>
          <w:sz w:val="20"/>
        </w:rPr>
        <w:t>In September 2019, the Board of Directors adopted, and the Company's stockholders approved, the ESPP. The ESPP became effective on the day the ESPP was adopted by the Company's Board of Directors. The ESPP permits participants to purchase common stock through payroll deductions of up to 20% of their eligible compensation. The number of shares of common stock available for issuance under the ESPP will be annually increased on the first day of each calendar year during the term of the ESPP through January 1, 2029 in an amount equal to the lesser of (i) 1% of the outstanding capital stock on each December 31st, or (ii) such lesser amount determined by the Board of Directors. As of March 31, 2023, 508,608 shares of common stock remained available for issuance under the ESPP.</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Stock option activity under the Company's 2019 Plan is set forth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10039" w:type="dxa"/>
        <w:jc w:val="left"/>
        <w:tblInd w:w="0" w:type="dxa"/>
        <w:tblLayout w:type="fixed"/>
        <w:tblCellMar>
          <w:top w:w="28" w:type="dxa"/>
          <w:left w:w="28" w:type="dxa"/>
          <w:bottom w:w="28" w:type="dxa"/>
          <w:right w:w="28" w:type="dxa"/>
        </w:tblCellMar>
      </w:tblPr>
      <w:tblGrid>
        <w:gridCol w:w="1246"/>
        <w:gridCol w:w="1091"/>
        <w:gridCol w:w="1098"/>
        <w:gridCol w:w="109"/>
        <w:gridCol w:w="109"/>
        <w:gridCol w:w="109"/>
        <w:gridCol w:w="435"/>
        <w:gridCol w:w="436"/>
        <w:gridCol w:w="316"/>
        <w:gridCol w:w="109"/>
        <w:gridCol w:w="109"/>
        <w:gridCol w:w="109"/>
        <w:gridCol w:w="273"/>
        <w:gridCol w:w="775"/>
        <w:gridCol w:w="153"/>
        <w:gridCol w:w="109"/>
        <w:gridCol w:w="109"/>
        <w:gridCol w:w="109"/>
        <w:gridCol w:w="369"/>
        <w:gridCol w:w="369"/>
        <w:gridCol w:w="371"/>
        <w:gridCol w:w="109"/>
        <w:gridCol w:w="109"/>
        <w:gridCol w:w="109"/>
        <w:gridCol w:w="456"/>
        <w:gridCol w:w="982"/>
        <w:gridCol w:w="361"/>
      </w:tblGrid>
      <w:tr>
        <w:trPr/>
        <w:tc>
          <w:tcPr>
            <w:tcW w:w="124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w:t>
              <w:br/>
              <w:t>Intrinsic</w:t>
              <w:br/>
              <w:t>Value (in thousands)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1,421,235 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(93,335)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(277,805)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1,019,076 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Vested and expected to vest,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1,019,076 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Options exercisable,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804,742 </w:t>
            </w:r>
          </w:p>
        </w:tc>
        <w:tc>
          <w:tcPr>
            <w:tcW w:w="3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Arial;sans-serif" w:hAnsi="Arial;sans-serif"/>
          <w:b w:val="false"/>
          <w:color w:val="000000"/>
          <w:sz w:val="20"/>
        </w:rPr>
      </w:pPr>
      <w:r>
        <w:rPr>
          <w:rFonts w:ascii="Arial;sans-serif" w:hAnsi="Arial;sans-serif"/>
          <w:b w:val="false"/>
          <w:color w:val="000000"/>
          <w:sz w:val="20"/>
        </w:rPr>
        <w:t>There were no stock options granted in the three months ended March 31, 2023 and 2022.</w:t>
      </w:r>
    </w:p>
    <w:p>
      <w:pPr>
        <w:pStyle w:val="TextBody"/>
        <w:bidi w:val="0"/>
        <w:spacing w:lineRule="auto" w:line="276" w:before="180" w:after="283"/>
        <w:jc w:val="left"/>
        <w:rPr>
          <w:rFonts w:ascii="Arial;sans-serif" w:hAnsi="Arial;sans-serif"/>
          <w:b w:val="false"/>
          <w:color w:val="000000"/>
          <w:sz w:val="20"/>
        </w:rPr>
      </w:pPr>
      <w:r>
        <w:rPr>
          <w:rFonts w:ascii="Arial;sans-serif" w:hAnsi="Arial;sans-serif"/>
          <w:b w:val="false"/>
          <w:color w:val="000000"/>
          <w:sz w:val="20"/>
        </w:rPr>
        <w:t>The intrinsic value is calculated as the difference between the fair value of the Company's common stock and the exercise price of the stock options. The aggregate intrinsic value of options exercised during the three months ended March 31, 2023 was $0.2 million. There were no options exercised during the three months ended March 31, 2022. As of March 31, 2023, total unrecognized compensation cost related to option awards was $1.1 million, which is expected to be recognized over a remaining weighted-average vesting period of 0.82 years.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Restricted Stock Units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Restricted stock unit activity under the Company's 2019 Plan is set forth below:</w:t>
      </w:r>
    </w:p>
    <w:tbl>
      <w:tblPr>
        <w:tblW w:w="8286" w:type="dxa"/>
        <w:jc w:val="left"/>
        <w:tblInd w:w="0" w:type="dxa"/>
        <w:tblLayout w:type="fixed"/>
        <w:tblCellMar>
          <w:top w:w="28" w:type="dxa"/>
          <w:left w:w="28" w:type="dxa"/>
          <w:bottom w:w="28" w:type="dxa"/>
          <w:right w:w="28" w:type="dxa"/>
        </w:tblCellMar>
      </w:tblPr>
      <w:tblGrid>
        <w:gridCol w:w="919"/>
        <w:gridCol w:w="805"/>
        <w:gridCol w:w="810"/>
        <w:gridCol w:w="109"/>
        <w:gridCol w:w="109"/>
        <w:gridCol w:w="109"/>
        <w:gridCol w:w="435"/>
        <w:gridCol w:w="436"/>
        <w:gridCol w:w="316"/>
        <w:gridCol w:w="109"/>
        <w:gridCol w:w="109"/>
        <w:gridCol w:w="109"/>
        <w:gridCol w:w="405"/>
        <w:gridCol w:w="1152"/>
        <w:gridCol w:w="228"/>
        <w:gridCol w:w="109"/>
        <w:gridCol w:w="109"/>
        <w:gridCol w:w="109"/>
        <w:gridCol w:w="388"/>
        <w:gridCol w:w="1104"/>
        <w:gridCol w:w="307"/>
      </w:tblGrid>
      <w:tr>
        <w:trPr/>
        <w:tc>
          <w:tcPr>
            <w:tcW w:w="91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w:t>
              <w:br/>
              <w:t>Intrinsic</w:t>
              <w:br/>
              <w:t>Value (in thousands)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1,036,208 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2,487 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Awards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638,500 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Awards 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(113,720)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Awards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1,494,085 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3,631 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Arial;sans-serif" w:hAnsi="Arial;sans-serif"/>
          <w:b w:val="false"/>
          <w:color w:val="000000"/>
          <w:sz w:val="20"/>
        </w:rPr>
      </w:pPr>
      <w:r>
        <w:rPr>
          <w:rFonts w:ascii="Arial;sans-serif" w:hAnsi="Arial;sans-serif"/>
          <w:b w:val="false"/>
          <w:color w:val="000000"/>
          <w:sz w:val="20"/>
        </w:rPr>
        <w:t>As of March 31, 2023, all of the outstanding restricted stock units were unvested. The fair value of restricted stock units vested in each of the three months ended March 31, 2023 and 2022 was $0.3 million. The weighted average grant date fair value for restricted stock units granted in the three months ended March 31, 2023 and 2022 was $2.30 and $8.72, respectively. As of March 31, 2023, total unrecognized compensation cost related to restricted stock units was $6.2 million, which is expected to be recognized over a remaining weighted-average vesting period of 3.5 years.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Stock-Based Compensation Expense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Total non-cash stock-based compensation expense recorded related to options granted, restricted stock units granted and stock purchase rights granted under the ESPP in the condensed statements of operations is as follows (in thousands):</w:t>
      </w:r>
    </w:p>
    <w:p>
      <w:pPr>
        <w:pStyle w:val="TextBody"/>
        <w:bidi w:val="0"/>
        <w:spacing w:lineRule="auto" w:line="288" w:before="0" w:after="0"/>
        <w:jc w:val="left"/>
        <w:rPr>
          <w:color w:val="000000"/>
        </w:rPr>
      </w:pPr>
      <w:r>
        <w:rPr>
          <w:color w:val="000000"/>
        </w:rPr>
        <w:t> </w:t>
      </w:r>
    </w:p>
    <w:tbl>
      <w:tblPr>
        <w:tblW w:w="5936" w:type="dxa"/>
        <w:jc w:val="left"/>
        <w:tblInd w:w="0" w:type="dxa"/>
        <w:tblLayout w:type="fixed"/>
        <w:tblCellMar>
          <w:top w:w="28" w:type="dxa"/>
          <w:left w:w="28" w:type="dxa"/>
          <w:bottom w:w="28" w:type="dxa"/>
          <w:right w:w="28" w:type="dxa"/>
        </w:tblCellMar>
      </w:tblPr>
      <w:tblGrid>
        <w:gridCol w:w="933"/>
        <w:gridCol w:w="819"/>
        <w:gridCol w:w="827"/>
        <w:gridCol w:w="109"/>
        <w:gridCol w:w="109"/>
        <w:gridCol w:w="109"/>
        <w:gridCol w:w="261"/>
        <w:gridCol w:w="561"/>
        <w:gridCol w:w="145"/>
        <w:gridCol w:w="145"/>
        <w:gridCol w:w="145"/>
        <w:gridCol w:w="145"/>
        <w:gridCol w:w="261"/>
        <w:gridCol w:w="741"/>
        <w:gridCol w:w="145"/>
        <w:gridCol w:w="109"/>
        <w:gridCol w:w="109"/>
        <w:gridCol w:w="109"/>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9. Subsequent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left"/>
        <w:rPr>
          <w:rFonts w:ascii="Arial;sans-serif" w:hAnsi="Arial;sans-serif"/>
          <w:b w:val="false"/>
          <w:color w:val="000000"/>
          <w:sz w:val="20"/>
        </w:rPr>
      </w:pPr>
      <w:r>
        <w:rPr>
          <w:rFonts w:ascii="Arial;sans-serif" w:hAnsi="Arial;sans-serif"/>
          <w:b w:val="false"/>
          <w:color w:val="000000"/>
          <w:sz w:val="20"/>
        </w:rPr>
        <w:t>On April 28, 2023, the Company and Innovatus entered into the Third Loan Amendment. Pursuant to the Third Loan Amendment, the Company prepaid $10.0 million of principal (Prepayment) and amended the 2017 Term Loan by, among other things:</w:t>
      </w:r>
    </w:p>
    <w:p>
      <w:pPr>
        <w:pStyle w:val="TextBody"/>
        <w:bidi w:val="0"/>
        <w:spacing w:lineRule="auto" w:line="268" w:before="240" w:after="283"/>
        <w:ind w:left="0" w:right="0" w:hanging="360"/>
        <w:jc w:val="left"/>
        <w:rPr/>
      </w:pPr>
      <w:r>
        <w:rPr>
          <w:color w:val="000000"/>
        </w:rPr>
        <w:t>•</w:t>
      </w:r>
      <w:r>
        <w:rPr>
          <w:rFonts w:ascii="Arial;sans-serif" w:hAnsi="Arial;sans-serif"/>
          <w:b w:val="false"/>
          <w:color w:val="000000"/>
          <w:sz w:val="20"/>
        </w:rPr>
        <w:t>waiving the Prepayment Fee (as defined in the 2017 Term Loan, as amended) with respect to the Prepayment;</w:t>
      </w:r>
    </w:p>
    <w:p>
      <w:pPr>
        <w:pStyle w:val="TextBody"/>
        <w:bidi w:val="0"/>
        <w:spacing w:lineRule="auto" w:line="268" w:before="240" w:after="283"/>
        <w:ind w:left="0" w:right="0" w:hanging="360"/>
        <w:jc w:val="left"/>
        <w:rPr/>
      </w:pPr>
      <w:r>
        <w:rPr>
          <w:color w:val="000000"/>
        </w:rPr>
        <w:t>•</w:t>
      </w:r>
      <w:r>
        <w:rPr>
          <w:rFonts w:ascii="Arial;sans-serif" w:hAnsi="Arial;sans-serif"/>
          <w:b w:val="false"/>
          <w:color w:val="000000"/>
          <w:sz w:val="20"/>
        </w:rPr>
        <w:t>revising the interest rate to the sum (the Basic Rate) of (a) the greater of The Wall Street Journal prime rate (the Prime Rate) or 8.0%, plus (b) 2.0%, of which 1.5% will be payable in-kind and capitalized to the principal amount of the outstanding term loan on a monthly basis until April 1, 2026;</w:t>
      </w:r>
    </w:p>
    <w:p>
      <w:pPr>
        <w:pStyle w:val="TextBody"/>
        <w:bidi w:val="0"/>
        <w:spacing w:lineRule="auto" w:line="268" w:before="240" w:after="283"/>
        <w:ind w:left="0" w:right="0" w:hanging="360"/>
        <w:jc w:val="left"/>
        <w:rPr/>
      </w:pPr>
      <w:r>
        <w:rPr>
          <w:color w:val="000000"/>
        </w:rPr>
        <w:t>•</w:t>
      </w:r>
      <w:r>
        <w:rPr>
          <w:rFonts w:ascii="Arial;sans-serif" w:hAnsi="Arial;sans-serif"/>
          <w:b w:val="false"/>
          <w:color w:val="000000"/>
          <w:sz w:val="20"/>
        </w:rPr>
        <w:t>extending the interest-only period through March 2026 and the maturity date to December 31, 2026;</w:t>
      </w:r>
    </w:p>
    <w:p>
      <w:pPr>
        <w:pStyle w:val="TextBody"/>
        <w:bidi w:val="0"/>
        <w:spacing w:lineRule="auto" w:line="268" w:before="240" w:after="283"/>
        <w:ind w:left="0" w:right="0" w:hanging="360"/>
        <w:jc w:val="left"/>
        <w:rPr/>
      </w:pPr>
      <w:r>
        <w:rPr>
          <w:color w:val="000000"/>
        </w:rPr>
        <w:t>•</w:t>
      </w:r>
      <w:r>
        <w:rPr>
          <w:rFonts w:ascii="Arial;sans-serif" w:hAnsi="Arial;sans-serif"/>
          <w:b w:val="false"/>
          <w:color w:val="000000"/>
          <w:sz w:val="20"/>
        </w:rPr>
        <w:t>decreasing the specified levels of revenue, as measured on the last day of each quarter on a rolling twelve-month basis, that the Company must achieve to satisfy the related financial covenants (the Revenue Covenant) in the 2017 Term Loan;</w:t>
      </w:r>
    </w:p>
    <w:p>
      <w:pPr>
        <w:pStyle w:val="TextBody"/>
        <w:bidi w:val="0"/>
        <w:spacing w:lineRule="auto" w:line="268" w:before="240" w:after="283"/>
        <w:ind w:left="0" w:right="0" w:hanging="360"/>
        <w:jc w:val="left"/>
        <w:rPr/>
      </w:pPr>
      <w:r>
        <w:rPr>
          <w:color w:val="000000"/>
        </w:rPr>
        <w:t>•</w:t>
      </w:r>
      <w:r>
        <w:rPr>
          <w:rFonts w:ascii="Arial;sans-serif" w:hAnsi="Arial;sans-serif"/>
          <w:b w:val="false"/>
          <w:color w:val="000000"/>
          <w:sz w:val="20"/>
        </w:rPr>
        <w:t>removing the obligation to comply with the Revenue Covenant during any fiscal quarter if the Company maintains a minimum aggregate cash balance equal to fifty percent of the aggregate principal amount of the loan at all times during such quarter;</w:t>
      </w:r>
    </w:p>
    <w:p>
      <w:pPr>
        <w:pStyle w:val="TextBody"/>
        <w:bidi w:val="0"/>
        <w:spacing w:lineRule="auto" w:line="268" w:before="240" w:after="283"/>
        <w:ind w:left="0" w:right="0" w:hanging="360"/>
        <w:jc w:val="left"/>
        <w:rPr/>
      </w:pPr>
      <w:r>
        <w:rPr>
          <w:color w:val="000000"/>
        </w:rPr>
        <w:t>•</w:t>
      </w:r>
      <w:r>
        <w:rPr>
          <w:rFonts w:ascii="Arial;sans-serif" w:hAnsi="Arial;sans-serif"/>
          <w:b w:val="false"/>
          <w:color w:val="000000"/>
          <w:sz w:val="20"/>
        </w:rPr>
        <w:t>providing the Company with a cure period in the event it breaches certain covenants; and</w:t>
      </w:r>
    </w:p>
    <w:p>
      <w:pPr>
        <w:pStyle w:val="TextBody"/>
        <w:bidi w:val="0"/>
        <w:spacing w:lineRule="auto" w:line="268" w:before="240" w:after="283"/>
        <w:ind w:left="0" w:right="0" w:hanging="360"/>
        <w:jc w:val="left"/>
        <w:rPr/>
      </w:pPr>
      <w:r>
        <w:rPr>
          <w:color w:val="000000"/>
        </w:rPr>
        <w:t>•</w:t>
      </w:r>
      <w:r>
        <w:rPr>
          <w:rFonts w:ascii="Arial;sans-serif" w:hAnsi="Arial;sans-serif"/>
          <w:b w:val="false"/>
          <w:color w:val="000000"/>
          <w:sz w:val="20"/>
        </w:rPr>
        <w:t>revising the definition of “Permitted Indebtedness” to permit the Company to broaden the limits on the Company’s ability to incur capitalized lease obligations, finance lease obligations, purchase money indebtedness or equipment financings without Innovatus’s prior written consent.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360" w:after="283"/>
        <w:jc w:val="left"/>
        <w:rPr>
          <w:rFonts w:ascii="Arial;sans-serif" w:hAnsi="Arial;sans-serif"/>
          <w:b w:val="false"/>
          <w:i/>
          <w:color w:val="000000"/>
          <w:sz w:val="20"/>
        </w:rPr>
      </w:pPr>
      <w:r>
        <w:rPr>
          <w:rFonts w:ascii="Arial;sans-serif" w:hAnsi="Arial;sans-serif"/>
          <w:b w:val="false"/>
          <w:i/>
          <w:color w:val="000000"/>
          <w:sz w:val="20"/>
        </w:rPr>
        <w:t>You should read the following discussion of our financial condition and results of operations in conjunction with the unaudited condensed financial statements and the notes thereto included elsewhere in this Quarterly Report on Form 10-Q and with our audited financial statements and notes thereto for the year ended December 31, 2022 included in our Annual Report on Form 10-K for the year ended December 31, 2022.</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Forward Looking Statements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The following discussion and other parts of this quarterly report contain forward-looking statements within the meaning of Section 21E of the Securities Exchange Act of 1934, as amended (Exchange Act). All statements other than statements of historical facts contained in this quarterly report, including statements regarding our future results of operations and financial position, business strategy, current and future product offerings, reimbursement and coverage, the expected benefits from our partnership or promotion arrangements with third parties,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II, Item 1A,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40" w:after="283"/>
        <w:jc w:val="left"/>
        <w:rPr/>
      </w:pPr>
      <w:r>
        <w:rPr>
          <w:rFonts w:ascii="Arial;sans-serif" w:hAnsi="Arial;sans-serif"/>
          <w:b w:val="false"/>
          <w:color w:val="000000"/>
          <w:sz w:val="20"/>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brand, several of which incorporate Cell-Bound Complement Activation Products (CB-CAPs) technology. Our goal is to enable healthcare providers to improve care for patients through the differential diagnosis, prognosis and monitoring of complex autoimmune and autoimmune-related diseases, including systemic lupus erythematosus (SLE) and rheumatoid arthritis (RA).</w:t>
      </w:r>
    </w:p>
    <w:p>
      <w:pPr>
        <w:pStyle w:val="TextBody"/>
        <w:bidi w:val="0"/>
        <w:spacing w:lineRule="auto" w:line="288" w:before="240" w:after="283"/>
        <w:jc w:val="left"/>
        <w:rPr/>
      </w:pPr>
      <w:r>
        <w:rPr>
          <w:rFonts w:ascii="Arial;sans-serif" w:hAnsi="Arial;sans-serif"/>
          <w:b w:val="false"/>
          <w:color w:val="000000"/>
          <w:sz w:val="20"/>
        </w:rPr>
        <w:t>Marketed under our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brand, our testing products allow for the differential diagnosis, prognosis and monitoring of complex autoimmune and autoimmune-related diseases. We commercially launched our lead testing product,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in 2012.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enables differential diagnosis for patients presenting with symptoms indicative of a wide variety of connective tissue diseases (CTDs) and other related diseases with overlapping symptoms. Revenue from this product comprised 87% and 84% of our revenue for the three months ended March 31, 2023 and 2022, respectively.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pStyle w:val="TextBody"/>
        <w:bidi w:val="0"/>
        <w:spacing w:lineRule="auto" w:line="288" w:before="240" w:after="283"/>
        <w:jc w:val="left"/>
        <w:rPr/>
      </w:pPr>
      <w:r>
        <w:rPr>
          <w:rFonts w:ascii="Arial;sans-serif" w:hAnsi="Arial;sans-serif"/>
          <w:b w:val="false"/>
          <w:color w:val="000000"/>
          <w:sz w:val="20"/>
        </w:rPr>
        <w:t>We perform all of our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tests in our approximately 13,000 square foot laboratory located in Vista, California, which is certified under the Clinical Laboratory Improvement Amendments of 1988 (CLIA) and accredited by the College of American Pathologists (CAP). Our laboratory is certified for performance of high-complexity testing by CMS in accordance with CLIA and is licensed by all states requiring out-of-state licensure. Our clinical laboratory typically reports all AVISE</w:t>
      </w:r>
      <w:r>
        <w:rPr>
          <w:rFonts w:ascii="Arial;sans-serif" w:hAnsi="Arial;sans-serif"/>
          <w:b w:val="false"/>
          <w:color w:val="000000"/>
          <w:sz w:val="13"/>
        </w:rPr>
        <w:t xml:space="preserve">® </w:t>
      </w:r>
      <w:r>
        <w:rPr>
          <w:rFonts w:ascii="Arial;sans-serif" w:hAnsi="Arial;sans-serif"/>
          <w:b w:val="false"/>
          <w:color w:val="000000"/>
          <w:sz w:val="20"/>
        </w:rPr>
        <w:t>testing product results within five business days.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Unlike many diagnostic sales forces that are trained only to understand the comparative benefits of their tests, the specialized backgrounds of our sales force coupled with our comprehensive training enables our sales representatives to interpret results from our de-identified patient test reports and provide unique insights in a highly tailored discussion with rheumatologists.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Reimbursement for our testing services comes from several sources, including commercial payors (such as insurance companies and health maintenance organizations), government payors (such as Medicare and Medicaid), and patients. Reimbursement rates vary by product and payor.</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Since inception we have devoted substantially all of our efforts to developing and marketing products for the diagnosis, prognosis and monitoring of autoimmune diseases. For the three months ended March 31, 2023 and 2022, we incurred net losses of $7.7 million and $10.3 million, respectively, and we expect to continue to incur operating losses in the near term. Our operations have been funded primarily through equity financings, debt financings and revenue from product sales. We have never been profitable and, as of March 31, 2023, we had $52.2 million of cash and cash equivalents and an accumulated deficit of $263.2 million.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initial public offering (IPO) was completed in September 2019, raising net proceeds of approximately $50.4 million. In March 2021, we completed a secondary public offering of common stock for net proceeds of approximately $64.7 million.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On September 15, 2022, the Company entered into a sales agreement (the Sales Agreement) with Cowen and Company, LLC, as sales agent, pursuant to which the Company may offer and sell, from time to time, shares of our common stock having an aggregate offering price of up to $50.0 million. The Company is not obligated to sell any shares of common stock in the offering and, as of March 31, 2023, the Company had not sold any shares of its common stock pursuant to the Sales Agreement.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Recent Developments</w:t>
      </w:r>
    </w:p>
    <w:p>
      <w:pPr>
        <w:pStyle w:val="TextBody"/>
        <w:bidi w:val="0"/>
        <w:spacing w:lineRule="auto" w:line="268" w:before="180" w:after="283"/>
        <w:jc w:val="left"/>
        <w:rPr>
          <w:rFonts w:ascii="Arial;sans-serif" w:hAnsi="Arial;sans-serif"/>
          <w:b w:val="false"/>
          <w:color w:val="000000"/>
          <w:sz w:val="20"/>
        </w:rPr>
      </w:pPr>
      <w:r>
        <w:rPr>
          <w:rFonts w:ascii="Arial;sans-serif" w:hAnsi="Arial;sans-serif"/>
          <w:b w:val="false"/>
          <w:color w:val="000000"/>
          <w:sz w:val="20"/>
        </w:rPr>
        <w:t>In April 2023, we discontinued development of our AVISE® RADR platform, including the associated clinical trials.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Factors Affecting Our Performance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believe there are several important factors that have impacted, and that we expect will impact, our operating performance and results of operations, including:</w:t>
      </w:r>
    </w:p>
    <w:p>
      <w:pPr>
        <w:pStyle w:val="TextBody"/>
        <w:bidi w:val="0"/>
        <w:spacing w:lineRule="auto" w:line="288" w:before="0" w:after="0"/>
        <w:jc w:val="left"/>
        <w:rPr>
          <w:color w:val="000000"/>
        </w:rPr>
      </w:pPr>
      <w:r>
        <w:rPr>
          <w:color w:val="000000"/>
        </w:rPr>
        <w:t> </w:t>
      </w:r>
    </w:p>
    <w:p>
      <w:pPr>
        <w:pStyle w:val="TextBody"/>
        <w:bidi w:val="0"/>
        <w:spacing w:lineRule="auto" w:line="288" w:before="80" w:after="283"/>
        <w:ind w:left="0" w:right="0" w:hanging="360"/>
        <w:jc w:val="left"/>
        <w:rPr/>
      </w:pPr>
      <w:r>
        <w:rPr>
          <w:color w:val="000000"/>
        </w:rPr>
        <w:t>▪</w:t>
      </w:r>
      <w:r>
        <w:rPr>
          <w:rFonts w:ascii="Arial;sans-serif" w:hAnsi="Arial;sans-serif"/>
          <w:b/>
          <w:i/>
          <w:color w:val="000000"/>
          <w:sz w:val="20"/>
        </w:rPr>
        <w:t>Reimbursement for Our Testing Products</w:t>
      </w:r>
      <w:r>
        <w:rPr>
          <w:rFonts w:ascii="Arial;sans-serif" w:hAnsi="Arial;sans-serif"/>
          <w:b w:val="false"/>
          <w:color w:val="000000"/>
          <w:sz w:val="20"/>
        </w:rPr>
        <w:t>. Our revenue depends on achieving broad coverage and reimbursement for our tests from third-party payors, including both commercial payors and government payors. Payment from third-party payors differs depending on whether we are considered a "participating provider" (have entered into a contract with the payor) or a "non-participating provider" (do not have a contract with the payor). Payors will often reimburse non-participating providers at a lower amount than participating providers, if at all. We have received a substantial portion of our revenue from a limited number of commercial payors, most of which have not contracted with us to be a participating provider. In addition to the challenges described under the heading "Financial Overview - Revenue" in this Quarterly Report on Form 10-Q,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changes in our estimated reimbursements for tests performed in prior periods can positively or negatively impact our revenue in the current period and cause our financial results to fluctuate.</w:t>
      </w:r>
    </w:p>
    <w:p>
      <w:pPr>
        <w:pStyle w:val="TextBody"/>
        <w:bidi w:val="0"/>
        <w:spacing w:lineRule="auto" w:line="288" w:before="80" w:after="283"/>
        <w:ind w:left="0" w:right="0" w:hanging="360"/>
        <w:jc w:val="left"/>
        <w:rPr/>
      </w:pPr>
      <w:r>
        <w:rPr>
          <w:color w:val="000000"/>
        </w:rPr>
        <w:t>▪</w:t>
      </w:r>
      <w:r>
        <w:rPr>
          <w:rFonts w:ascii="Arial;sans-serif" w:hAnsi="Arial;sans-serif"/>
          <w:b/>
          <w:i/>
          <w:color w:val="000000"/>
          <w:sz w:val="20"/>
        </w:rPr>
        <w:t>Continued Growth of Our Testing Products.</w:t>
      </w:r>
      <w:r>
        <w:rPr>
          <w:color w:val="000000"/>
        </w:rPr>
        <w:t> </w:t>
      </w:r>
      <w:r>
        <w:rPr>
          <w:rFonts w:ascii="Arial;sans-serif" w:hAnsi="Arial;sans-serif"/>
          <w:b w:val="false"/>
          <w:color w:val="000000"/>
          <w:sz w:val="20"/>
        </w:rPr>
        <w:t>Since the launch of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in 2012 and through March 31, 2023, we have delivered approximately 750,000 of these tests. During the first quarter of 2023, 37,312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tests were delivered, representing approximately 20.7% growth over the same period in 2022. Revenue growth for our testing products will depend, in part, on our ability to continue to expand our base of ordering healthcare providers and increase our penetration with existing healthcare providers.</w:t>
      </w:r>
    </w:p>
    <w:p>
      <w:pPr>
        <w:pStyle w:val="TextBody"/>
        <w:bidi w:val="0"/>
        <w:spacing w:lineRule="auto" w:line="288" w:before="120" w:after="283"/>
        <w:ind w:left="0" w:right="0" w:hanging="360"/>
        <w:jc w:val="left"/>
        <w:rPr/>
      </w:pPr>
      <w:r>
        <w:rPr>
          <w:color w:val="000000"/>
        </w:rPr>
        <w:t>▪</w:t>
      </w:r>
      <w:r>
        <w:rPr>
          <w:rFonts w:ascii="Arial;sans-serif" w:hAnsi="Arial;sans-serif"/>
          <w:b/>
          <w:i/>
          <w:color w:val="000000"/>
          <w:sz w:val="20"/>
        </w:rPr>
        <w:t xml:space="preserve">Development of Additional Testing Products. </w:t>
      </w:r>
      <w:r>
        <w:rPr>
          <w:rFonts w:ascii="Arial;sans-serif" w:hAnsi="Arial;sans-serif"/>
          <w:b w:val="false"/>
          <w:color w:val="000000"/>
          <w:sz w:val="20"/>
        </w:rPr>
        <w:t>We rely on sales of our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 to generate the significant majority of our revenue. We expect to continue to invest in research and development in order to develop additional testing products. Our success in developing new testing products will be important in our efforts to grow our business by expanding the potential market for our testing products and diversifying our sources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Arial;sans-serif" w:hAnsi="Arial;sans-serif"/>
          <w:b/>
          <w:i/>
          <w:color w:val="000000"/>
          <w:sz w:val="20"/>
        </w:rPr>
        <w:t>Maintain Meaningful Margin</w:t>
      </w:r>
      <w:r>
        <w:rPr>
          <w:rFonts w:ascii="Arial;sans-serif" w:hAnsi="Arial;sans-serif"/>
          <w:b w:val="false"/>
          <w:color w:val="000000"/>
          <w:sz w:val="20"/>
        </w:rPr>
        <w:t xml:space="preserve">. We seek to maintain meaningful margin through a continued focus on increasing operating leverage through the implementation of certain internal initiatives, such as leveraging validation, utility and reimbursement oriented clinical studies to facilitate payor coverage of our testing products. We plan to center our efforts around long-term reimbursement and average sales price (ASP) growth and seek to improve our per-test costs by focusing on profitable, core test offerings and limiting fixed costs and overhead. </w:t>
      </w:r>
    </w:p>
    <w:p>
      <w:pPr>
        <w:pStyle w:val="TextBody"/>
        <w:bidi w:val="0"/>
        <w:spacing w:lineRule="auto" w:line="288" w:before="120" w:after="283"/>
        <w:ind w:left="0" w:right="0" w:hanging="360"/>
        <w:jc w:val="left"/>
        <w:rPr/>
      </w:pPr>
      <w:r>
        <w:rPr>
          <w:color w:val="000000"/>
        </w:rPr>
        <w:t>▪</w:t>
      </w:r>
      <w:r>
        <w:rPr>
          <w:rFonts w:ascii="Arial;sans-serif" w:hAnsi="Arial;sans-serif"/>
          <w:b/>
          <w:i/>
          <w:color w:val="000000"/>
          <w:sz w:val="20"/>
        </w:rPr>
        <w:t>Timing of Our Research and Development Expenses</w:t>
      </w:r>
      <w:r>
        <w:rPr>
          <w:rFonts w:ascii="Arial;sans-serif" w:hAnsi="Arial;sans-serif"/>
          <w:b w:val="false"/>
          <w:color w:val="000000"/>
          <w:sz w:val="20"/>
        </w:rPr>
        <w:t>. We conduct clinical studies to validate our new testing products, as well as ongoing clinical and outcome studies to further expand the published evidence to support our commercialized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testing products. We also expend funds to secure clinical samples that can be used in discovery, product development, clinical validation, utility and outcome studies. Our spending on experiments and clinical studies may vary substantially from quarter to quarter, as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w:t>
      </w:r>
    </w:p>
    <w:p>
      <w:pPr>
        <w:pStyle w:val="TextBody"/>
        <w:bidi w:val="0"/>
        <w:spacing w:lineRule="auto" w:line="288" w:before="120" w:after="283"/>
        <w:ind w:left="0" w:right="0" w:hanging="360"/>
        <w:jc w:val="left"/>
        <w:rPr/>
      </w:pPr>
      <w:r>
        <w:rPr>
          <w:color w:val="000000"/>
        </w:rPr>
        <w:t>▪</w:t>
      </w:r>
      <w:r>
        <w:rPr>
          <w:rFonts w:ascii="Arial;sans-serif" w:hAnsi="Arial;sans-serif"/>
          <w:b/>
          <w:i/>
          <w:color w:val="000000"/>
          <w:sz w:val="20"/>
        </w:rPr>
        <w:t>How We Recognize Revenue</w:t>
      </w:r>
      <w:r>
        <w:rPr>
          <w:rFonts w:ascii="Arial;sans-serif" w:hAnsi="Arial;sans-serif"/>
          <w:b w:val="false"/>
          <w:color w:val="000000"/>
          <w:sz w:val="20"/>
        </w:rPr>
        <w:t xml:space="preserve">. We record revenue on an accrual basis, using an estimate of the amount that we will ultimately realize, as determined based on a historical analysis of amounts collected by test and by payor, among other factors. Changes to such estimates may increase or decrease revenue recognized in future periods. </w:t>
      </w:r>
    </w:p>
    <w:p>
      <w:pPr>
        <w:pStyle w:val="TextBody"/>
        <w:bidi w:val="0"/>
        <w:spacing w:lineRule="auto" w:line="288" w:before="240" w:after="283"/>
        <w:jc w:val="left"/>
        <w:rPr/>
      </w:pPr>
      <w:r>
        <w:rPr>
          <w:rFonts w:ascii="Arial;sans-serif" w:hAnsi="Arial;sans-serif"/>
          <w:b w:val="false"/>
          <w:color w:val="000000"/>
          <w:sz w:val="20"/>
        </w:rPr>
        <w:t>While each of these areas present significant opportunities for us, they also pose significant risks and challenges that we must address. We discuss many of these risks, uncertainties and other factors in the section entitled "</w:t>
      </w:r>
      <w:r>
        <w:rPr>
          <w:rFonts w:ascii="Arial;sans-serif" w:hAnsi="Arial;sans-serif"/>
          <w:b w:val="false"/>
          <w:i/>
          <w:color w:val="000000"/>
          <w:sz w:val="20"/>
        </w:rPr>
        <w:t>Risk Factors</w:t>
      </w:r>
      <w:r>
        <w:rPr>
          <w:rFonts w:ascii="Arial;sans-serif" w:hAnsi="Arial;sans-serif"/>
          <w:b w:val="false"/>
          <w:color w:val="000000"/>
          <w:sz w:val="20"/>
        </w:rPr>
        <w:t>."</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Seasonality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(for example excess sun exposure can cause flares in SLE), seasonal conditions that may affect medical practices and provider activity, including for example influenza outbreaks that may reduce the percentage of patients that can be seen, and other factors relating to the timing of patient benefit changes, as well as patient deductibles and co-insurance limits.</w:t>
      </w:r>
    </w:p>
    <w:p>
      <w:pPr>
        <w:pStyle w:val="TextBody"/>
        <w:bidi w:val="0"/>
        <w:spacing w:lineRule="auto" w:line="276" w:before="240" w:after="283"/>
        <w:jc w:val="left"/>
        <w:rPr>
          <w:rFonts w:ascii="Arial;sans-serif" w:hAnsi="Arial;sans-serif"/>
          <w:b/>
          <w:color w:val="000000"/>
          <w:sz w:val="20"/>
        </w:rPr>
      </w:pPr>
      <w:r>
        <w:rPr>
          <w:rFonts w:ascii="Arial;sans-serif" w:hAnsi="Arial;sans-serif"/>
          <w:b/>
          <w:color w:val="000000"/>
          <w:sz w:val="20"/>
        </w:rPr>
        <w:t>Inflationary Environment</w:t>
      </w:r>
    </w:p>
    <w:p>
      <w:pPr>
        <w:pStyle w:val="TextBody"/>
        <w:bidi w:val="0"/>
        <w:spacing w:lineRule="auto" w:line="276" w:before="180" w:after="283"/>
        <w:jc w:val="left"/>
        <w:rPr>
          <w:rFonts w:ascii="Arial;sans-serif" w:hAnsi="Arial;sans-serif"/>
          <w:b w:val="false"/>
          <w:color w:val="000000"/>
          <w:sz w:val="20"/>
        </w:rPr>
      </w:pPr>
      <w:r>
        <w:rPr>
          <w:rFonts w:ascii="Arial;sans-serif" w:hAnsi="Arial;sans-serif"/>
          <w:b w:val="false"/>
          <w:color w:val="000000"/>
          <w:sz w:val="20"/>
        </w:rPr>
        <w:t>The current inflationary environment has resulted in higher prices, which have impacted our costs incurred to generate revenue from our laboratory testing services, costs to attract and retain personnel, and other operating costs. The severity and duration of the current inflationary environment remains uncertain and may continue to impact our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Financial Overview</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76" w:before="180" w:after="283"/>
        <w:jc w:val="left"/>
        <w:rPr/>
      </w:pPr>
      <w:r>
        <w:rPr>
          <w:rFonts w:ascii="Arial;sans-serif" w:hAnsi="Arial;sans-serif"/>
          <w:b w:val="false"/>
          <w:color w:val="000000"/>
          <w:sz w:val="20"/>
        </w:rPr>
        <w:t xml:space="preserve">We recognize revenue in accordance with the provisions of ASC Topic 606, </w:t>
      </w:r>
      <w:r>
        <w:rPr>
          <w:rFonts w:ascii="Arial;sans-serif" w:hAnsi="Arial;sans-serif"/>
          <w:b w:val="false"/>
          <w:i/>
          <w:color w:val="000000"/>
          <w:sz w:val="20"/>
        </w:rPr>
        <w:t>Revenue from Contracts with Customers.</w:t>
      </w:r>
      <w:r>
        <w:rPr>
          <w:color w:val="000000"/>
        </w:rPr>
        <w:t xml:space="preserve"> </w:t>
      </w:r>
      <w:r>
        <w:rPr>
          <w:rFonts w:ascii="Arial;sans-serif" w:hAnsi="Arial;sans-serif"/>
          <w:b w:val="false"/>
          <w:color w:val="000000"/>
          <w:sz w:val="20"/>
        </w:rPr>
        <w:t xml:space="preserve">We record revenue on an accrual basis, using an estimate of the amount we will ultimately receive, as determined based on a historical analysis of amounts collected by test and by payor, among other factors. These assessments require significant judgment by management. </w:t>
      </w:r>
    </w:p>
    <w:p>
      <w:pPr>
        <w:pStyle w:val="TextBody"/>
        <w:bidi w:val="0"/>
        <w:spacing w:lineRule="auto" w:line="276" w:before="180" w:after="283"/>
        <w:jc w:val="left"/>
        <w:rPr/>
      </w:pPr>
      <w:r>
        <w:rPr>
          <w:rFonts w:ascii="Arial;sans-serif" w:hAnsi="Arial;sans-serif"/>
          <w:b w:val="false"/>
          <w:color w:val="000000"/>
          <w:sz w:val="20"/>
        </w:rPr>
        <w:t>To date, we have derived nearly all of our revenue from the sale of our testing products, most of which is attributable to our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 We primarily market our testing products to rheumatologists in the United States. The rheumatologists who order our testing products and to whom results are reported are generally not responsible for payment for these products. The parties that pay for these services (payors) consist of commercial payors (e.g. insurance companies, health maintenance organizations, etc.), government payors (primarily Medicare and Medicaid), client payors (e.g. hospitals, other laboratories, etc.), and patient self-pay. Our service is completed upon the delivery of test results to the prescribing rheumatologists which triggers billing for the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283"/>
        <w:jc w:val="left"/>
        <w:rPr>
          <w:rFonts w:ascii="Arial;sans-serif" w:hAnsi="Arial;sans-serif"/>
          <w:b w:val="false"/>
          <w:color w:val="000000"/>
          <w:sz w:val="20"/>
        </w:rPr>
      </w:pPr>
      <w:r>
        <w:rPr>
          <w:rFonts w:ascii="Arial;sans-serif" w:hAnsi="Arial;sans-serif"/>
          <w:b w:val="false"/>
          <w:color w:val="000000"/>
          <w:sz w:val="20"/>
        </w:rPr>
        <w:t>Our ability to increase our revenue will depend on our ability to further penetrate the market for our current and future testing products, and increase our reimbursement and collection rates for tests delivered.</w:t>
      </w:r>
    </w:p>
    <w:p>
      <w:pPr>
        <w:pStyle w:val="TextBody"/>
        <w:bidi w:val="0"/>
        <w:spacing w:lineRule="auto" w:line="276" w:before="180" w:after="283"/>
        <w:jc w:val="left"/>
        <w:rPr/>
      </w:pPr>
      <w:r>
        <w:rPr>
          <w:rFonts w:ascii="Arial;sans-serif" w:hAnsi="Arial;sans-serif"/>
          <w:b w:val="false"/>
          <w:color w:val="000000"/>
          <w:sz w:val="20"/>
        </w:rPr>
        <w:t>In the quarter ended March 31, 2022, CMS agreed, effective April 1, 2022, to recognize a new PLA code for our protein-based test,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Lupus. Noridian, our MAC, priced this PLA code at $1,085 per test. To determine pricing beyond 2022, CMS recommended crosswalking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Lupus (0312U) to Vectra (81490) at a rate of $840.65 per test. This pricing was finalized on the 2023 CLFS and is effective from January 1, 2023 through December 31, 2025. The process for obtaining and maintaining consistent reimbursement for new tests can be uncertain, lengthy and time consuming. A pricing determination is not synonymous with a coverage determination. Having a price associated with the PLA code for any particular test does not secure coverage or reimbursement for that PLA code from Medicare or any other third-party payor.</w:t>
      </w:r>
    </w:p>
    <w:p>
      <w:pPr>
        <w:pStyle w:val="TextBody"/>
        <w:bidi w:val="0"/>
        <w:spacing w:lineRule="auto" w:line="276" w:before="180" w:after="283"/>
        <w:jc w:val="left"/>
        <w:rPr/>
      </w:pPr>
      <w:r>
        <w:rPr>
          <w:rFonts w:ascii="Arial;sans-serif" w:hAnsi="Arial;sans-serif"/>
          <w:b w:val="false"/>
          <w:color w:val="000000"/>
          <w:sz w:val="20"/>
        </w:rPr>
        <w:t>In an effort to improve transparency regarding Medicare support of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Lupus, on July 29, 2022, we submitted a formal request to Noridian for coverage of our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Lupus test under the new PLA Code. On September 27, 2022, we received notice that Noridian has deemed our application for an LCD to be valid. Ultimately receiving a favorable LCD is uncertain and may be time-consuming, resource intensive and require multiple quarterly or annual periods to complete. In the meantime, we have continued to submit Medicare claims for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Lupus, appeal denials and respond to requests for additional information.</w:t>
      </w:r>
    </w:p>
    <w:p>
      <w:pPr>
        <w:pStyle w:val="TextBody"/>
        <w:bidi w:val="0"/>
        <w:spacing w:lineRule="auto" w:line="276" w:before="180" w:after="283"/>
        <w:jc w:val="left"/>
        <w:rPr>
          <w:rFonts w:ascii="Arial;sans-serif" w:hAnsi="Arial;sans-serif"/>
          <w:b w:val="false"/>
          <w:color w:val="000000"/>
          <w:sz w:val="20"/>
        </w:rPr>
      </w:pPr>
      <w:r>
        <w:rPr>
          <w:rFonts w:ascii="Arial;sans-serif" w:hAnsi="Arial;sans-serif"/>
          <w:b w:val="false"/>
          <w:color w:val="000000"/>
          <w:sz w:val="20"/>
        </w:rPr>
        <w:t>We face challenges relating to commercial payor claim processing and revenue. Now that we are billing under our PLA code, we are experiencing an increase in denials due to unfavorable medical policy with certain plans, and we expect this situation to persist.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Costs of Revenue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Costs of revenue represents the expenses associated with obtaining and testing patient specimens. The components of our costs of revenue include materials costs, direct labor, equipment, infrastructure expenses, shipping charges to transport specimens, blood specimen collections fees, royalties, depreciation and allocated overhead (including rent and utilities).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Each payor, whether commercial, government, or individual, reimburses us at different amounts. These differences can be significant. As a result, our costs of revenue as a percentage of revenue may vary significantly from period to period due to the composition of payors for each period's billings.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We expect that our costs of revenue will increase year-over-year in the near-term as test volume increases.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Selling, General and Administrative Expenses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expect that our selling, general and administrative expenses will decrease year-over-year in the near-term as a result of cost saving initiatives which began in the fourth quarter of 2022.</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Research and development expenses include costs incurred to develop our technology, test products and product candidates, in addition to costs incurred to collect clinical specimens and conduct clinical studies to develop and support those products and product candidates. These costs consist of personnel costs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pStyle w:val="TextBody"/>
        <w:bidi w:val="0"/>
        <w:spacing w:lineRule="auto" w:line="288" w:before="240" w:after="283"/>
        <w:jc w:val="left"/>
        <w:rPr/>
      </w:pPr>
      <w:r>
        <w:rPr>
          <w:rFonts w:ascii="Arial;sans-serif" w:hAnsi="Arial;sans-serif"/>
          <w:b w:val="false"/>
          <w:color w:val="000000"/>
          <w:sz w:val="20"/>
        </w:rPr>
        <w:t>We expect that our research and development expenses will decrease year-over-year in the near-term as a result of cost saving initiatives which began in the fourth quarter of 2022 and the end of the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RADR program and related clinical studies.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Interest expense consists of cash and non-cash interest expense associated with our financing arrangements, including the borrowings under our amended loan and security agreement with Innovatus.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Interest income consists of interest income earned on our cash and cash equivalents.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Comparison of the Three Months Ended March 31, 2023 and 2022:</w:t>
      </w:r>
    </w:p>
    <w:tbl>
      <w:tblPr>
        <w:tblW w:w="7451" w:type="dxa"/>
        <w:jc w:val="left"/>
        <w:tblInd w:w="0" w:type="dxa"/>
        <w:tblLayout w:type="fixed"/>
        <w:tblCellMar>
          <w:top w:w="28" w:type="dxa"/>
          <w:left w:w="28" w:type="dxa"/>
          <w:bottom w:w="28" w:type="dxa"/>
          <w:right w:w="28" w:type="dxa"/>
        </w:tblCellMar>
      </w:tblPr>
      <w:tblGrid>
        <w:gridCol w:w="1208"/>
        <w:gridCol w:w="1062"/>
        <w:gridCol w:w="1074"/>
        <w:gridCol w:w="109"/>
        <w:gridCol w:w="109"/>
        <w:gridCol w:w="109"/>
        <w:gridCol w:w="217"/>
        <w:gridCol w:w="715"/>
        <w:gridCol w:w="120"/>
        <w:gridCol w:w="120"/>
        <w:gridCol w:w="120"/>
        <w:gridCol w:w="120"/>
        <w:gridCol w:w="217"/>
        <w:gridCol w:w="798"/>
        <w:gridCol w:w="120"/>
        <w:gridCol w:w="109"/>
        <w:gridCol w:w="109"/>
        <w:gridCol w:w="109"/>
        <w:gridCol w:w="196"/>
        <w:gridCol w:w="556"/>
        <w:gridCol w:w="154"/>
      </w:tblGrid>
      <w:tr>
        <w:trPr/>
        <w:tc>
          <w:tcPr>
            <w:tcW w:w="120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18,936 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20,073 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(7,688)</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(10,272)</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240" w:after="283"/>
        <w:jc w:val="left"/>
        <w:rPr/>
      </w:pPr>
      <w:r>
        <w:rPr>
          <w:rFonts w:ascii="Arial;sans-serif" w:hAnsi="Arial;sans-serif"/>
          <w:b w:val="false"/>
          <w:color w:val="000000"/>
          <w:sz w:val="20"/>
        </w:rPr>
        <w:t>Revenue increased $0.8 million, or 8.0%, for the three months ended March 31, 2023 compared to the three months ended March 31, 2022, primarily due to an increase in test volume, partially offset by a decrease in ASP. The number of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CTD tests delivered, which accounted for 87% of revenue and 84% of revenue in the three months ended March 31, 2023 and 2022, respectively, increased to 37,312 tests delivered in the three months ended March 31, 2023 compared to 30,903 tests delivered in the same 2022 period.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Costs of Revenue</w:t>
      </w:r>
    </w:p>
    <w:p>
      <w:pPr>
        <w:pStyle w:val="TextBody"/>
        <w:bidi w:val="0"/>
        <w:spacing w:lineRule="auto" w:line="268" w:before="240" w:after="283"/>
        <w:jc w:val="left"/>
        <w:rPr>
          <w:rFonts w:ascii="Arial;sans-serif" w:hAnsi="Arial;sans-serif"/>
          <w:b w:val="false"/>
          <w:color w:val="000000"/>
          <w:sz w:val="20"/>
        </w:rPr>
      </w:pPr>
      <w:r>
        <w:rPr>
          <w:rFonts w:ascii="Arial;sans-serif" w:hAnsi="Arial;sans-serif"/>
          <w:b w:val="false"/>
          <w:color w:val="000000"/>
          <w:sz w:val="20"/>
        </w:rPr>
        <w:t>Costs of revenue increased $0.1 million, or 1.9%, for the three months ended March 31, 2023 compared to the three months ended March 31, 2022. This increase was primarily due to an increase of $0.3 million in labor costs, partially offset by decreases of $0.1 million in materials and supplies and $0.1 million in allocated overhead. Gross margin as a percentage of revenue increased to 47.2% for the three months ended March 31, 2023, compared to 44.0% for the three months ended March 31, 2022.</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Selling, General and Administrative Expenses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Selling, general and administrative expenses decreased $0.3 million, or 2.2%, for the three months ended March 31, 2023 compared to the three months ended March 31, 2022. This decrease was primarily due to decreases of $1.1 million in employee related expenses (including salaries, benefits and stock-based compensation), partially offset by increases of $0.6 million in commissions, $0.1 million in professional services and $0.1 million in allocated overhead. </w:t>
      </w:r>
    </w:p>
    <w:p>
      <w:pPr>
        <w:pStyle w:val="TextBody"/>
        <w:bidi w:val="0"/>
        <w:spacing w:before="120" w:after="283"/>
        <w:ind w:left="0" w:right="0" w:firstLine="495"/>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expenses decreased $1.0 million for the three months ended March 31, 2023 compared to the three months ended March 31, 2022. This decrease was primarily due to decreases of $0.7 million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employee-related expenses (including salaries, benefits and stock based compensation), $0.1 million in clinical trial expenses, $0.1 million in laboratory expenses and $0.1 million in professional service fees.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Interest expense remained substantially consistent for the three months ended March 31, 2023 compared to the three months ended March 31, 2022.</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Interest income increased by $0.7 million for the three months ended March 31, 2023 compared to the three months ended March 31, 2022, primarily due to rising interest rates earned on invested cash and cash equivalents.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have incurred net losses since our inception. For the three months ended March 31, 2023 and 2022, we incurred a net loss of $7.7 million and $10.3 million, respectively, and we expect to incur additional losses and increased operating expenses in future periods. To date, we have generated only limited revenue, and we may never achieve revenue sufficient to offset our expenses. As of March 31, 2023, we had an accumulated deficit of $263.2 million and cash and cash equivalents of $52.2 million. Cash in excess of immediate requirements is invested in accordance with our investment policy, primarily with a view to liquidity and capital preservation. Currently, our funds are held in cash, money market funds and certificates of deposit.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Since becoming public, our primary sources of capital have been cash inflows from product sales, sales of our common stock and, to a lesser extent, borrowings under our 2017 Term Loan. In April 2023, we further amended 2017 Term Loan, pursuant to which we prepaid $10.0 million of principal and amended additional terms of the agreement. See Note 9 to the unaudited condensed financial statements included in this Quarterly Report on Form 10-Q for additional information.</w:t>
      </w:r>
    </w:p>
    <w:p>
      <w:pPr>
        <w:pStyle w:val="TextBody"/>
        <w:bidi w:val="0"/>
        <w:spacing w:lineRule="auto" w:line="268" w:before="240" w:after="283"/>
        <w:jc w:val="left"/>
        <w:rPr>
          <w:rFonts w:ascii="Arial;sans-serif" w:hAnsi="Arial;sans-serif"/>
          <w:b w:val="false"/>
          <w:color w:val="000000"/>
          <w:sz w:val="20"/>
        </w:rPr>
      </w:pPr>
      <w:r>
        <w:rPr>
          <w:rFonts w:ascii="Arial;sans-serif" w:hAnsi="Arial;sans-serif"/>
          <w:b w:val="false"/>
          <w:color w:val="000000"/>
          <w:sz w:val="20"/>
        </w:rPr>
        <w:t xml:space="preserve">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minimum liquidity of $2.0 million, covenants to achieve certain minimum amounts of revenue (the performance covenant), and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consequences of failing to achieve the performance covenant will be cured if, (i) within thirty days of failing to achieve the performance covenant, we submit a new Board approved financial plan to Innovatus under which we are expected to break even on a cash flow basis prior to the maturity date, and (ii) within thirty days of the submission of such financial plan, we issue additional equity securities or subordinated debt with net proceeds sufficient to fund any cash flow deficiency generated from operations, as defined in the Amended Loan Agreement. As of March 31, 2023, we were in compliance with all covenants of the Amended Loan Agreement with Innovatus. 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 </w:t>
      </w:r>
    </w:p>
    <w:p>
      <w:pPr>
        <w:pStyle w:val="TextBody"/>
        <w:bidi w:val="0"/>
        <w:spacing w:lineRule="auto" w:line="268" w:before="240" w:after="283"/>
        <w:jc w:val="left"/>
        <w:rPr>
          <w:rFonts w:ascii="Arial;sans-serif" w:hAnsi="Arial;sans-serif"/>
          <w:b w:val="false"/>
          <w:color w:val="000000"/>
          <w:sz w:val="20"/>
        </w:rPr>
      </w:pPr>
      <w:r>
        <w:rPr>
          <w:rFonts w:ascii="Arial;sans-serif" w:hAnsi="Arial;sans-serif"/>
          <w:b w:val="false"/>
          <w:color w:val="000000"/>
          <w:sz w:val="20"/>
        </w:rPr>
        <w:t>On September 15, 2022, the Company entered into the Sales Agreement, pursuant to which the Company may offer and sell, from time to time, shares of Company common stock having an aggregate offering price of up to $50.0 million. The Company is not obligated to sell any shares of Company common stock in the offering. As of March 31, 2023, the Company has not sold any shares of its common stock pursuant to the Sales Agreement.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On November 10, 2020, we filed a registration statement on Form S-3 (Shelf Registration Statement) covering the offering, from time to time, of up to $150.0 million of common stock, preferred stock, debt securities, warrants and units. In March 2021, we completed a public offering of shares of our common stock, which shares were sold under the Shelf Registration Statement. Net proceeds from the offering were approximately $64.7 million.</w:t>
      </w:r>
    </w:p>
    <w:p>
      <w:pPr>
        <w:pStyle w:val="TextBody"/>
        <w:bidi w:val="0"/>
        <w:spacing w:lineRule="auto" w:line="268" w:before="240" w:after="283"/>
        <w:jc w:val="left"/>
        <w:rPr>
          <w:rFonts w:ascii="Arial;sans-serif" w:hAnsi="Arial;sans-serif"/>
          <w:b/>
          <w:color w:val="000000"/>
          <w:sz w:val="20"/>
        </w:rPr>
      </w:pPr>
      <w:r>
        <w:rPr>
          <w:rFonts w:ascii="Arial;sans-serif" w:hAnsi="Arial;sans-serif"/>
          <w:b/>
          <w:color w:val="000000"/>
          <w:sz w:val="20"/>
        </w:rPr>
        <w:t>Funding Requirements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Our primary use of cash is to fund our operations as we continue to grow our business. We expect to continue to incur operating losses in the near term. In the short-term, we expect costs of revenue to increase year-over-year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test volume increases. We expect selling, general and administrative expenses and research and development expenses to decrease year-over-year as a result of cost saving initiatives which began in the fourth quarter of 2022. We believe we have sufficient laboratory capacity to support increased test volume. Cash used to fund operating expenses is impacted by the timing of when we pay expenses, as reflected in the change in our outstanding accounts payable and accrued expenses.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with one supplier for reagents, payments related to our principal and interest under our long term borrowing arrangements, payments for operating leases related to our office and laboratory space in Vista, California and our office space in Carlsbad, California, and payments for finance leases related to our laboratory equipment. Based on our current business plan, we believe that our existing cash and cash equivalents and our anticipated future revenue, will be sufficient to meet our anticipated cash requirements for at least the next 12 months from the date of this filing.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estimate of the period of time through which our financial resources will be adequate to support our operations is a forward-looking statement and involves risks and uncertainties. Actual results could vary as a result of a number of factors, including:</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our ability to achieve sufficient market acceptance, coverage and adequate reimbursement from third-party payors and adequate market share and revenue for our testing products;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our ability to maintain and grow sales of our AVISE</w:t>
      </w:r>
      <w:r>
        <w:rPr>
          <w:rFonts w:ascii="Arial;sans-serif" w:hAnsi="Arial;sans-serif"/>
          <w:b w:val="false"/>
          <w:color w:val="000000"/>
          <w:sz w:val="13"/>
        </w:rPr>
        <w:t>®</w:t>
      </w:r>
      <w:r>
        <w:rPr>
          <w:color w:val="000000"/>
        </w:rPr>
        <w:t> </w:t>
      </w:r>
      <w:r>
        <w:rPr>
          <w:rFonts w:ascii="Arial;sans-serif" w:hAnsi="Arial;sans-serif"/>
          <w:b w:val="false"/>
          <w:color w:val="000000"/>
          <w:sz w:val="20"/>
        </w:rPr>
        <w:t>testing products, as well as the costs associated with conducting clinical studies to demonstrate the utility of our products and support reimbursement efforts;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fluctuations in working capital;</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costs of developing our product pipeline, including the costs associated with conducting our ongoing and future validation, utility and outcome studies as well as the success of our development efforts; and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extent to which we establish additional partnerships or in-license, acquire or invest in complementary businesses or products as well as the success of our existing partnerships and/or in-licenses.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commercial and strategic relationships. If we cannot expand our operations or otherwise capitalize on our business opportunities because we lack sufficient capital, our business, financial condition, and results of operations could be adversely affected.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summarizes our cash flows for the periods indicated:</w:t>
      </w:r>
    </w:p>
    <w:tbl>
      <w:tblPr>
        <w:tblW w:w="7224" w:type="dxa"/>
        <w:jc w:val="left"/>
        <w:tblInd w:w="0" w:type="dxa"/>
        <w:tblLayout w:type="fixed"/>
        <w:tblCellMar>
          <w:top w:w="28" w:type="dxa"/>
          <w:left w:w="28" w:type="dxa"/>
          <w:bottom w:w="28" w:type="dxa"/>
          <w:right w:w="28" w:type="dxa"/>
        </w:tblCellMar>
      </w:tblPr>
      <w:tblGrid>
        <w:gridCol w:w="1561"/>
        <w:gridCol w:w="1370"/>
        <w:gridCol w:w="1373"/>
        <w:gridCol w:w="109"/>
        <w:gridCol w:w="109"/>
        <w:gridCol w:w="109"/>
        <w:gridCol w:w="218"/>
        <w:gridCol w:w="801"/>
        <w:gridCol w:w="121"/>
        <w:gridCol w:w="121"/>
        <w:gridCol w:w="121"/>
        <w:gridCol w:w="121"/>
        <w:gridCol w:w="218"/>
        <w:gridCol w:w="701"/>
        <w:gridCol w:w="171"/>
      </w:tblGrid>
      <w:tr>
        <w:trPr/>
        <w:tc>
          <w:tcPr>
            <w:tcW w:w="156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(9,749)</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(10,207)</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(9,691)</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Cash Flows from Operating Activities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Net cash used in operating activities for the three months ended March 31, 2023 was $9.7 million, primarily resulting from (i) our net loss of $7.7 million adjusted for non-cash charges of $2.0 million primarily related to stock-based compensation, depreciation, amortization, non-cash lease expense and non-cash interest and (ii) changes in our net operating assets of $4.1 million primarily related to net increases in accounts receivable and accrued and other current liabilities, partially offset by net decreases in accounts payable and operating lease liabilities. The increase in accounts receivable was primarily due to our new revenue cycle management initiative to hold first quarter claims until the second quarter in order to optimize our appeals process.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Net cash used in operating activities for the three months ended March 31, 2022 was $8.6 million, primarily resulting from (i) our net loss of $10.3 million adjusted for non-cash charges of $2.1 million related to stock-based compensation, depreciation, amortization, non-cash lease expense and non-cash interest and (ii) changes in our net operating assets of $0.4 million primarily related to net increases in accounts receivables, partially offset by net decreases in prepaid expenses and other current assets and net increases in accounts payables.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Cash Flows from Investing Activities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Net cash used in investing activities for the three months ended March 31, 2023 and 2022 was $0.4 million and $1.1 million, respectively, due to net purchases of property and equipment.</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Cash Flows from Financing Activities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Net cash used in financing activities for the three months ended March 31, 2023 was $62,000, primarily resulting from payments on finance lease and notes payable obligations, partially offset by proceeds from ESPP purchases.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Net cash used in financing activities for the three months ended March 31, 2022 was $30,000, primarily resulting from payments on finance lease obligations and payment of taxes withheld on vested restricted stock units, partially offset by proceeds from ESPP purchases.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Critical Accounting Policies and Significant Management Estimates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management’s discussion and analysis of our financial condition and results of operations is based on our condensed financial statements, which have been prepared in accordance with GAAP. The year-end condensed balance sheets data was derived from audited financial statements, but does not include all disclosures required by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Arial;sans-serif" w:hAnsi="Arial;sans-serif"/>
          <w:b w:val="false"/>
          <w:color w:val="000000"/>
          <w:sz w:val="20"/>
        </w:rPr>
        <w:t>For a description of our critical accounting policies, please see the section entitled "</w:t>
      </w:r>
      <w:r>
        <w:rPr>
          <w:rFonts w:ascii="Arial;sans-serif" w:hAnsi="Arial;sans-serif"/>
          <w:b w:val="false"/>
          <w:i/>
          <w:color w:val="000000"/>
          <w:sz w:val="20"/>
        </w:rPr>
        <w:t>Management's Discussion and Analysis of Financial Condition and Results of Operations - Critical Accounting Estimates</w:t>
      </w:r>
      <w:r>
        <w:rPr>
          <w:rFonts w:ascii="Arial;sans-serif" w:hAnsi="Arial;sans-serif"/>
          <w:b w:val="false"/>
          <w:color w:val="000000"/>
          <w:sz w:val="20"/>
        </w:rPr>
        <w:t>" contained in our Annual Report on Form 10-K for the year ended December 31, 2022. There have been no significant changes in our critical accounting policies and estimates during the three months ended March 31, 2023 as compared to the critical accounting policies and estimates disclosed in the Management’s Discussion and Analysis of Financial Condition and Operations included in our Annual Report on Form 10-K for the year ended December 31, 2022 filed with the SEC on March 20, 2023.</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Please see Note 2 to the unaudited condensed financial statements included in this Quarterly Report on Form 10-Q for a summary of changes in significant accounting policies.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JOBS Act Accounting Election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Jumpstart Our Business Startups Act of 2012 (the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will remain an emerging growth company until the last day of our fiscal year following the fifth anniversary of the date of the first sale of our common equity securities pursuant to an effective registration statement under the Securities Act of 1933, as amended (the Securities Act), which will occur in 2024. However, if certain events occur prior to the end of this five-year period, including if we become a "large accelerated filer" as defined in Rule 12b-2 under the Exchange Act, our annual gross revenues exceed $1.235 billion or we issue more than $1.0 billion of non-convertible debt in any three-year period, we will cease to be an emerging growth company prior to this anniversary.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76" w:before="240" w:after="283"/>
        <w:jc w:val="left"/>
        <w:rPr>
          <w:rFonts w:ascii="Arial;sans-serif" w:hAnsi="Arial;sans-serif"/>
          <w:b/>
          <w:i/>
          <w:color w:val="000000"/>
          <w:sz w:val="20"/>
        </w:rPr>
      </w:pPr>
      <w:r>
        <w:rPr>
          <w:rFonts w:ascii="Arial;sans-serif" w:hAnsi="Arial;sans-serif"/>
          <w:b/>
          <w:i/>
          <w:color w:val="000000"/>
          <w:sz w:val="20"/>
        </w:rPr>
        <w:t>Conclusion Regarding the Effectiveness of Disclosure Controls and Procedures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maintain disclosure controls and procedures that are designed to ensure that information required to be disclosed in our reports that we file or submit under the Exchange Act is recorded, processed, summarized and reported within the time periods specified in the SEC’s rules and forms, and that the information we are required to disclose in such reports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lineRule="auto" w:line="276" w:before="180" w:after="283"/>
        <w:jc w:val="left"/>
        <w:rPr>
          <w:rFonts w:ascii="Arial;sans-serif" w:hAnsi="Arial;sans-serif"/>
          <w:b w:val="false"/>
          <w:color w:val="000000"/>
          <w:sz w:val="20"/>
        </w:rPr>
      </w:pPr>
      <w:r>
        <w:rPr>
          <w:rFonts w:ascii="Arial;sans-serif" w:hAnsi="Arial;sans-serif"/>
          <w:b w:val="false"/>
          <w:color w:val="000000"/>
          <w:sz w:val="20"/>
        </w:rPr>
        <w:t>Our management, with the participation of our principal executive officer and our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have concluded that as of March 31, 2023, our disclosure controls and procedures were not effective at a reasonable level of assurance, to ensure that the information we are required to disclose in reports that we file or submit under the Exchange Act is recorded, processed, summarized and reported within the time periods specified in the SEC’s rules and forms, due to the material weakness in our internal control over financial reporting described below.</w:t>
      </w:r>
    </w:p>
    <w:p>
      <w:pPr>
        <w:pStyle w:val="TextBody"/>
        <w:bidi w:val="0"/>
        <w:spacing w:lineRule="auto" w:line="276" w:before="240" w:after="283"/>
        <w:jc w:val="left"/>
        <w:rPr>
          <w:rFonts w:ascii="Arial;sans-serif" w:hAnsi="Arial;sans-serif"/>
          <w:b/>
          <w:i/>
          <w:color w:val="000000"/>
          <w:sz w:val="20"/>
        </w:rPr>
      </w:pPr>
      <w:r>
        <w:rPr>
          <w:rFonts w:ascii="Arial;sans-serif" w:hAnsi="Arial;sans-serif"/>
          <w:b/>
          <w:i/>
          <w:color w:val="000000"/>
          <w:sz w:val="20"/>
        </w:rPr>
        <w:t>Material Weakness</w:t>
      </w:r>
    </w:p>
    <w:p>
      <w:pPr>
        <w:pStyle w:val="TextBody"/>
        <w:bidi w:val="0"/>
        <w:spacing w:lineRule="auto" w:line="276" w:before="180" w:after="283"/>
        <w:jc w:val="left"/>
        <w:rPr>
          <w:rFonts w:ascii="Arial;sans-serif" w:hAnsi="Arial;sans-serif"/>
          <w:b w:val="false"/>
          <w:color w:val="000000"/>
          <w:sz w:val="20"/>
        </w:rPr>
      </w:pPr>
      <w:r>
        <w:rPr>
          <w:rFonts w:ascii="Arial;sans-serif" w:hAnsi="Arial;sans-serif"/>
          <w:b w:val="false"/>
          <w:color w:val="000000"/>
          <w:sz w:val="20"/>
        </w:rPr>
        <w:t>On November 13, 2022, management and the audit committee of our board of directors determined that we made certain errors in revenue resulting from erroneous and duplicate billings related to changes in billing practices. The errors were due to the inadequate design, implementation and precision of internal controls and procedures to evaluate and monitor the accounting for revenue recognition. As a result, revenue and accounts receivable were overstated and other liabilities were understated for the quarter and year to date periods ended June 30, 2022.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We concluded that these were material errors in the financial statements requiring a restatement of the Form 10-Q for the three and six months ended June 30, 2022.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Accordingly, management has determined that this control deficiency constituted a material weakness and, as a result, management has concluded that, as of March 31, 2023, our internal control over financial reporting was not effective based on the criteria in Internal Control Integrated Framework (2013) issued by the Committee of Sponsoring Organizations (COSO) of the Treadway Commission.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Remediation Plan to Address the Material Weaknesses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Management has prepared and implemented the following remediation plan to address the material weakness as described below:</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Evaluated the staffing level, skills and qualification of accounting department personnel and are in the process of hiring an additional employee in our accounting department</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Enhanced our existing control structure and processes for revenue recognition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Improved the detailed review process of our revenue recognition models.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elements of our remediation plan can only be accomplished over time, and we can offer no assurance that these initiatives will ultimately have the intended effects. The weakness will not be considered remediated, however, until the applicable controls operate for a sufficient period of time and management has concluded, through testing, that these controls are operating effectively.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There have been no changes in our internal control over financial reporting during the three months ended March 31, 2023 that have materially affected, or are reasonably likely to materially affect, our internal control over financial reporting.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Inherent Limitations on Effectiveness of Controls and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Because of the inherent limitations in a cost-effective control system, misstatements due to error or fraud may occur and not be detected.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TextBody"/>
        <w:bidi w:val="0"/>
        <w:spacing w:before="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are currently not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pStyle w:val="TextBody"/>
        <w:bidi w:val="0"/>
        <w:spacing w:before="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There have been no material changes to the risk factors disclosed in Part I, Item 1A, "Risk Factors" of our Annual Report on Form 10-K for the year ended December 31, 2022, other than those set forth below:</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We have identified a material weakness in our internal control over financial reporting and determined that our disclosure controls and procedures were ineffective as of March 31, 2023, in connection with the restatement of our financial statements as of and for the three and six months ended June 30, 2022. In the future, we may identify additional material weaknesses or otherwise fail to maintain an effective system of internal control over financial reporting or adequate disclosure controls and procedures, which may result in material errors in our financial statements or cause us to fail to meet our period reporting obligations.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Our management, with the participation of our principal executive officer and principal financial officer, evaluated the effectiveness of our disclosure controls and procedures. Disclosure controls and procedures include, without limitation, controls and procedures designed to ensure that information required to be disclosed in our reports that we file or submit under the Exchange Act, is recorded, processed, summarized and reported within the time period specified in the SEC’s rules and forms, and that the information required to be disclosed by us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On November 13, 2022, management and the audit committee of our board of directors determined that we made certain errors in revenue resulting from erroneous and duplicate billings related to changes in billing practices. The errors were due to the inadequate design, implementation and precision of internal controls and procedures to evaluate and monitor the accounting for revenue recognition. As a result, revenue and accounts receivable were overstated and other liabilities was understated for the quarter and year to date periods ended June 30, 2022. We then determined that there were material errors in the financial statements requiring a restatement of the Form 10-Q for the three and six months ended June 30, 2022.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Accordingly, management has determined that this control deficiency constituted a material weakness and, as a result, management has concluded that, as of March 31, 2023, our internal control over financial reporting was not effective based on the criteria in Internal Control Integrated Framework (2013) issued by the Committee of Sponsoring Organizations of the Treadway Commission (the COSO criteria).</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Management is actively engaged in the planning for, and implementation of, remediation efforts to address the material weakness. The remediation plan includes: (i) evaluating the staffing level, skills and qualification of accounting department personnel, (ii) enhancement of our existing control structure and processes for revenue recognition and (iii) improving the detailed review process of our revenue recognition models. The elements of our remediation plan can only be accomplished over time, and we can offer no assurance that these initiatives will ultimately have the intended effects.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If we are not able to comply with the applicable requirements of the Sarbanes-Oxley Act of 2002 or if we are unable to maintain effective internal control over financial reporting, we may not be able to produce timely and accurate financial statements or guarantee that information required to be disclosed by us in the reports that we file with the SEC, is recorded, processed, summarized, and reported within the time periods specified in SEC rules and forms. Any failure of our internal control over financial reporting or disclosure controls and procedures could cause our investors to lose confidence in our publicly reported information, cause the market price of our stock to decline, expose us to sanctions or investigations by the SEC or other regulatory authorities, or impact our results of operations.</w:t>
      </w:r>
    </w:p>
    <w:p>
      <w:pPr>
        <w:pStyle w:val="TextBody"/>
        <w:bidi w:val="0"/>
        <w:spacing w:before="0" w:after="0"/>
        <w:jc w:val="left"/>
        <w:rPr/>
      </w:pPr>
      <w:r>
        <w:rPr/>
      </w:r>
    </w:p>
    <w:p>
      <w:pPr>
        <w:pStyle w:val="TextBody"/>
        <w:bidi w:val="0"/>
        <w:spacing w:before="12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343"/>
        <w:gridCol w:w="301"/>
        <w:gridCol w:w="302"/>
        <w:gridCol w:w="1794"/>
        <w:gridCol w:w="1602"/>
        <w:gridCol w:w="1608"/>
        <w:gridCol w:w="183"/>
        <w:gridCol w:w="183"/>
        <w:gridCol w:w="167"/>
        <w:gridCol w:w="304"/>
        <w:gridCol w:w="269"/>
        <w:gridCol w:w="179"/>
        <w:gridCol w:w="220"/>
        <w:gridCol w:w="220"/>
        <w:gridCol w:w="221"/>
        <w:gridCol w:w="317"/>
        <w:gridCol w:w="317"/>
        <w:gridCol w:w="319"/>
        <w:gridCol w:w="394"/>
        <w:gridCol w:w="394"/>
        <w:gridCol w:w="568"/>
      </w:tblGrid>
      <w:tr>
        <w:trPr/>
        <w:tc>
          <w:tcPr>
            <w:tcW w:w="3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Incorporated by Reference</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Number</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Description</w:t>
            </w:r>
          </w:p>
        </w:tc>
        <w:tc>
          <w:tcPr>
            <w:tcW w:w="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Form</w:t>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File No.</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w:t>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Filing Date</w:t>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Filed/Furnished Herewith</w:t>
            </w:r>
          </w:p>
        </w:tc>
      </w:tr>
      <w:tr>
        <w:trP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w:t>
            </w:r>
          </w:p>
        </w:tc>
        <w:tc>
          <w:tcPr>
            <w:tcW w:w="5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6"/>
                  <w:u w:val="single"/>
                </w:rPr>
                <w:t>Amended and Restated Certificate of Incorporation.</w:t>
              </w:r>
            </w:hyperlink>
          </w:p>
        </w:tc>
        <w:tc>
          <w:tcPr>
            <w:tcW w:w="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001-39049</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9/23/2019</w:t>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6"/>
                  <w:u w:val="single"/>
                </w:rPr>
                <w:t>Amended and Restated Bylaws.</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001-39049</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3/22/2021</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4.1</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6"/>
                  <w:u w:val="single"/>
                </w:rPr>
                <w:t>Specimen stock certificate evidencing the shares of common stock.</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333-233446</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9/9/2019</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4.2</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6"/>
                  <w:u w:val="single"/>
                </w:rPr>
                <w:t>Amended and Restated Investors' Rights Agreement, dated July 12, 2019, by and among the Company and certain of its stockholders.</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333-233446</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9/9/2019</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4.3</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6"/>
                  <w:u w:val="single"/>
                </w:rPr>
                <w:t>Amended and Restated Stockholders' Agreement, dated July 12, 2019, by and among the Company and certain of its stockholders.</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333-233446</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9/9/2019</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4.4</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6"/>
                  <w:u w:val="single"/>
                </w:rPr>
                <w:t>Form of Common Stock Purchase Warrant issued to investors by the Company in connection with private placement financings.</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333-233446</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9/9/2019</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4.5</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6"/>
                  <w:u w:val="single"/>
                </w:rPr>
                <w:t>Form of Common Stock Purchase Warrant to purchase common stock issued to investors by the Company in 2016.</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333-233446</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9/9/2019</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4.6</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6"/>
                  <w:u w:val="single"/>
                </w:rPr>
                <w:t>Form of Exchange Warrant</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001-39049</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8/9/2021</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6"/>
                  <w:u w:val="single"/>
                </w:rPr>
                <w:t>Third Amendment to Loan and Security Agreement dated April 28, 2023, by and among Innovatus Life Sciences Lending I, LP, other lenders and the Company.</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001-39049</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5/4/2023</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31.1</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gn311-33123.htm">
              <w:r>
                <w:rPr>
                  <w:rStyle w:val="InternetLink"/>
                  <w:rFonts w:ascii="Arial;sans-serif" w:hAnsi="Arial;sans-serif"/>
                  <w:b w:val="false"/>
                  <w:color w:val="0000FF"/>
                  <w:sz w:val="16"/>
                  <w:u w:val="single"/>
                </w:rPr>
                <w:t>Certificate of Principal Executive Officer, pursuant to Rule 13a-14(a)/15d-14(a), as adopted pursuant to Section 302 of the Sarbanes-Oxley Act of 2002.</w:t>
              </w:r>
            </w:hyperlink>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31.2</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gn312-33123.htm">
              <w:r>
                <w:rPr>
                  <w:rStyle w:val="InternetLink"/>
                  <w:rFonts w:ascii="Arial;sans-serif" w:hAnsi="Arial;sans-serif"/>
                  <w:b w:val="false"/>
                  <w:color w:val="0000FF"/>
                  <w:sz w:val="16"/>
                  <w:u w:val="single"/>
                </w:rPr>
                <w:t>Certificate of Principal Financial Officer, pursuant to Rule 13a-14(a)/15d-14(a), as adopted pursuant to Section 302 of the Sarbanes-Oxley Act of 2002.</w:t>
              </w:r>
            </w:hyperlink>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32.1*</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gn321-33123.htm">
              <w:r>
                <w:rPr>
                  <w:rStyle w:val="InternetLink"/>
                  <w:rFonts w:ascii="Arial;sans-serif" w:hAnsi="Arial;sans-serif"/>
                  <w:b w:val="false"/>
                  <w:color w:val="0000FF"/>
                  <w:sz w:val="16"/>
                  <w:u w:val="single"/>
                </w:rPr>
                <w:t>Certifications Pursuant to U.S.C. Section 1350, As Adopted Pursuant to Section 906 of the Public Company Accounting Reform and Investor Protection Act of 2002.</w:t>
              </w:r>
            </w:hyperlink>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101.INS</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Instance Document - the instance document does not appear in the Interactive Data File because its XBRL tags are embedded within the Inline XBRL document.</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101.SCH</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101.CAL</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101.DEF</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101.LAB</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Labels Linkbase Document.</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101.PRE</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104</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The cover page from the Company's Quarterly Report on Form 10-Q for the quarter ended March 31, 2023, has been formatted in Inline XBRL.</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bl>
    <w:p>
      <w:pPr>
        <w:pStyle w:val="TextBody"/>
        <w:bidi w:val="0"/>
        <w:spacing w:before="0" w:after="0"/>
        <w:jc w:val="center"/>
        <w:rPr/>
      </w:pPr>
      <w:r>
        <w:rPr/>
      </w:r>
    </w:p>
    <w:p>
      <w:pPr>
        <w:pStyle w:val="TextBody"/>
        <w:bidi w:val="0"/>
        <w:spacing w:lineRule="auto" w:line="288" w:before="0" w:after="0"/>
        <w:ind w:left="0" w:right="0" w:hanging="720"/>
        <w:jc w:val="left"/>
        <w:rPr/>
      </w:pPr>
      <w:r>
        <w:rPr>
          <w:rFonts w:ascii="Arial;sans-serif" w:hAnsi="Arial;sans-serif"/>
          <w:b/>
          <w:color w:val="000000"/>
          <w:sz w:val="20"/>
        </w:rPr>
        <w:t>*     </w:t>
      </w:r>
      <w:r>
        <w:rPr>
          <w:rFonts w:ascii="Arial;sans-serif" w:hAnsi="Arial;sans-serif"/>
          <w:b w:val="false"/>
          <w:color w:val="000000"/>
          <w:sz w:val="20"/>
        </w:rPr>
        <w:t>This certification is deemed not filed for purpose of section 18 of the Exchange Act or otherwise subject to the liability of that section, nor shall it be deemed incorporated by reference into any filing under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120" w:type="dxa"/>
        <w:jc w:val="left"/>
        <w:tblInd w:w="0" w:type="dxa"/>
        <w:tblLayout w:type="fixed"/>
        <w:tblCellMar>
          <w:top w:w="28" w:type="dxa"/>
          <w:left w:w="28" w:type="dxa"/>
          <w:bottom w:w="28" w:type="dxa"/>
          <w:right w:w="28" w:type="dxa"/>
        </w:tblCellMar>
      </w:tblPr>
      <w:tblGrid>
        <w:gridCol w:w="662"/>
        <w:gridCol w:w="581"/>
        <w:gridCol w:w="587"/>
        <w:gridCol w:w="125"/>
        <w:gridCol w:w="125"/>
        <w:gridCol w:w="125"/>
        <w:gridCol w:w="1143"/>
        <w:gridCol w:w="1143"/>
        <w:gridCol w:w="1629"/>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EXAGEN INC.</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May 15, 2023</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John Aballi</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Aballi</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May 15, 2023</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Kamal Adawi</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Kamal Adawi</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580"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before="0" w:after="0"/>
        <w:jc w:val="righ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580" w:before="0" w:after="0"/>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400" w:before="0" w:after="0"/>
        <w:jc w:val="center"/>
        <w:rPr>
          <w:rFonts w:ascii="Arial;sans-serif" w:hAnsi="Arial;sans-serif"/>
          <w:b/>
          <w:color w:val="000000"/>
          <w:sz w:val="20"/>
        </w:rPr>
      </w:pPr>
      <w:r>
        <w:rPr>
          <w:rFonts w:ascii="Arial;sans-serif" w:hAnsi="Arial;sans-serif"/>
          <w:b/>
          <w:color w:val="000000"/>
          <w:sz w:val="20"/>
        </w:rPr>
        <w:t>PURSUANT TO SECTION 302 OF THE SARBANES-OXLEY ACT OF 2002</w:t>
      </w:r>
    </w:p>
    <w:p>
      <w:pPr>
        <w:pStyle w:val="TextBody"/>
        <w:bidi w:val="0"/>
        <w:spacing w:before="0" w:after="0"/>
        <w:jc w:val="center"/>
        <w:rPr/>
      </w:pPr>
      <w:r>
        <w:rPr/>
      </w:r>
    </w:p>
    <w:p>
      <w:pPr>
        <w:pStyle w:val="TextBody"/>
        <w:bidi w:val="0"/>
        <w:spacing w:lineRule="auto" w:line="400" w:before="180" w:after="283"/>
        <w:jc w:val="left"/>
        <w:rPr>
          <w:rFonts w:ascii="Arial;sans-serif" w:hAnsi="Arial;sans-serif"/>
          <w:b w:val="false"/>
          <w:color w:val="000000"/>
          <w:sz w:val="20"/>
        </w:rPr>
      </w:pPr>
      <w:r>
        <w:rPr>
          <w:rFonts w:ascii="Arial;sans-serif" w:hAnsi="Arial;sans-serif"/>
          <w:b w:val="false"/>
          <w:color w:val="000000"/>
          <w:sz w:val="20"/>
        </w:rPr>
        <w:t>I, John Aballi, certify that:</w:t>
      </w:r>
    </w:p>
    <w:p>
      <w:pPr>
        <w:pStyle w:val="TextBody"/>
        <w:bidi w:val="0"/>
        <w:spacing w:lineRule="auto" w:line="400" w:before="240" w:after="283"/>
        <w:jc w:val="left"/>
        <w:rPr/>
      </w:pP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I have reviewed this Quarterly Report on Form 10-Q of Exagen Inc.;</w:t>
      </w:r>
    </w:p>
    <w:p>
      <w:pPr>
        <w:pStyle w:val="TextBody"/>
        <w:bidi w:val="0"/>
        <w:spacing w:lineRule="auto" w:line="400" w:before="180" w:after="283"/>
        <w:jc w:val="both"/>
        <w:rPr/>
      </w:pPr>
      <w:r>
        <w:rPr>
          <w:rFonts w:ascii="Arial;sans-serif" w:hAnsi="Arial;sans-serif"/>
          <w:b w:val="false"/>
          <w:color w:val="000000"/>
          <w:sz w:val="20"/>
        </w:rPr>
        <w:t>2.</w:t>
      </w:r>
      <w:r>
        <w:rPr>
          <w:color w:val="000000"/>
        </w:rPr>
        <w:t xml:space="preserve">              </w:t>
      </w: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180" w:after="283"/>
        <w:jc w:val="left"/>
        <w:rPr/>
      </w:pPr>
      <w:r>
        <w:rPr>
          <w:rFonts w:ascii="Arial;sans-serif" w:hAnsi="Arial;sans-serif"/>
          <w:b w:val="false"/>
          <w:color w:val="000000"/>
          <w:sz w:val="20"/>
        </w:rPr>
        <w:t>3.</w:t>
      </w:r>
      <w:r>
        <w:rPr>
          <w:color w:val="000000"/>
        </w:rPr>
        <w:t xml:space="preserve">              </w:t>
      </w: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180" w:after="283"/>
        <w:jc w:val="left"/>
        <w:rPr/>
      </w:pPr>
      <w:r>
        <w:rPr>
          <w:rFonts w:ascii="Arial;sans-serif" w:hAnsi="Arial;sans-serif"/>
          <w:b w:val="false"/>
          <w:color w:val="000000"/>
          <w:sz w:val="20"/>
        </w:rPr>
        <w:t>4.</w:t>
      </w:r>
      <w:r>
        <w:rPr>
          <w:color w:val="000000"/>
        </w:rPr>
        <w:t xml:space="preserve">              </w:t>
      </w: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3" w:before="180" w:after="283"/>
        <w:ind w:left="0" w:right="0" w:firstLine="360"/>
        <w:jc w:val="left"/>
        <w:rPr/>
      </w:pP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3" w:before="180" w:after="283"/>
        <w:ind w:left="0" w:right="0" w:firstLine="360"/>
        <w:jc w:val="left"/>
        <w:rPr/>
      </w:pPr>
      <w:r>
        <w:rPr>
          <w:rFonts w:ascii="Arial;sans-serif" w:hAnsi="Arial;sans-serif"/>
          <w:b w:val="false"/>
          <w:color w:val="000000"/>
          <w:sz w:val="20"/>
        </w:rPr>
        <w:t>(b)</w:t>
      </w:r>
      <w:r>
        <w:rPr>
          <w:color w:val="000000"/>
        </w:rPr>
        <w:t xml:space="preserve">              </w:t>
      </w: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3" w:before="180" w:after="283"/>
        <w:ind w:left="0" w:right="0" w:firstLine="360"/>
        <w:jc w:val="left"/>
        <w:rPr/>
      </w:pPr>
      <w:r>
        <w:rPr>
          <w:rFonts w:ascii="Arial;sans-serif" w:hAnsi="Arial;sans-serif"/>
          <w:b w:val="false"/>
          <w:color w:val="000000"/>
          <w:sz w:val="20"/>
        </w:rPr>
        <w:t>(c)</w:t>
      </w:r>
      <w:r>
        <w:rPr>
          <w:color w:val="000000"/>
        </w:rPr>
        <w:t xml:space="preserve">              </w:t>
      </w: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00" w:before="180" w:after="283"/>
        <w:ind w:left="0" w:right="0" w:firstLine="360"/>
        <w:jc w:val="left"/>
        <w:rPr/>
      </w:pPr>
      <w:r>
        <w:rPr>
          <w:rFonts w:ascii="Arial;sans-serif" w:hAnsi="Arial;sans-serif"/>
          <w:b w:val="false"/>
          <w:color w:val="000000"/>
          <w:sz w:val="20"/>
        </w:rPr>
        <w:t>(d)</w:t>
      </w:r>
      <w:r>
        <w:rPr>
          <w:color w:val="000000"/>
        </w:rPr>
        <w:t xml:space="preserve">               </w:t>
      </w: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400" w:before="180" w:after="283"/>
        <w:jc w:val="left"/>
        <w:rPr/>
      </w:pPr>
      <w:r>
        <w:rPr>
          <w:rFonts w:ascii="Arial;sans-serif" w:hAnsi="Arial;sans-serif"/>
          <w:b w:val="false"/>
          <w:color w:val="000000"/>
          <w:sz w:val="20"/>
        </w:rPr>
        <w:t>5.</w:t>
      </w:r>
      <w:r>
        <w:rPr>
          <w:color w:val="000000"/>
        </w:rPr>
        <w:t xml:space="preserve">              </w:t>
      </w: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00" w:before="180" w:after="283"/>
        <w:ind w:left="0" w:right="0" w:firstLine="360"/>
        <w:jc w:val="left"/>
        <w:rPr/>
      </w:pP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180" w:after="180"/>
        <w:ind w:left="0" w:right="0" w:firstLine="360"/>
        <w:jc w:val="left"/>
        <w:rPr/>
      </w:pPr>
      <w:r>
        <w:rPr>
          <w:rFonts w:ascii="Arial;sans-serif" w:hAnsi="Arial;sans-serif"/>
          <w:b w:val="false"/>
          <w:color w:val="000000"/>
          <w:sz w:val="20"/>
        </w:rPr>
        <w:t>(b)</w:t>
      </w:r>
      <w:r>
        <w:rPr>
          <w:color w:val="000000"/>
        </w:rPr>
        <w:t xml:space="preserve">              </w:t>
      </w: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bl>
      <w:tblPr>
        <w:tblW w:w="5265" w:type="dxa"/>
        <w:jc w:val="left"/>
        <w:tblInd w:w="0" w:type="dxa"/>
        <w:tblLayout w:type="fixed"/>
        <w:tblCellMar>
          <w:top w:w="28" w:type="dxa"/>
          <w:left w:w="28" w:type="dxa"/>
          <w:bottom w:w="28" w:type="dxa"/>
          <w:right w:w="28" w:type="dxa"/>
        </w:tblCellMar>
      </w:tblPr>
      <w:tblGrid>
        <w:gridCol w:w="662"/>
        <w:gridCol w:w="581"/>
        <w:gridCol w:w="587"/>
        <w:gridCol w:w="1002"/>
        <w:gridCol w:w="1002"/>
        <w:gridCol w:w="1431"/>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May 15, 2023</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John Aballi</w:t>
            </w:r>
          </w:p>
        </w:tc>
      </w:tr>
      <w:tr>
        <w:trPr/>
        <w:tc>
          <w:tcPr>
            <w:tcW w:w="183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Aballi</w:t>
            </w:r>
          </w:p>
        </w:tc>
      </w:tr>
      <w:tr>
        <w:trPr/>
        <w:tc>
          <w:tcPr>
            <w:tcW w:w="183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183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spacing w:before="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80"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before="0" w:after="0"/>
        <w:jc w:val="righ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580" w:before="0" w:after="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400" w:before="0" w:after="0"/>
        <w:jc w:val="center"/>
        <w:rPr>
          <w:rFonts w:ascii="Arial;sans-serif" w:hAnsi="Arial;sans-serif"/>
          <w:b/>
          <w:color w:val="000000"/>
          <w:sz w:val="20"/>
        </w:rPr>
      </w:pPr>
      <w:r>
        <w:rPr>
          <w:rFonts w:ascii="Arial;sans-serif" w:hAnsi="Arial;sans-serif"/>
          <w:b/>
          <w:color w:val="000000"/>
          <w:sz w:val="20"/>
        </w:rPr>
        <w:t>PURSUANT TO SECTION 302 OF THE SARBANES-OXLEY ACT OF 2002</w:t>
      </w:r>
    </w:p>
    <w:p>
      <w:pPr>
        <w:pStyle w:val="TextBody"/>
        <w:bidi w:val="0"/>
        <w:spacing w:before="0" w:after="0"/>
        <w:jc w:val="center"/>
        <w:rPr/>
      </w:pPr>
      <w:r>
        <w:rPr/>
      </w:r>
    </w:p>
    <w:p>
      <w:pPr>
        <w:pStyle w:val="TextBody"/>
        <w:bidi w:val="0"/>
        <w:spacing w:lineRule="auto" w:line="400" w:before="0" w:after="0"/>
        <w:jc w:val="left"/>
        <w:rPr>
          <w:rFonts w:ascii="Arial;sans-serif" w:hAnsi="Arial;sans-serif"/>
          <w:b w:val="false"/>
          <w:color w:val="000000"/>
          <w:sz w:val="20"/>
        </w:rPr>
      </w:pPr>
      <w:r>
        <w:rPr>
          <w:rFonts w:ascii="Arial;sans-serif" w:hAnsi="Arial;sans-serif"/>
          <w:b w:val="false"/>
          <w:color w:val="000000"/>
          <w:sz w:val="20"/>
        </w:rPr>
        <w:t>I, Kamal Adawi, certify that:</w:t>
      </w:r>
    </w:p>
    <w:p>
      <w:pPr>
        <w:pStyle w:val="TextBody"/>
        <w:bidi w:val="0"/>
        <w:spacing w:lineRule="auto" w:line="400" w:before="240" w:after="283"/>
        <w:jc w:val="left"/>
        <w:rPr/>
      </w:pPr>
      <w:r>
        <w:rPr>
          <w:rFonts w:ascii="Arial;sans-serif" w:hAnsi="Arial;sans-serif"/>
          <w:b w:val="false"/>
          <w:color w:val="000000"/>
          <w:sz w:val="20"/>
        </w:rPr>
        <w:t>1.</w:t>
      </w:r>
      <w:r>
        <w:rPr>
          <w:color w:val="000000"/>
        </w:rPr>
        <w:t>                 </w:t>
      </w:r>
      <w:r>
        <w:rPr>
          <w:rFonts w:ascii="Arial;sans-serif" w:hAnsi="Arial;sans-serif"/>
          <w:b w:val="false"/>
          <w:color w:val="000000"/>
          <w:sz w:val="20"/>
        </w:rPr>
        <w:t>I have reviewed this Quarterly Report on Form 10-Q of Exagen Inc.;</w:t>
      </w:r>
    </w:p>
    <w:p>
      <w:pPr>
        <w:pStyle w:val="TextBody"/>
        <w:bidi w:val="0"/>
        <w:spacing w:lineRule="auto" w:line="400" w:before="180" w:after="283"/>
        <w:jc w:val="both"/>
        <w:rPr/>
      </w:pPr>
      <w:r>
        <w:rPr>
          <w:rFonts w:ascii="Arial;sans-serif" w:hAnsi="Arial;sans-serif"/>
          <w:b w:val="false"/>
          <w:color w:val="000000"/>
          <w:sz w:val="20"/>
        </w:rPr>
        <w:t>2.</w:t>
      </w:r>
      <w:r>
        <w:rPr>
          <w:color w:val="000000"/>
        </w:rPr>
        <w:t xml:space="preserve">              </w:t>
      </w: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180" w:after="283"/>
        <w:jc w:val="left"/>
        <w:rPr/>
      </w:pPr>
      <w:r>
        <w:rPr>
          <w:rFonts w:ascii="Arial;sans-serif" w:hAnsi="Arial;sans-serif"/>
          <w:b w:val="false"/>
          <w:color w:val="000000"/>
          <w:sz w:val="20"/>
        </w:rPr>
        <w:t>3.</w:t>
      </w:r>
      <w:r>
        <w:rPr>
          <w:color w:val="000000"/>
        </w:rPr>
        <w:t xml:space="preserve">              </w:t>
      </w: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180" w:after="283"/>
        <w:jc w:val="left"/>
        <w:rPr/>
      </w:pPr>
      <w:r>
        <w:rPr>
          <w:rFonts w:ascii="Arial;sans-serif" w:hAnsi="Arial;sans-serif"/>
          <w:b w:val="false"/>
          <w:color w:val="000000"/>
          <w:sz w:val="20"/>
        </w:rPr>
        <w:t>4.</w:t>
      </w:r>
      <w:r>
        <w:rPr>
          <w:color w:val="000000"/>
        </w:rPr>
        <w:t xml:space="preserve">              </w:t>
      </w: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0" w:before="180" w:after="283"/>
        <w:ind w:left="0" w:right="0" w:firstLine="360"/>
        <w:jc w:val="left"/>
        <w:rPr/>
      </w:pP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0" w:before="180" w:after="283"/>
        <w:ind w:left="0" w:right="0" w:firstLine="360"/>
        <w:jc w:val="left"/>
        <w:rPr/>
      </w:pPr>
      <w:r>
        <w:rPr>
          <w:rFonts w:ascii="Arial;sans-serif" w:hAnsi="Arial;sans-serif"/>
          <w:b w:val="false"/>
          <w:color w:val="000000"/>
          <w:sz w:val="20"/>
        </w:rPr>
        <w:t>(b)</w:t>
      </w:r>
      <w:r>
        <w:rPr>
          <w:color w:val="000000"/>
        </w:rPr>
        <w:t xml:space="preserve">              </w:t>
      </w: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0" w:before="180" w:after="283"/>
        <w:ind w:left="0" w:right="0" w:firstLine="360"/>
        <w:jc w:val="left"/>
        <w:rPr/>
      </w:pPr>
      <w:r>
        <w:rPr>
          <w:rFonts w:ascii="Arial;sans-serif" w:hAnsi="Arial;sans-serif"/>
          <w:b w:val="false"/>
          <w:color w:val="000000"/>
          <w:sz w:val="20"/>
        </w:rPr>
        <w:t>(c)</w:t>
      </w:r>
      <w:r>
        <w:rPr>
          <w:color w:val="000000"/>
        </w:rPr>
        <w:t xml:space="preserve">              </w:t>
      </w: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00" w:before="180" w:after="283"/>
        <w:ind w:left="0" w:right="0" w:firstLine="360"/>
        <w:jc w:val="left"/>
        <w:rPr/>
      </w:pPr>
      <w:r>
        <w:rPr>
          <w:rFonts w:ascii="Arial;sans-serif" w:hAnsi="Arial;sans-serif"/>
          <w:b w:val="false"/>
          <w:color w:val="000000"/>
          <w:sz w:val="20"/>
        </w:rPr>
        <w:t>(d)</w:t>
      </w:r>
      <w:r>
        <w:rPr>
          <w:color w:val="000000"/>
        </w:rPr>
        <w:t xml:space="preserve">               </w:t>
      </w: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400" w:before="180" w:after="283"/>
        <w:jc w:val="left"/>
        <w:rPr/>
      </w:pPr>
      <w:r>
        <w:rPr>
          <w:rFonts w:ascii="Arial;sans-serif" w:hAnsi="Arial;sans-serif"/>
          <w:b w:val="false"/>
          <w:color w:val="000000"/>
          <w:sz w:val="20"/>
        </w:rPr>
        <w:t>5.</w:t>
      </w:r>
      <w:r>
        <w:rPr>
          <w:color w:val="000000"/>
        </w:rPr>
        <w:t xml:space="preserve">              </w:t>
      </w: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00" w:before="180" w:after="283"/>
        <w:ind w:left="0" w:right="0" w:firstLine="360"/>
        <w:jc w:val="left"/>
        <w:rPr/>
      </w:pP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180" w:after="180"/>
        <w:ind w:left="0" w:right="0" w:firstLine="360"/>
        <w:jc w:val="left"/>
        <w:rPr/>
      </w:pPr>
      <w:r>
        <w:rPr>
          <w:rFonts w:ascii="Arial;sans-serif" w:hAnsi="Arial;sans-serif"/>
          <w:b w:val="false"/>
          <w:color w:val="000000"/>
          <w:sz w:val="20"/>
        </w:rPr>
        <w:t>(b)</w:t>
      </w:r>
      <w:r>
        <w:rPr>
          <w:color w:val="000000"/>
        </w:rPr>
        <w:t xml:space="preserve">              </w:t>
      </w: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bl>
      <w:tblPr>
        <w:tblW w:w="5745" w:type="dxa"/>
        <w:jc w:val="left"/>
        <w:tblInd w:w="0" w:type="dxa"/>
        <w:tblLayout w:type="fixed"/>
        <w:tblCellMar>
          <w:top w:w="28" w:type="dxa"/>
          <w:left w:w="28" w:type="dxa"/>
          <w:bottom w:w="28" w:type="dxa"/>
          <w:right w:w="28" w:type="dxa"/>
        </w:tblCellMar>
      </w:tblPr>
      <w:tblGrid>
        <w:gridCol w:w="662"/>
        <w:gridCol w:w="581"/>
        <w:gridCol w:w="587"/>
        <w:gridCol w:w="1146"/>
        <w:gridCol w:w="1146"/>
        <w:gridCol w:w="1623"/>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May 15, 2023</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Kamal Adawi</w:t>
            </w:r>
          </w:p>
        </w:tc>
      </w:tr>
      <w:tr>
        <w:trPr/>
        <w:tc>
          <w:tcPr>
            <w:tcW w:w="183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Kamal Adawi</w:t>
            </w:r>
          </w:p>
        </w:tc>
      </w:tr>
      <w:tr>
        <w:trPr/>
        <w:tc>
          <w:tcPr>
            <w:tcW w:w="183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83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spacing w:before="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82"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right"/>
        <w:rPr/>
      </w:pPr>
      <w:r>
        <w:rPr/>
      </w:r>
    </w:p>
    <w:p>
      <w:pPr>
        <w:pStyle w:val="TextBody"/>
        <w:bidi w:val="0"/>
        <w:spacing w:lineRule="auto" w:line="400" w:before="240" w:after="283"/>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before="0" w:after="0"/>
        <w:jc w:val="center"/>
        <w:rPr/>
      </w:pPr>
      <w:r>
        <w:rPr/>
      </w:r>
    </w:p>
    <w:p>
      <w:pPr>
        <w:pStyle w:val="TextBody"/>
        <w:bidi w:val="0"/>
        <w:spacing w:lineRule="auto" w:line="400" w:before="180" w:after="283"/>
        <w:jc w:val="left"/>
        <w:rPr>
          <w:rFonts w:ascii="Arial;sans-serif" w:hAnsi="Arial;sans-serif"/>
          <w:b w:val="false"/>
          <w:color w:val="000000"/>
          <w:sz w:val="20"/>
        </w:rPr>
      </w:pPr>
      <w:r>
        <w:rPr>
          <w:rFonts w:ascii="Arial;sans-serif" w:hAnsi="Arial;sans-serif"/>
          <w:b w:val="false"/>
          <w:color w:val="000000"/>
          <w:sz w:val="20"/>
        </w:rPr>
        <w:t>Pursuant to 18 U.S.C. Section 1350, as adopted pursuant to Section 906 of the Sarbanes-Oxley Act of 2002, the undersigned officer of Exagen Inc. (the "Company") hereby certifies, to such officer's knowledge, that:</w:t>
      </w:r>
    </w:p>
    <w:p>
      <w:pPr>
        <w:pStyle w:val="TextBody"/>
        <w:bidi w:val="0"/>
        <w:spacing w:lineRule="auto" w:line="400" w:before="180" w:after="283"/>
        <w:jc w:val="left"/>
        <w:rPr/>
      </w:pP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The accompanying quarterly report on Form 10-Q of the Company for the quarterly period ended March 31, 2023 (the "Report") fully complies with the requirements of Section 13(a) or 15(d), as applicable, of the Securities Exchange Act of 1934, as amended; and</w:t>
      </w:r>
    </w:p>
    <w:p>
      <w:pPr>
        <w:pStyle w:val="TextBody"/>
        <w:bidi w:val="0"/>
        <w:spacing w:lineRule="auto" w:line="400" w:before="180" w:after="283"/>
        <w:jc w:val="left"/>
        <w:rPr/>
      </w:pPr>
      <w:r>
        <w:rPr>
          <w:rFonts w:ascii="Arial;sans-serif" w:hAnsi="Arial;sans-serif"/>
          <w:b w:val="false"/>
          <w:color w:val="000000"/>
          <w:sz w:val="20"/>
        </w:rPr>
        <w:t>2.</w:t>
      </w:r>
      <w:r>
        <w:rPr>
          <w:color w:val="000000"/>
        </w:rPr>
        <w:t xml:space="preserve">                   </w:t>
      </w:r>
      <w:r>
        <w:rPr>
          <w:rFonts w:ascii="Arial;sans-serif" w:hAnsi="Arial;sans-serif"/>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spacing w:before="0" w:after="0"/>
        <w:jc w:val="both"/>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Dated: May 15, 2023</w:t>
      </w:r>
    </w:p>
    <w:tbl>
      <w:tblPr>
        <w:tblW w:w="3449" w:type="dxa"/>
        <w:jc w:val="right"/>
        <w:tblInd w:w="0" w:type="dxa"/>
        <w:tblLayout w:type="fixed"/>
        <w:tblCellMar>
          <w:top w:w="28" w:type="dxa"/>
          <w:left w:w="28" w:type="dxa"/>
          <w:bottom w:w="28" w:type="dxa"/>
          <w:right w:w="28" w:type="dxa"/>
        </w:tblCellMar>
      </w:tblPr>
      <w:tblGrid>
        <w:gridCol w:w="1099"/>
        <w:gridCol w:w="967"/>
        <w:gridCol w:w="1383"/>
      </w:tblGrid>
      <w:tr>
        <w:trPr/>
        <w:tc>
          <w:tcPr>
            <w:tcW w:w="109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John Aballi</w:t>
            </w:r>
          </w:p>
        </w:tc>
      </w:tr>
      <w:tr>
        <w:trPr/>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Aballi</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p>
            <w:pPr>
              <w:pStyle w:val="TableContents"/>
              <w:bidi w:val="0"/>
              <w:spacing w:lineRule="auto" w:line="288" w:before="0" w:after="40"/>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spacing w:lineRule="auto" w:line="400" w:before="400" w:after="283"/>
        <w:ind w:left="0" w:right="0" w:firstLine="720"/>
        <w:jc w:val="left"/>
        <w:rPr>
          <w:rFonts w:ascii="Arial;sans-serif" w:hAnsi="Arial;sans-serif"/>
          <w:b w:val="false"/>
          <w:color w:val="000000"/>
          <w:sz w:val="20"/>
        </w:rPr>
      </w:pPr>
      <w:r>
        <w:rPr>
          <w:rFonts w:ascii="Arial;sans-serif" w:hAnsi="Arial;sans-serif"/>
          <w:b w:val="false"/>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400" w:before="240" w:after="283"/>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before="0" w:after="0"/>
        <w:jc w:val="center"/>
        <w:rPr/>
      </w:pPr>
      <w:r>
        <w:rPr/>
      </w:r>
    </w:p>
    <w:p>
      <w:pPr>
        <w:pStyle w:val="TextBody"/>
        <w:bidi w:val="0"/>
        <w:spacing w:lineRule="auto" w:line="400" w:before="180" w:after="283"/>
        <w:jc w:val="left"/>
        <w:rPr>
          <w:rFonts w:ascii="Arial;sans-serif" w:hAnsi="Arial;sans-serif"/>
          <w:b w:val="false"/>
          <w:color w:val="000000"/>
          <w:sz w:val="20"/>
        </w:rPr>
      </w:pPr>
      <w:r>
        <w:rPr>
          <w:rFonts w:ascii="Arial;sans-serif" w:hAnsi="Arial;sans-serif"/>
          <w:b w:val="false"/>
          <w:color w:val="000000"/>
          <w:sz w:val="20"/>
        </w:rPr>
        <w:t>Pursuant to 18 U.S.C. Section 1350, as adopted pursuant to Section 906 of the Sarbanes-Oxley Act of 2002, the undersigned officer of Exagen Inc. (the "Company") hereby certifies, to such officer's knowledge, that:</w:t>
      </w:r>
    </w:p>
    <w:p>
      <w:pPr>
        <w:pStyle w:val="TextBody"/>
        <w:bidi w:val="0"/>
        <w:spacing w:lineRule="auto" w:line="400" w:before="180" w:after="283"/>
        <w:jc w:val="left"/>
        <w:rPr/>
      </w:pP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The accompanying quarterly report on Form 10-Q of the Company for the quarterly period ended March 31, 2023 (the "Report") fully complies with the requirements of Section 13(a) or 15(d), as applicable, of the Securities Exchange Act of 1934, as amended; and</w:t>
      </w:r>
    </w:p>
    <w:p>
      <w:pPr>
        <w:pStyle w:val="TextBody"/>
        <w:bidi w:val="0"/>
        <w:spacing w:lineRule="auto" w:line="400" w:before="180" w:after="283"/>
        <w:jc w:val="left"/>
        <w:rPr/>
      </w:pPr>
      <w:r>
        <w:rPr>
          <w:rFonts w:ascii="Arial;sans-serif" w:hAnsi="Arial;sans-serif"/>
          <w:b w:val="false"/>
          <w:color w:val="000000"/>
          <w:sz w:val="20"/>
        </w:rPr>
        <w:t>2.</w:t>
      </w:r>
      <w:r>
        <w:rPr>
          <w:color w:val="000000"/>
        </w:rPr>
        <w:t xml:space="preserve">                   </w:t>
      </w:r>
      <w:r>
        <w:rPr>
          <w:rFonts w:ascii="Arial;sans-serif" w:hAnsi="Arial;sans-serif"/>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spacing w:before="0" w:after="0"/>
        <w:jc w:val="left"/>
        <w:rPr/>
      </w:pPr>
      <w:r>
        <w:rPr/>
      </w:r>
    </w:p>
    <w:p>
      <w:pPr>
        <w:pStyle w:val="TextBody"/>
        <w:bidi w:val="0"/>
        <w:spacing w:lineRule="auto" w:line="333"/>
        <w:jc w:val="left"/>
        <w:rPr>
          <w:rFonts w:ascii="Arial;sans-serif" w:hAnsi="Arial;sans-serif"/>
          <w:b w:val="false"/>
          <w:color w:val="000000"/>
          <w:sz w:val="20"/>
        </w:rPr>
      </w:pPr>
      <w:r>
        <w:rPr>
          <w:rFonts w:ascii="Arial;sans-serif" w:hAnsi="Arial;sans-serif"/>
          <w:b w:val="false"/>
          <w:color w:val="000000"/>
          <w:sz w:val="20"/>
        </w:rPr>
        <w:t>Dated: May 15, 2023</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925" w:type="dxa"/>
        <w:jc w:val="right"/>
        <w:tblInd w:w="0" w:type="dxa"/>
        <w:tblLayout w:type="fixed"/>
        <w:tblCellMar>
          <w:top w:w="28" w:type="dxa"/>
          <w:left w:w="28" w:type="dxa"/>
          <w:bottom w:w="28" w:type="dxa"/>
          <w:right w:w="28" w:type="dxa"/>
        </w:tblCellMar>
      </w:tblPr>
      <w:tblGrid>
        <w:gridCol w:w="1894"/>
        <w:gridCol w:w="1663"/>
        <w:gridCol w:w="2368"/>
      </w:tblGrid>
      <w:tr>
        <w:trPr/>
        <w:tc>
          <w:tcPr>
            <w:tcW w:w="1894"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Kamal Adawi</w:t>
            </w:r>
          </w:p>
        </w:tc>
      </w:tr>
      <w:tr>
        <w:trPr/>
        <w:tc>
          <w:tcPr>
            <w:tcW w:w="5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Kamal Adawi</w:t>
            </w:r>
          </w:p>
        </w:tc>
      </w:tr>
      <w:tr>
        <w:trPr/>
        <w:tc>
          <w:tcPr>
            <w:tcW w:w="592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Chief Financial Officer (Principal Financial and Accounting Officer)</w:t>
            </w:r>
          </w:p>
        </w:tc>
      </w:tr>
    </w:tbl>
    <w:p>
      <w:pPr>
        <w:pStyle w:val="TextBody"/>
        <w:bidi w:val="0"/>
        <w:spacing w:lineRule="auto" w:line="400" w:before="400" w:after="283"/>
        <w:ind w:left="0" w:right="0" w:firstLine="720"/>
        <w:jc w:val="left"/>
        <w:rPr>
          <w:rFonts w:ascii="Arial;sans-serif" w:hAnsi="Arial;sans-serif"/>
          <w:b w:val="false"/>
          <w:color w:val="000000"/>
          <w:sz w:val="20"/>
        </w:rPr>
      </w:pPr>
      <w:r>
        <w:rPr>
          <w:rFonts w:ascii="Arial;sans-serif" w:hAnsi="Arial;sans-serif"/>
          <w:b w:val="false"/>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74737/000119312519252366/d769261dex31.htm" TargetMode="External"/><Relationship Id="rId3" Type="http://schemas.openxmlformats.org/officeDocument/2006/relationships/hyperlink" Target="http://www.sec.gov/Archives/edgar/data/1274737/000127473721000017/ex31-amendedandrestatedbyl.htm" TargetMode="External"/><Relationship Id="rId4" Type="http://schemas.openxmlformats.org/officeDocument/2006/relationships/hyperlink" Target="http://www.sec.gov/Archives/edgar/data/1274737/000119312519240403/d692844dex41.htm" TargetMode="External"/><Relationship Id="rId5" Type="http://schemas.openxmlformats.org/officeDocument/2006/relationships/hyperlink" Target="http://www.sec.gov/Archives/edgar/data/1274737/000119312519228011/d692844dex42.htm" TargetMode="External"/><Relationship Id="rId6" Type="http://schemas.openxmlformats.org/officeDocument/2006/relationships/hyperlink" Target="http://www.sec.gov/Archives/edgar/data/1274737/000119312519228011/d692844dex43.htm" TargetMode="External"/><Relationship Id="rId7" Type="http://schemas.openxmlformats.org/officeDocument/2006/relationships/hyperlink" Target="http://www.sec.gov/Archives/edgar/data/1274737/000119312519228011/d692844dex44.htm" TargetMode="External"/><Relationship Id="rId8" Type="http://schemas.openxmlformats.org/officeDocument/2006/relationships/hyperlink" Target="http://www.sec.gov/Archives/edgar/data/1274737/000119312519228011/d692844dex48.htm" TargetMode="External"/><Relationship Id="rId9" Type="http://schemas.openxmlformats.org/officeDocument/2006/relationships/hyperlink" Target="http://www.sec.gov/Archives/edgar/data/1274737/000127473721000094/ex45-formofprexfundedwarra.htm" TargetMode="External"/><Relationship Id="rId10" Type="http://schemas.openxmlformats.org/officeDocument/2006/relationships/hyperlink" Target="https://www.sec.gov/Archives/edgar/data/1274737/000127473723000041/exhibit101to042823thirdame.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16816</Words>
  <Characters>93699</Characters>
  <CharactersWithSpaces>110031</CharactersWithSpaces>
  <Paragraphs>1431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