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7, 2024</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7, 2024, Exagen Inc. (the "Company") provided select preliminary unaudited financial information and results of operations for the year ended December 31, 2023, based on currently available information. A copy of the press release issued by the Company is furnished as Exhibit 99.1 to this report.</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preliminary unaudited financial data included in the press release has been prepared by, and is the responsibility of, our management. BDO USA, P.C. (“BDO”) has not audited, reviewed, compiled, or applied agreed-upon procedures with respect to the preliminary unaudited financial information and results of operations. Accordingly, BDO does not express an opinion or any other form of assurance with respect thereto.</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January 7, 2024</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January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30302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 xml:space="preserve">Exagen Inc. Announces Select Preliminary Full-Year </w:t>
      </w:r>
      <w:r>
        <w:rPr>
          <w:rFonts w:ascii="Calibri" w:cs="Calibri" w:eastAsia="Calibri" w:hAnsi="Calibri"/>
          <w:sz w:val="21"/>
          <w:szCs w:val="21"/>
          <w:b w:val="1"/>
          <w:bCs w:val="1"/>
          <w:color w:val="auto"/>
        </w:rPr>
        <w:t>2023</w:t>
      </w:r>
      <w:r>
        <w:rPr>
          <w:rFonts w:ascii="Calibri" w:cs="Calibri" w:eastAsia="Calibri" w:hAnsi="Calibri"/>
          <w:sz w:val="29"/>
          <w:szCs w:val="29"/>
          <w:b w:val="1"/>
          <w:bCs w:val="1"/>
          <w:color w:val="auto"/>
        </w:rPr>
        <w:t xml:space="preserve"> Results and Reafrms Guidance</w:t>
      </w:r>
    </w:p>
    <w:p>
      <w:pPr>
        <w:spacing w:after="0" w:line="260" w:lineRule="exact"/>
        <w:rPr>
          <w:sz w:val="20"/>
          <w:szCs w:val="20"/>
          <w:color w:val="auto"/>
        </w:rPr>
      </w:pPr>
    </w:p>
    <w:p>
      <w:pPr>
        <w:spacing w:after="0"/>
        <w:rPr>
          <w:sz w:val="20"/>
          <w:szCs w:val="20"/>
          <w:color w:val="auto"/>
        </w:rPr>
      </w:pPr>
      <w:r>
        <w:rPr>
          <w:rFonts w:ascii="Calibri" w:cs="Calibri" w:eastAsia="Calibri" w:hAnsi="Calibri"/>
          <w:sz w:val="20"/>
          <w:szCs w:val="20"/>
          <w:color w:val="auto"/>
        </w:rPr>
        <w:t>January 7, 2024</w:t>
      </w:r>
    </w:p>
    <w:p>
      <w:pPr>
        <w:spacing w:after="0" w:line="238" w:lineRule="exact"/>
        <w:rPr>
          <w:sz w:val="20"/>
          <w:szCs w:val="20"/>
          <w:color w:val="auto"/>
        </w:rPr>
      </w:pPr>
    </w:p>
    <w:p>
      <w:pPr>
        <w:ind w:right="540"/>
        <w:spacing w:after="0" w:line="231" w:lineRule="auto"/>
        <w:rPr>
          <w:sz w:val="20"/>
          <w:szCs w:val="20"/>
          <w:color w:val="auto"/>
        </w:rPr>
      </w:pPr>
      <w:r>
        <w:rPr>
          <w:rFonts w:ascii="Calibri" w:cs="Calibri" w:eastAsia="Calibri" w:hAnsi="Calibri"/>
          <w:sz w:val="20"/>
          <w:szCs w:val="20"/>
          <w:color w:val="auto"/>
        </w:rPr>
        <w:t xml:space="preserve">Carlsbad, CA – Exagen Inc. (Nasdaq: XGN), a leading provider of autoimmune testng solutons, today announces select preliminary unaudited fnancial results for the full year ended </w:t>
      </w:r>
      <w:r>
        <w:rPr>
          <w:rFonts w:ascii="Calibri" w:cs="Calibri" w:eastAsia="Calibri" w:hAnsi="Calibri"/>
          <w:sz w:val="21"/>
          <w:szCs w:val="21"/>
          <w:color w:val="auto"/>
        </w:rPr>
        <w:t>December 31, 2023, and reafrms its full-year 2023 fnancial guidance</w:t>
      </w:r>
      <w:r>
        <w:rPr>
          <w:rFonts w:ascii="Calibri" w:cs="Calibri" w:eastAsia="Calibri" w:hAnsi="Calibri"/>
          <w:sz w:val="20"/>
          <w:szCs w:val="20"/>
          <w:color w:val="auto"/>
        </w:rPr>
        <w:t>.</w:t>
      </w:r>
    </w:p>
    <w:p>
      <w:pPr>
        <w:spacing w:after="0" w:line="26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Select Preliminary Unaudited Financial Results</w:t>
      </w:r>
    </w:p>
    <w:p>
      <w:pPr>
        <w:spacing w:after="0" w:line="3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Calibri" w:cs="Calibri" w:eastAsia="Calibri" w:hAnsi="Calibri"/>
          <w:sz w:val="20"/>
          <w:szCs w:val="20"/>
          <w:color w:val="auto"/>
        </w:rPr>
        <w:t>Record AVISE® CTD testng volume of approximately 137,000 units delivered during the year ended December 31, 2023.</w:t>
      </w:r>
    </w:p>
    <w:p>
      <w:pPr>
        <w:spacing w:after="0" w:line="20" w:lineRule="exact"/>
        <w:rPr>
          <w:rFonts w:ascii="Arial" w:cs="Arial" w:eastAsia="Arial" w:hAnsi="Arial"/>
          <w:sz w:val="22"/>
          <w:szCs w:val="22"/>
          <w:color w:val="auto"/>
        </w:rPr>
      </w:pPr>
    </w:p>
    <w:p>
      <w:pPr>
        <w:ind w:left="660" w:hanging="328"/>
        <w:spacing w:after="0" w:line="218" w:lineRule="auto"/>
        <w:tabs>
          <w:tab w:leader="none" w:pos="660" w:val="left"/>
        </w:tabs>
        <w:numPr>
          <w:ilvl w:val="0"/>
          <w:numId w:val="2"/>
        </w:numPr>
        <w:rPr>
          <w:rFonts w:ascii="Arial" w:cs="Arial" w:eastAsia="Arial" w:hAnsi="Arial"/>
          <w:sz w:val="22"/>
          <w:szCs w:val="22"/>
          <w:color w:val="auto"/>
        </w:rPr>
      </w:pPr>
      <w:r>
        <w:rPr>
          <w:rFonts w:ascii="Calibri" w:cs="Calibri" w:eastAsia="Calibri" w:hAnsi="Calibri"/>
          <w:sz w:val="20"/>
          <w:szCs w:val="20"/>
          <w:color w:val="auto"/>
        </w:rPr>
        <w:t>Cash balance of $36.5 million as of December 31, 2023.</w:t>
      </w:r>
    </w:p>
    <w:p>
      <w:pPr>
        <w:spacing w:after="0" w:line="20" w:lineRule="exact"/>
        <w:rPr>
          <w:rFonts w:ascii="Arial" w:cs="Arial" w:eastAsia="Arial" w:hAnsi="Arial"/>
          <w:sz w:val="22"/>
          <w:szCs w:val="22"/>
          <w:color w:val="auto"/>
        </w:rPr>
      </w:pPr>
    </w:p>
    <w:p>
      <w:pPr>
        <w:ind w:left="660" w:hanging="328"/>
        <w:spacing w:after="0" w:line="218" w:lineRule="auto"/>
        <w:tabs>
          <w:tab w:leader="none" w:pos="660" w:val="left"/>
        </w:tabs>
        <w:numPr>
          <w:ilvl w:val="0"/>
          <w:numId w:val="2"/>
        </w:numPr>
        <w:rPr>
          <w:rFonts w:ascii="Arial" w:cs="Arial" w:eastAsia="Arial" w:hAnsi="Arial"/>
          <w:sz w:val="22"/>
          <w:szCs w:val="22"/>
          <w:color w:val="auto"/>
        </w:rPr>
      </w:pPr>
      <w:r>
        <w:rPr>
          <w:rFonts w:ascii="Calibri" w:cs="Calibri" w:eastAsia="Calibri" w:hAnsi="Calibri"/>
          <w:sz w:val="20"/>
          <w:szCs w:val="20"/>
          <w:color w:val="auto"/>
        </w:rPr>
        <w:t>Accounts receivables balance of approximately $7 million as of December 31, 2023.</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Reafrms Financial Guidance</w:t>
      </w:r>
    </w:p>
    <w:p>
      <w:pPr>
        <w:spacing w:after="0" w:line="265" w:lineRule="exact"/>
        <w:rPr>
          <w:sz w:val="20"/>
          <w:szCs w:val="20"/>
          <w:color w:val="auto"/>
        </w:rPr>
      </w:pPr>
    </w:p>
    <w:p>
      <w:pPr>
        <w:ind w:left="660" w:right="340" w:hanging="328"/>
        <w:spacing w:after="0" w:line="207" w:lineRule="auto"/>
        <w:tabs>
          <w:tab w:leader="none" w:pos="655"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The company reafrms its full-year 2023 total revenue guidance of at least $50 million and full-year 2023 non-GAAP adjusted EBITDA guidance of approximately negatve $20 million.</w:t>
      </w:r>
    </w:p>
    <w:p>
      <w:pPr>
        <w:spacing w:after="0" w:line="240"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“I’m very proud of the strides the Exagen team made in 2023. Our company has undergone a signifcant transformaton, now operatng in a more streamlined manner with a revamped expense structure that points us toward proftability. The unwavering dedicaton and hard work of our team has laid the foundaton for an excitng 2024 where we antcipate seeing growth in both ASP and volume of AVISE® CTD,” said John Aballi, President and Chief Executve Ofcer of Exagen.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Select Preliminary Unaudited Financial Results</w:t>
      </w:r>
    </w:p>
    <w:p>
      <w:pPr>
        <w:spacing w:after="0" w:line="265" w:lineRule="exact"/>
        <w:rPr>
          <w:sz w:val="20"/>
          <w:szCs w:val="20"/>
          <w:color w:val="auto"/>
        </w:rPr>
      </w:pPr>
    </w:p>
    <w:p>
      <w:pPr>
        <w:spacing w:after="0" w:line="239" w:lineRule="auto"/>
        <w:rPr>
          <w:sz w:val="20"/>
          <w:szCs w:val="20"/>
          <w:color w:val="auto"/>
        </w:rPr>
      </w:pPr>
      <w:r>
        <w:rPr>
          <w:rFonts w:ascii="Calibri" w:cs="Calibri" w:eastAsia="Calibri" w:hAnsi="Calibri"/>
          <w:sz w:val="20"/>
          <w:szCs w:val="20"/>
          <w:color w:val="auto"/>
        </w:rPr>
        <w:t>The company is providing the above preliminary fnancial informaton and results of operatons as of and for the year ended December 31, 2023, based on currently available informaton. The company’s fnancial closing procedures with respect to the estmated fnancial data provided above are not yet complete. These procedures ofen result in changes to accounts. As a result, the company’s fnal results may vary from the preliminary results presented above. The company undertakes no obligaton to update or supplement the informaton provided above untl it releases its fnancial statements for the three months and year ended December 31, 2023.</w:t>
      </w:r>
    </w:p>
    <w:p>
      <w:pPr>
        <w:spacing w:after="0" w:line="2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Use of Unaudited Non-GAAP Financial Measures</w:t>
      </w:r>
    </w:p>
    <w:p>
      <w:pPr>
        <w:spacing w:after="0" w:line="265" w:lineRule="exact"/>
        <w:rPr>
          <w:sz w:val="20"/>
          <w:szCs w:val="20"/>
          <w:color w:val="auto"/>
        </w:rPr>
      </w:pPr>
    </w:p>
    <w:p>
      <w:pPr>
        <w:ind w:right="420"/>
        <w:spacing w:after="0"/>
        <w:rPr>
          <w:sz w:val="20"/>
          <w:szCs w:val="20"/>
          <w:color w:val="auto"/>
        </w:rPr>
      </w:pPr>
      <w:r>
        <w:rPr>
          <w:rFonts w:ascii="Calibri" w:cs="Calibri" w:eastAsia="Calibri" w:hAnsi="Calibri"/>
          <w:sz w:val="20"/>
          <w:szCs w:val="20"/>
          <w:color w:val="auto"/>
        </w:rPr>
        <w:t>In additon to the fnancial results prepared in accordance with U.S. Generally Accepted Accountng Principles ("GAAP"), this press release contains the metric adjusted EBITDA, which is not calculated in accordance with GAAP and is a non-GAAP fnancial measure. Adjusted EBITDA excludes from net loss interest income (expense), income tax expense (beneft), depreciaton and amortzaton expense, and stock-based compensaton expense. Such items could have a signifcant impact on the calculaton of</w:t>
      </w:r>
    </w:p>
    <w:p>
      <w:pPr>
        <w:sectPr>
          <w:pgSz w:w="11900" w:h="16838" w:orient="portrait"/>
          <w:cols w:equalWidth="0" w:num="1">
            <w:col w:w="11240"/>
          </w:cols>
          <w:pgMar w:left="320" w:top="1440" w:right="339" w:bottom="1440" w:gutter="0" w:footer="0" w:header="0"/>
        </w:sectPr>
      </w:pPr>
    </w:p>
    <w:bookmarkStart w:id="4" w:name="page5"/>
    <w:bookmarkEnd w:id="4"/>
    <w:p>
      <w:pPr>
        <w:ind w:right="360"/>
        <w:spacing w:after="0" w:line="233" w:lineRule="auto"/>
        <w:rPr>
          <w:sz w:val="20"/>
          <w:szCs w:val="20"/>
          <w:color w:val="auto"/>
        </w:rPr>
      </w:pPr>
      <w:r>
        <w:rPr>
          <w:rFonts w:ascii="Calibri" w:cs="Calibri" w:eastAsia="Calibri" w:hAnsi="Calibri"/>
          <w:sz w:val="20"/>
          <w:szCs w:val="20"/>
          <w:color w:val="auto"/>
        </w:rPr>
        <w:t>GAAP net loss. The company is not able to provide a quanttatve reconciliaton of its full-year 2023 adjusted EBITDA guidance to net loss, the most directly comparable GAAP measure, and has not provided forward-looking guidance for net loss because of the uncertainty around certain items that may impact net loss that are not within its control or cannot be reasonably predicted without unreasonable efort.</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use adjusted EBITDA internally because we believe these metrics provide useful supplemental informaton in assessing our operatng performance reported in accordance with GAAP. We believe adjusted EBITDA may enhance an evaluaton of our operatng performance because it</w:t>
      </w:r>
    </w:p>
    <w:p>
      <w:pPr>
        <w:ind w:right="120"/>
        <w:spacing w:after="0" w:line="232" w:lineRule="auto"/>
        <w:rPr>
          <w:sz w:val="20"/>
          <w:szCs w:val="20"/>
          <w:color w:val="auto"/>
        </w:rPr>
      </w:pPr>
      <w:r>
        <w:rPr>
          <w:rFonts w:ascii="Calibri" w:cs="Calibri" w:eastAsia="Calibri" w:hAnsi="Calibri"/>
          <w:sz w:val="20"/>
          <w:szCs w:val="20"/>
          <w:color w:val="auto"/>
        </w:rPr>
        <w:t>excludes the impact of prior decisions made about capital investment, fnancing, investng and certain expenses we believe are not indicatve of our ongoing performance. However, this non-GAAP fnancial measure may be diferent from non-GAAP fnancial measures used by other companies, even when the same or similarly ttled terms are used to identfy such measures, limitng their usefulness for comparatve purposes. Accordingly, investors should not place undue reliance on non-GAAP fnancial measures.</w:t>
      </w:r>
    </w:p>
    <w:p>
      <w:pPr>
        <w:spacing w:after="0" w:line="253" w:lineRule="exact"/>
        <w:rPr>
          <w:sz w:val="20"/>
          <w:szCs w:val="20"/>
          <w:color w:val="auto"/>
        </w:rPr>
      </w:pPr>
    </w:p>
    <w:p>
      <w:pPr>
        <w:ind w:right="80"/>
        <w:spacing w:after="0" w:line="233" w:lineRule="auto"/>
        <w:rPr>
          <w:sz w:val="20"/>
          <w:szCs w:val="20"/>
          <w:color w:val="auto"/>
        </w:rPr>
      </w:pPr>
      <w:r>
        <w:rPr>
          <w:rFonts w:ascii="Calibri" w:cs="Calibri" w:eastAsia="Calibri" w:hAnsi="Calibri"/>
          <w:sz w:val="20"/>
          <w:szCs w:val="20"/>
          <w:color w:val="auto"/>
        </w:rPr>
        <w:t>This non-GAAP fnancial measure is not meant to be considered in isolaton or used as a substtute for net loss reported in accordance with GAAP, should be considered in conjuncton with our fnancial informaton presented in accordance with GAAP, has no standardized meaning prescribed by GAAP, is unaudited, and is not prepared under any comprehensive set of accountng rules or principles. In additon, from tme to tme in the future, there may be other items that we may exclude for purposes of this non-GAAP fnancial measure, and we may in the future cease to exclude items that we have historically excluded for purposes of this non-GAAP fnancial measure. Likewise, we may determine to modify the nature of adjustments to arrive at this non-GAAP fnancial measure.</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Exagen</w:t>
      </w:r>
    </w:p>
    <w:p>
      <w:pPr>
        <w:spacing w:after="0" w:line="252" w:lineRule="exact"/>
        <w:rPr>
          <w:sz w:val="20"/>
          <w:szCs w:val="20"/>
          <w:color w:val="auto"/>
        </w:rPr>
      </w:pPr>
    </w:p>
    <w:p>
      <w:pPr>
        <w:ind w:right="580"/>
        <w:spacing w:after="0" w:line="234" w:lineRule="auto"/>
        <w:rPr>
          <w:sz w:val="20"/>
          <w:szCs w:val="20"/>
          <w:color w:val="auto"/>
        </w:rPr>
      </w:pPr>
      <w:r>
        <w:rPr>
          <w:rFonts w:ascii="Calibri" w:cs="Calibri" w:eastAsia="Calibri" w:hAnsi="Calibri"/>
          <w:sz w:val="20"/>
          <w:szCs w:val="20"/>
          <w:color w:val="auto"/>
        </w:rPr>
        <w:t>Exagen is a leading provider of autoimmune testng and its purpose as an organizaton is to provide clarity in autoimmune disease decision making with the goal of improving patents’ clinical outcomes. Exagen is located in San Diego County, California.</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For more informaton, please visit Exagen.com or follow @ExagenInc on X (formerly known as Twiter).</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238" w:lineRule="exact"/>
        <w:rPr>
          <w:sz w:val="20"/>
          <w:szCs w:val="20"/>
          <w:color w:val="auto"/>
        </w:rPr>
      </w:pPr>
    </w:p>
    <w:p>
      <w:pPr>
        <w:ind w:right="40"/>
        <w:spacing w:after="0" w:line="219" w:lineRule="auto"/>
        <w:rPr>
          <w:sz w:val="20"/>
          <w:szCs w:val="20"/>
          <w:color w:val="auto"/>
        </w:rPr>
      </w:pPr>
      <w:r>
        <w:rPr>
          <w:rFonts w:ascii="Calibri" w:cs="Calibri" w:eastAsia="Calibri" w:hAnsi="Calibri"/>
          <w:sz w:val="20"/>
          <w:szCs w:val="20"/>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and ambitons; the potental utlity and efectveness of Exagen’s services and testng solutons; potental shareholder value and growth; preliminary fnancial informaton as of and for December 31, 2023; and guidance. The inclusion of forward-looking statements should not be regarded as a representaton by Exagen that any of its plans will be achieved. Actual results may difer from those set forth in this press release due to the risks and uncertaintes inherent in Exagen’s</w:t>
      </w:r>
    </w:p>
    <w:p>
      <w:pPr>
        <w:spacing w:after="0" w:line="40" w:lineRule="exact"/>
        <w:rPr>
          <w:sz w:val="20"/>
          <w:szCs w:val="20"/>
          <w:color w:val="auto"/>
        </w:rPr>
      </w:pPr>
    </w:p>
    <w:p>
      <w:pPr>
        <w:ind w:right="60"/>
        <w:spacing w:after="0" w:line="218" w:lineRule="auto"/>
        <w:rPr>
          <w:sz w:val="20"/>
          <w:szCs w:val="20"/>
          <w:color w:val="auto"/>
        </w:rPr>
      </w:pPr>
      <w:r>
        <w:rPr>
          <w:rFonts w:ascii="Calibri" w:cs="Calibri" w:eastAsia="Calibri" w:hAnsi="Calibri"/>
          <w:sz w:val="20"/>
          <w:szCs w:val="20"/>
          <w:color w:val="auto"/>
        </w:rPr>
        <w:t>business, including, without limitaton: delays in reimbursement and coverage decisions from Medicare and third-party payors and in interactons with regulatory authorites, and delays in ongoing and planned clinical trials involving its tests;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w:t>
      </w:r>
    </w:p>
    <w:p>
      <w:pPr>
        <w:sectPr>
          <w:pgSz w:w="11900" w:h="16838" w:orient="portrait"/>
          <w:cols w:equalWidth="0" w:num="1">
            <w:col w:w="11200"/>
          </w:cols>
          <w:pgMar w:left="320" w:top="1411" w:right="379" w:bottom="1440" w:gutter="0" w:footer="0" w:header="0"/>
        </w:sectPr>
      </w:pPr>
    </w:p>
    <w:bookmarkStart w:id="5" w:name="page6"/>
    <w:bookmarkEnd w:id="5"/>
    <w:p>
      <w:pPr>
        <w:spacing w:after="0" w:line="219" w:lineRule="auto"/>
        <w:rPr>
          <w:sz w:val="20"/>
          <w:szCs w:val="20"/>
          <w:color w:val="auto"/>
        </w:rPr>
      </w:pPr>
      <w:r>
        <w:rPr>
          <w:rFonts w:ascii="Calibri" w:cs="Calibri" w:eastAsia="Calibri" w:hAnsi="Calibri"/>
          <w:sz w:val="20"/>
          <w:szCs w:val="20"/>
          <w:color w:val="auto"/>
        </w:rPr>
        <w:t>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2022, fled with the SEC on March 20, 2023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238" w:lineRule="auto"/>
        <w:rPr>
          <w:sz w:val="20"/>
          <w:szCs w:val="20"/>
          <w:color w:val="auto"/>
        </w:rPr>
      </w:pPr>
      <w:r>
        <w:rPr>
          <w:rFonts w:ascii="Calibri" w:cs="Calibri" w:eastAsia="Calibri" w:hAnsi="Calibri"/>
          <w:sz w:val="20"/>
          <w:szCs w:val="20"/>
          <w:color w:val="auto"/>
        </w:rPr>
        <w:t>Ryan Douglas</w:t>
      </w:r>
    </w:p>
    <w:p>
      <w:pPr>
        <w:spacing w:after="0"/>
        <w:rPr>
          <w:sz w:val="20"/>
          <w:szCs w:val="20"/>
          <w:color w:val="auto"/>
        </w:rPr>
      </w:pPr>
      <w:r>
        <w:rPr>
          <w:rFonts w:ascii="Calibri" w:cs="Calibri" w:eastAsia="Calibri" w:hAnsi="Calibri"/>
          <w:sz w:val="20"/>
          <w:szCs w:val="20"/>
          <w:color w:val="auto"/>
        </w:rPr>
        <w:t>Exagen Inc.</w:t>
      </w:r>
    </w:p>
    <w:p>
      <w:pPr>
        <w:spacing w:after="0" w:line="225" w:lineRule="auto"/>
        <w:rPr>
          <w:sz w:val="20"/>
          <w:szCs w:val="20"/>
          <w:color w:val="auto"/>
        </w:rPr>
      </w:pPr>
      <w:r>
        <w:rPr>
          <w:rFonts w:ascii="Calibri" w:cs="Calibri" w:eastAsia="Calibri" w:hAnsi="Calibri"/>
          <w:sz w:val="20"/>
          <w:szCs w:val="20"/>
          <w:u w:val="single" w:color="auto"/>
          <w:color w:val="0563C1"/>
        </w:rPr>
        <w:t>ir@exagen.com</w:t>
      </w:r>
    </w:p>
    <w:p>
      <w:pPr>
        <w:spacing w:after="0"/>
        <w:rPr>
          <w:sz w:val="20"/>
          <w:szCs w:val="20"/>
          <w:color w:val="auto"/>
        </w:rPr>
      </w:pPr>
      <w:r>
        <w:rPr>
          <w:rFonts w:ascii="Calibri" w:cs="Calibri" w:eastAsia="Calibri" w:hAnsi="Calibri"/>
          <w:sz w:val="20"/>
          <w:szCs w:val="20"/>
          <w:color w:val="auto"/>
        </w:rPr>
        <w:t>760.560.1525</w:t>
      </w:r>
    </w:p>
    <w:sectPr>
      <w:pgSz w:w="11900" w:h="16838" w:orient="portrait"/>
      <w:cols w:equalWidth="0" w:num="1">
        <w:col w:w="11220"/>
      </w:cols>
      <w:pgMar w:left="320" w:top="139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2024-01-08T07:17:36Z</dcterms:created>
  <dcterms:modified xsi:type="dcterms:W3CDTF">2024-01-08T07:17:36Z</dcterms:modified>
</cp:coreProperties>
</file>