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7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280" w:type="dxa"/>
            <w:vAlign w:val="bottom"/>
            <w:gridSpan w:val="3"/>
          </w:tcPr>
          <w:p>
            <w:pPr>
              <w:ind w:left="80"/>
              <w:spacing w:after="0"/>
              <w:rPr>
                <w:sz w:val="20"/>
                <w:szCs w:val="20"/>
                <w:color w:val="auto"/>
              </w:rPr>
            </w:pPr>
            <w:r>
              <w:rPr>
                <w:rFonts w:ascii="Arial" w:cs="Arial" w:eastAsia="Arial" w:hAnsi="Arial"/>
                <w:sz w:val="17"/>
                <w:szCs w:val="17"/>
                <w:color w:val="0000FF"/>
              </w:rPr>
              <w:t>08/02/2021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gridSpan w:val="3"/>
          </w:tcPr>
          <w:p>
            <w:pPr>
              <w:spacing w:after="0"/>
              <w:rPr>
                <w:sz w:val="12"/>
                <w:szCs w:val="12"/>
                <w:color w:val="auto"/>
              </w:rPr>
            </w:pPr>
          </w:p>
        </w:tc>
        <w:tc>
          <w:tcPr>
            <w:tcW w:w="240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33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4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08/02/2021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right"/>
              <w:ind w:right="189"/>
              <w:spacing w:after="0"/>
              <w:rPr>
                <w:sz w:val="20"/>
                <w:szCs w:val="20"/>
                <w:color w:val="auto"/>
              </w:rPr>
            </w:pPr>
            <w:r>
              <w:rPr>
                <w:rFonts w:ascii="Arial" w:cs="Arial" w:eastAsia="Arial" w:hAnsi="Arial"/>
                <w:sz w:val="17"/>
                <w:szCs w:val="17"/>
                <w:color w:val="0000FF"/>
              </w:rPr>
              <w:t>1,800</w:t>
            </w:r>
          </w:p>
        </w:tc>
        <w:tc>
          <w:tcPr>
            <w:tcW w:w="80" w:type="dxa"/>
            <w:vAlign w:val="bottom"/>
          </w:tcPr>
          <w:p>
            <w:pPr>
              <w:spacing w:after="0"/>
              <w:rPr>
                <w:sz w:val="22"/>
                <w:szCs w:val="22"/>
                <w:color w:val="auto"/>
              </w:rPr>
            </w:pPr>
          </w:p>
        </w:tc>
        <w:tc>
          <w:tcPr>
            <w:tcW w:w="380" w:type="dxa"/>
            <w:vAlign w:val="bottom"/>
            <w:vMerge w:val="restart"/>
          </w:tcPr>
          <w:p>
            <w:pPr>
              <w:jc w:val="center"/>
              <w:ind w:right="133"/>
              <w:spacing w:after="0"/>
              <w:rPr>
                <w:sz w:val="20"/>
                <w:szCs w:val="20"/>
                <w:color w:val="auto"/>
              </w:rPr>
            </w:pPr>
            <w:r>
              <w:rPr>
                <w:rFonts w:ascii="Arial" w:cs="Arial" w:eastAsia="Arial" w:hAnsi="Arial"/>
                <w:sz w:val="17"/>
                <w:szCs w:val="17"/>
                <w:color w:val="0000FF"/>
              </w:rPr>
              <w:t>D</w:t>
            </w:r>
          </w:p>
        </w:tc>
        <w:tc>
          <w:tcPr>
            <w:tcW w:w="860" w:type="dxa"/>
            <w:vAlign w:val="bottom"/>
            <w:gridSpan w:val="5"/>
            <w:vMerge w:val="restart"/>
          </w:tcPr>
          <w:p>
            <w:pPr>
              <w:ind w:left="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11.9191</w:t>
            </w:r>
            <w:r>
              <w:rPr>
                <w:rFonts w:ascii="Arial" w:cs="Arial" w:eastAsia="Arial" w:hAnsi="Arial"/>
                <w:sz w:val="22"/>
                <w:szCs w:val="22"/>
                <w:color w:val="008000"/>
                <w:w w:val="92"/>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1,528,872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08/03/2021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right"/>
              <w:ind w:right="189"/>
              <w:spacing w:after="0"/>
              <w:rPr>
                <w:sz w:val="20"/>
                <w:szCs w:val="20"/>
                <w:color w:val="auto"/>
              </w:rPr>
            </w:pPr>
            <w:r>
              <w:rPr>
                <w:rFonts w:ascii="Arial" w:cs="Arial" w:eastAsia="Arial" w:hAnsi="Arial"/>
                <w:sz w:val="17"/>
                <w:szCs w:val="17"/>
                <w:color w:val="0000FF"/>
              </w:rPr>
              <w:t>4,300</w:t>
            </w:r>
          </w:p>
        </w:tc>
        <w:tc>
          <w:tcPr>
            <w:tcW w:w="80" w:type="dxa"/>
            <w:vAlign w:val="bottom"/>
          </w:tcPr>
          <w:p>
            <w:pPr>
              <w:spacing w:after="0"/>
              <w:rPr>
                <w:sz w:val="22"/>
                <w:szCs w:val="22"/>
                <w:color w:val="auto"/>
              </w:rPr>
            </w:pPr>
          </w:p>
        </w:tc>
        <w:tc>
          <w:tcPr>
            <w:tcW w:w="380" w:type="dxa"/>
            <w:vAlign w:val="bottom"/>
            <w:vMerge w:val="restart"/>
          </w:tcPr>
          <w:p>
            <w:pPr>
              <w:jc w:val="center"/>
              <w:ind w:right="133"/>
              <w:spacing w:after="0"/>
              <w:rPr>
                <w:sz w:val="20"/>
                <w:szCs w:val="20"/>
                <w:color w:val="auto"/>
              </w:rPr>
            </w:pPr>
            <w:r>
              <w:rPr>
                <w:rFonts w:ascii="Arial" w:cs="Arial" w:eastAsia="Arial" w:hAnsi="Arial"/>
                <w:sz w:val="17"/>
                <w:szCs w:val="17"/>
                <w:color w:val="0000FF"/>
              </w:rPr>
              <w:t>D</w:t>
            </w:r>
          </w:p>
        </w:tc>
        <w:tc>
          <w:tcPr>
            <w:tcW w:w="860" w:type="dxa"/>
            <w:vAlign w:val="bottom"/>
            <w:gridSpan w:val="5"/>
            <w:vMerge w:val="restart"/>
          </w:tcPr>
          <w:p>
            <w:pPr>
              <w:ind w:left="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11.7716</w:t>
            </w:r>
            <w:r>
              <w:rPr>
                <w:rFonts w:ascii="Arial" w:cs="Arial" w:eastAsia="Arial" w:hAnsi="Arial"/>
                <w:sz w:val="22"/>
                <w:szCs w:val="22"/>
                <w:color w:val="008000"/>
                <w:w w:val="92"/>
                <w:vertAlign w:val="superscript"/>
              </w:rPr>
              <w:t>(3)</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1,524,572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08/04/2021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right"/>
              <w:ind w:right="189"/>
              <w:spacing w:after="0"/>
              <w:rPr>
                <w:sz w:val="20"/>
                <w:szCs w:val="20"/>
                <w:color w:val="auto"/>
              </w:rPr>
            </w:pPr>
            <w:r>
              <w:rPr>
                <w:rFonts w:ascii="Arial" w:cs="Arial" w:eastAsia="Arial" w:hAnsi="Arial"/>
                <w:sz w:val="17"/>
                <w:szCs w:val="17"/>
                <w:color w:val="0000FF"/>
              </w:rPr>
              <w:t>2,100</w:t>
            </w:r>
          </w:p>
        </w:tc>
        <w:tc>
          <w:tcPr>
            <w:tcW w:w="80" w:type="dxa"/>
            <w:vAlign w:val="bottom"/>
          </w:tcPr>
          <w:p>
            <w:pPr>
              <w:spacing w:after="0"/>
              <w:rPr>
                <w:sz w:val="22"/>
                <w:szCs w:val="22"/>
                <w:color w:val="auto"/>
              </w:rPr>
            </w:pPr>
          </w:p>
        </w:tc>
        <w:tc>
          <w:tcPr>
            <w:tcW w:w="380" w:type="dxa"/>
            <w:vAlign w:val="bottom"/>
            <w:vMerge w:val="restart"/>
          </w:tcPr>
          <w:p>
            <w:pPr>
              <w:jc w:val="center"/>
              <w:ind w:right="133"/>
              <w:spacing w:after="0"/>
              <w:rPr>
                <w:sz w:val="20"/>
                <w:szCs w:val="20"/>
                <w:color w:val="auto"/>
              </w:rPr>
            </w:pPr>
            <w:r>
              <w:rPr>
                <w:rFonts w:ascii="Arial" w:cs="Arial" w:eastAsia="Arial" w:hAnsi="Arial"/>
                <w:sz w:val="17"/>
                <w:szCs w:val="17"/>
                <w:color w:val="0000FF"/>
              </w:rPr>
              <w:t>D</w:t>
            </w:r>
          </w:p>
        </w:tc>
        <w:tc>
          <w:tcPr>
            <w:tcW w:w="860" w:type="dxa"/>
            <w:vAlign w:val="bottom"/>
            <w:gridSpan w:val="5"/>
            <w:vMerge w:val="restart"/>
          </w:tcPr>
          <w:p>
            <w:pPr>
              <w:ind w:left="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11.3891</w:t>
            </w:r>
            <w:r>
              <w:rPr>
                <w:rFonts w:ascii="Arial" w:cs="Arial" w:eastAsia="Arial" w:hAnsi="Arial"/>
                <w:sz w:val="22"/>
                <w:szCs w:val="22"/>
                <w:color w:val="008000"/>
                <w:w w:val="92"/>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1,522,472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21,348</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1,431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3"/>
              </w:rPr>
              <w:t>4,537</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8"/>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sales were effected by Tullis Growth Fund, L.P. ("Tullis Growth") pursuant to a Rule 10b5-1 trading plan adopted on March 24,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$11.68 to $12.11,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$11.65 to $12.07,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$11.26 to $11.61,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 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08/04/2021</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2021-08-04T18:52:45Z</dcterms:created>
  <dcterms:modified xsi:type="dcterms:W3CDTF">2021-08-04T18:52:45Z</dcterms:modified>
</cp:coreProperties>
</file>