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0995204.xml.htm"/>
      <w:bookmarkStart w:id="1" w:name="kswkform4_17609952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ABALLI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EXAGEN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1261 LIBERTY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VISTA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EXAGEN INC.</w:t>
              </w:r>
            </w:hyperlink>
            <w:r>
              <w:rPr/>
              <w:t xml:space="preserve"> [ </w:t>
            </w:r>
            <w:r>
              <w:rPr>
                <w:rFonts w:ascii="Times;serif" w:hAnsi="Times;serif"/>
                <w:color w:val="0000FF"/>
                <w:sz w:val="24"/>
                <w:shd w:fill="FFFFFF" w:val="clear"/>
              </w:rPr>
              <w:t>XGN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19"/>
        <w:gridCol w:w="443"/>
        <w:gridCol w:w="924"/>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31,787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11.8161</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714,427</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40,401</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sold by the Reporting Person to cover tax withholding obligations in connection with the vesting and settlement of Restricted Stock Units ("RSUs"). The sale is mandated by the Issuer's satisfaction of tax withholding obligations to be funded by a "sell to cover" transaction and does not represent a discretionary transaction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G. Black,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3113" TargetMode="External"/><Relationship Id="rId5" Type="http://schemas.openxmlformats.org/officeDocument/2006/relationships/hyperlink" Target="http://www.sec.gov/cgi-bin/browse-edgar?action=getcompany&amp;CIK=00012747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633</Words>
  <Characters>3423</Characters>
  <CharactersWithSpaces>3991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