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filed with the Securities and Exchange Commission on November 17, 2023</w:t>
      </w:r>
    </w:p>
    <w:p>
      <w:pPr>
        <w:pStyle w:val="TextBody"/>
        <w:bidi w:val="0"/>
        <w:spacing w:lineRule="auto" w:line="288" w:before="0" w:after="60"/>
        <w:jc w:val="right"/>
        <w:rPr>
          <w:rFonts w:ascii="Times New Roman;sans-serif" w:hAnsi="Times New Roman;sans-serif"/>
          <w:b/>
          <w:color w:val="000000"/>
          <w:sz w:val="18"/>
        </w:rPr>
      </w:pPr>
      <w:r>
        <w:rPr>
          <w:rFonts w:ascii="Times New Roman;sans-serif" w:hAnsi="Times New Roman;sans-serif"/>
          <w:b/>
          <w:color w:val="000000"/>
          <w:sz w:val="18"/>
        </w:rPr>
        <w:t>Registration Statement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FORM S-3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REGISTRATION STATEMENT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Under</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EXAGEN INC.</w:t>
      </w:r>
    </w:p>
    <w:p>
      <w:pPr>
        <w:pStyle w:val="TextBody"/>
        <w:bidi w:val="0"/>
        <w:spacing w:lineRule="auto" w:line="288" w:before="0" w:after="6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27" w:type="dxa"/>
        <w:jc w:val="left"/>
        <w:tblInd w:w="0" w:type="dxa"/>
        <w:tblLayout w:type="fixed"/>
        <w:tblCellMar>
          <w:top w:w="28" w:type="dxa"/>
          <w:left w:w="28" w:type="dxa"/>
          <w:bottom w:w="28" w:type="dxa"/>
          <w:right w:w="28" w:type="dxa"/>
        </w:tblCellMar>
      </w:tblPr>
      <w:tblGrid>
        <w:gridCol w:w="677"/>
        <w:gridCol w:w="595"/>
        <w:gridCol w:w="602"/>
        <w:gridCol w:w="109"/>
        <w:gridCol w:w="109"/>
        <w:gridCol w:w="109"/>
        <w:gridCol w:w="587"/>
        <w:gridCol w:w="587"/>
        <w:gridCol w:w="595"/>
        <w:gridCol w:w="109"/>
        <w:gridCol w:w="109"/>
        <w:gridCol w:w="109"/>
        <w:gridCol w:w="710"/>
        <w:gridCol w:w="710"/>
        <w:gridCol w:w="1010"/>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20-0434866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(Primary Standard Industrial </w:t>
              <w:b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 Identification Number)</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1261 Liberty Way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Vista, California 92081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(760) 560-1501</w:t>
      </w:r>
    </w:p>
    <w:p>
      <w:pPr>
        <w:pStyle w:val="TextBody"/>
        <w:bidi w:val="0"/>
        <w:spacing w:lineRule="auto" w:line="288" w:before="0" w:after="60"/>
        <w:jc w:val="center"/>
        <w:rPr>
          <w:rFonts w:ascii="Times New Roman;sans-serif" w:hAnsi="Times New Roman;sans-serif"/>
          <w:b w:val="false"/>
          <w:color w:val="000000"/>
          <w:sz w:val="14"/>
        </w:rPr>
      </w:pPr>
      <w:r>
        <w:rPr>
          <w:rFonts w:ascii="Times New Roman;sans-serif" w:hAnsi="Times New Roman;sans-serif"/>
          <w:b w:val="false"/>
          <w:color w:val="000000"/>
          <w:sz w:val="14"/>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John Aballi</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Exagen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1261 Liberty Way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Vista, California 92081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(760) 560-1501</w:t>
      </w:r>
    </w:p>
    <w:p>
      <w:pPr>
        <w:pStyle w:val="TextBody"/>
        <w:bidi w:val="0"/>
        <w:spacing w:lineRule="auto" w:line="288" w:before="0" w:after="60"/>
        <w:jc w:val="center"/>
        <w:rPr>
          <w:rFonts w:ascii="Times New Roman;sans-serif" w:hAnsi="Times New Roman;sans-serif"/>
          <w:b w:val="false"/>
          <w:color w:val="000000"/>
          <w:sz w:val="14"/>
        </w:rPr>
      </w:pPr>
      <w:r>
        <w:rPr>
          <w:rFonts w:ascii="Times New Roman;sans-serif" w:hAnsi="Times New Roman;sans-serif"/>
          <w:b w:val="false"/>
          <w:color w:val="000000"/>
          <w:sz w:val="14"/>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Copies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Scott M. Stanton, Esq.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Melanie Ruthrauff Levy, Esq.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Jason Miller, Esq.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Mintz, Levin, Cohn, Ferris, Glovsky and Popeo, P.C.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Diego, CA 92130</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Tel: (858) 314-1500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ans-serif" w:hAnsi="Times New Roman;sans-serif"/>
          <w:b/>
          <w:color w:val="000000"/>
          <w:sz w:val="18"/>
        </w:rPr>
        <w:t xml:space="preserve">Approximate Date of Commencement of Proposed Sale to the Public: </w:t>
      </w:r>
      <w:r>
        <w:rPr>
          <w:rFonts w:ascii="Times New Roman;sans-serif" w:hAnsi="Times New Roman;sans-serif"/>
          <w:b w:val="false"/>
          <w:color w:val="000000"/>
          <w:sz w:val="18"/>
        </w:rPr>
        <w:t>From time to time after the effective date of this registration statement.</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If the only securities being registered on this Form are being offered pursuant to dividend or interest reinvestment plans, please check the following box.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If this Form is a registration statement pursuant to General Instruction I.D. or a post-effective amendment thereto that shall become effective on filing with the Commission pursuant to Rule 462(e) under the Securities Act, check the following box.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180"/>
        <w:jc w:val="both"/>
        <w:rPr/>
      </w:pPr>
      <w:r>
        <w:rPr>
          <w:rFonts w:ascii="Times New Roman;sans-serif" w:hAnsi="Times New Roman;sans-serif"/>
          <w:b w:val="false"/>
          <w:color w:val="000000"/>
          <w:sz w:val="20"/>
          <w:shd w:fill="FFFFFF" w:val="clear"/>
        </w:rPr>
        <w:t>We currently have an existing shelf registration statement on Form S-3, File No. 333-250015, which initially became effective on November 19, 2020, or the Prior Registration Statement. The Prior Registration Statement expires on November 19, 2023 pursuant to Rule 415(a)(5) under the Securities Act of 1933, as amended. One of the offerings registered under the Prior Registration Statement is the offering of our common stock under a sales agreement, dated as of September 15, 2022, or the Sales Agreement, we entered into w</w:t>
      </w:r>
      <w:r>
        <w:rPr>
          <w:rFonts w:ascii="Times New Roman;sans-serif" w:hAnsi="Times New Roman;sans-serif"/>
          <w:b w:val="false"/>
          <w:color w:val="000000"/>
          <w:sz w:val="20"/>
        </w:rPr>
        <w:t xml:space="preserve">ith Cowen and Company, LLC, or TD Cowen, as sales agent. In accordance with the terms of the Sales Agreement, </w:t>
      </w:r>
      <w:r>
        <w:rPr>
          <w:rFonts w:ascii="Times New Roman;sans-serif" w:hAnsi="Times New Roman;sans-serif"/>
          <w:b w:val="false"/>
          <w:color w:val="000000"/>
          <w:sz w:val="20"/>
          <w:shd w:fill="FFFFFF" w:val="clear"/>
        </w:rPr>
        <w:t>we may offer and sell our common stock having an aggregate offering price of up to $50.0 million from time to time through TD Cowen, acting as sales agent. As of the date of this prospectus, we had issued and sold no shares of common stock pursuant to the Sales Agreement under the Prior Registration Statement, which results in up to $50.0 million of shares of our common stock that may be sold under the Sales Agreement. On or about the date hereof, we are entering into an amendment to the Sale Agreement that will become effective once or before this registration statement is declared effective by the Securities and Exchange Commission.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this registration statement contains: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base prospectus which covers the offering, issuance and sale by us of up to $150.0 million in the aggregate of the securities identified above from time to time in one or more offerings;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sales agreement prospectus covering the offering, issuance and sale by us of up to a maximum aggregate offering price of </w:t>
      </w:r>
      <w:r>
        <w:rPr>
          <w:rFonts w:ascii="Times New Roman;sans-serif" w:hAnsi="Times New Roman;sans-serif"/>
          <w:b w:val="false"/>
          <w:color w:val="000000"/>
          <w:sz w:val="20"/>
          <w:shd w:fill="FFFFFF" w:val="clear"/>
        </w:rPr>
        <w:t>$10.8 million</w:t>
      </w:r>
      <w:r>
        <w:rPr>
          <w:color w:val="000000"/>
        </w:rPr>
        <w:t xml:space="preserve"> </w:t>
      </w:r>
      <w:r>
        <w:rPr>
          <w:rFonts w:ascii="Times New Roman;sans-serif" w:hAnsi="Times New Roman;sans-serif"/>
          <w:b w:val="false"/>
          <w:color w:val="000000"/>
          <w:sz w:val="20"/>
        </w:rPr>
        <w:t>of shares of our common stock that may be issued and sold from time to time under the Sales Agreement.</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Sales Agreement are specified in the sales agreement prospectus that immediately follows the base prospectus. The $10.8 million of shares of common stock that may be offered, issued and sold under the sales agreement prospectus is included in the $150.0 million of securities that may be offered, issued and sold by us under the base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F1665F"/>
          <w:sz w:val="20"/>
        </w:rPr>
      </w:pPr>
      <w:r>
        <w:rPr>
          <w:rFonts w:ascii="Times New Roman;sans-serif" w:hAnsi="Times New Roman;sans-serif"/>
          <w:b/>
          <w:color w:val="F1665F"/>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lineRule="auto" w:line="288" w:before="0" w:after="180"/>
        <w:jc w:val="center"/>
        <w:rPr>
          <w:rFonts w:ascii="Times New Roman;sans-serif" w:hAnsi="Times New Roman;sans-serif"/>
          <w:b/>
          <w:color w:val="F1665F"/>
          <w:sz w:val="20"/>
        </w:rPr>
      </w:pPr>
      <w:r>
        <w:rPr>
          <w:rFonts w:ascii="Times New Roman;sans-serif" w:hAnsi="Times New Roman;sans-serif"/>
          <w:b/>
          <w:color w:val="F1665F"/>
          <w:sz w:val="20"/>
        </w:rPr>
        <w:t>Subject to Completion, dated November 17, 2023</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$150,000,000</w:t>
      </w:r>
    </w:p>
    <w:p>
      <w:pPr>
        <w:pStyle w:val="TextBody"/>
        <w:bidi w:val="0"/>
        <w:spacing w:before="0" w:after="180"/>
        <w:jc w:val="center"/>
        <w:rPr/>
      </w:pPr>
      <w:r>
        <w:rPr/>
        <w:drawing>
          <wp:inline distT="0" distB="0" distL="0" distR="0">
            <wp:extent cx="2514600" cy="9239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514600" cy="923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Common Stock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Preferred Stock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Debt Securities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Warrants </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offer and sell up to $150 million in the aggregate of the securities identified above from time to time in one or more offerings. This prospectus provides you with a general description of the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describes the general terms of these securities and the general manner in which these securities will be offered.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bidi w:val="0"/>
        <w:spacing w:lineRule="auto" w:line="288" w:before="0" w:after="180"/>
        <w:jc w:val="both"/>
        <w:rPr/>
      </w:pPr>
      <w:r>
        <w:rPr>
          <w:rFonts w:ascii="Times New Roman;sans-serif" w:hAnsi="Times New Roman;sans-serif"/>
          <w:b/>
          <w:color w:val="000000"/>
          <w:sz w:val="20"/>
        </w:rPr>
        <w:t>INVESTING IN OUR SECURITIES INVOLVES RISKS. SEE THE “</w:t>
      </w:r>
      <w:hyperlink w:anchor="i9a35f4873915467686bcf9a0633daf14_226">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 xml:space="preserve">ON PAGE </w:t>
      </w:r>
      <w:hyperlink w:anchor="i9a35f4873915467686bcf9a0633daf14_226">
        <w:r>
          <w:rPr>
            <w:rStyle w:val="InternetLink"/>
            <w:rFonts w:ascii="Times New Roman;sans-serif" w:hAnsi="Times New Roman;sans-serif"/>
            <w:b/>
            <w:color w:val="0000FF"/>
            <w:sz w:val="20"/>
            <w:u w:val="single"/>
          </w:rPr>
          <w:t>4</w:t>
        </w:r>
      </w:hyperlink>
      <w:r>
        <w:rPr>
          <w:color w:val="000000"/>
        </w:rPr>
        <w:t xml:space="preserve"> </w:t>
      </w:r>
      <w:r>
        <w:rPr>
          <w:rFonts w:ascii="Times New Roman;sans-serif" w:hAnsi="Times New Roman;sans-serif"/>
          <w:b/>
          <w:color w:val="000000"/>
          <w:sz w:val="20"/>
        </w:rPr>
        <w:t>OF THIS PROSPECTUS AND ANY SIMILAR SECTION CONTAINED IN THE APPLICABLE PROSPECTUS SUPPLEMENT CONCERNING FACTORS YOU SHOULD CONSIDER BEFORE INVESTING IN OUR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“XGN.” On November 16, 2023, the last reported sale price of our common stock on The Nasdaq Global Market was $1.60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$32.5 million, which was calculated based on 12,832,888 shares of our common stock outstanding held by non-affiliates and a price of $2.53 per share, the closing price of our common stock on September 27, 2023, which is the highest closing sale price of our common stock on Nasdaq Global Market within the prior 60 days. As of the date of this prospectus, we have not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854" w:type="dxa"/>
        <w:jc w:val="center"/>
        <w:tblInd w:w="0" w:type="dxa"/>
        <w:tblLayout w:type="fixed"/>
        <w:tblCellMar>
          <w:top w:w="28" w:type="dxa"/>
          <w:left w:w="28" w:type="dxa"/>
          <w:bottom w:w="28" w:type="dxa"/>
          <w:right w:w="28" w:type="dxa"/>
        </w:tblCellMar>
      </w:tblPr>
      <w:tblGrid>
        <w:gridCol w:w="2291"/>
        <w:gridCol w:w="2014"/>
        <w:gridCol w:w="2024"/>
        <w:gridCol w:w="153"/>
        <w:gridCol w:w="153"/>
        <w:gridCol w:w="219"/>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173">
              <w:r>
                <w:rPr>
                  <w:rStyle w:val="InternetLink"/>
                  <w:rFonts w:ascii="Times New Roman;sans-serif" w:hAnsi="Times New Roman;sans-serif"/>
                  <w:b w:val="false"/>
                  <w:color w:val="0000FF"/>
                  <w:sz w:val="20"/>
                  <w:u w:val="single"/>
                </w:rPr>
                <w:t>ABOUT THIS PROSPECTUS</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a35f4873915467686bcf9a0633daf14_173">
              <w:r>
                <w:rPr>
                  <w:rStyle w:val="InternetLink"/>
                  <w:rFonts w:ascii="Times New Roman;sans-serif" w:hAnsi="Times New Roman;sans-serif"/>
                  <w:b w:val="false"/>
                  <w:color w:val="0000FF"/>
                  <w:sz w:val="20"/>
                  <w:u w:val="single"/>
                </w:rPr>
                <w:t>1</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204">
              <w:r>
                <w:rPr>
                  <w:rStyle w:val="InternetLink"/>
                  <w:rFonts w:ascii="Times New Roman;sans-serif" w:hAnsi="Times New Roman;sans-serif"/>
                  <w:b w:val="false"/>
                  <w:color w:val="0000FF"/>
                  <w:sz w:val="20"/>
                  <w:u w:val="single"/>
                </w:rPr>
                <w:t>PROSPECTUS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204">
              <w:r>
                <w:rPr>
                  <w:rStyle w:val="InternetLink"/>
                  <w:rFonts w:ascii="Times New Roman;sans-serif" w:hAnsi="Times New Roman;sans-serif"/>
                  <w:b w:val="false"/>
                  <w:color w:val="0000FF"/>
                  <w:sz w:val="20"/>
                  <w:u w:val="single"/>
                </w:rPr>
                <w:t>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226">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226">
              <w:r>
                <w:rPr>
                  <w:rStyle w:val="InternetLink"/>
                  <w:rFonts w:ascii="Times New Roman;sans-serif" w:hAnsi="Times New Roman;sans-serif"/>
                  <w:b w:val="false"/>
                  <w:color w:val="0000FF"/>
                  <w:sz w:val="20"/>
                  <w:u w:val="single"/>
                </w:rPr>
                <w:t>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253">
              <w:r>
                <w:rPr>
                  <w:rStyle w:val="InternetLink"/>
                  <w:rFonts w:ascii="Times New Roman;sans-serif" w:hAnsi="Times New Roman;sans-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253">
              <w:r>
                <w:rPr>
                  <w:rStyle w:val="InternetLink"/>
                  <w:rFonts w:ascii="Times New Roman;sans-serif" w:hAnsi="Times New Roman;sans-serif"/>
                  <w:b w:val="false"/>
                  <w:color w:val="0000FF"/>
                  <w:sz w:val="20"/>
                  <w:u w:val="single"/>
                </w:rPr>
                <w:t>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274">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274">
              <w:r>
                <w:rPr>
                  <w:rStyle w:val="InternetLink"/>
                  <w:rFonts w:ascii="Times New Roman;sans-serif" w:hAnsi="Times New Roman;sans-serif"/>
                  <w:b w:val="false"/>
                  <w:color w:val="0000FF"/>
                  <w:sz w:val="20"/>
                  <w:u w:val="single"/>
                </w:rPr>
                <w:t>7</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294">
              <w:r>
                <w:rPr>
                  <w:rStyle w:val="InternetLink"/>
                  <w:rFonts w:ascii="Times New Roman;sans-serif" w:hAnsi="Times New Roman;sans-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294">
              <w:r>
                <w:rPr>
                  <w:rStyle w:val="InternetLink"/>
                  <w:rFonts w:ascii="Times New Roman;sans-serif" w:hAnsi="Times New Roman;sans-serif"/>
                  <w:b w:val="false"/>
                  <w:color w:val="0000FF"/>
                  <w:sz w:val="20"/>
                  <w:u w:val="single"/>
                </w:rPr>
                <w:t>8</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315">
              <w:r>
                <w:rPr>
                  <w:rStyle w:val="InternetLink"/>
                  <w:rFonts w:ascii="Times New Roman;sans-serif" w:hAnsi="Times New Roman;sans-serif"/>
                  <w:b w:val="false"/>
                  <w:color w:val="0000FF"/>
                  <w:sz w:val="20"/>
                  <w:u w:val="single"/>
                </w:rPr>
                <w:t>DESCRIPTION OF CAPITAL STOCK</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315">
              <w:r>
                <w:rPr>
                  <w:rStyle w:val="InternetLink"/>
                  <w:rFonts w:ascii="Times New Roman;sans-serif" w:hAnsi="Times New Roman;sans-serif"/>
                  <w:b w:val="false"/>
                  <w:color w:val="0000FF"/>
                  <w:sz w:val="20"/>
                  <w:u w:val="single"/>
                </w:rPr>
                <w:t>9</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335">
              <w:r>
                <w:rPr>
                  <w:rStyle w:val="InternetLink"/>
                  <w:rFonts w:ascii="Times New Roman;sans-serif" w:hAnsi="Times New Roman;sans-serif"/>
                  <w:b w:val="false"/>
                  <w:color w:val="0000FF"/>
                  <w:sz w:val="20"/>
                  <w:u w:val="single"/>
                </w:rPr>
                <w:t>DESCRIPTION OF DEBT SECURITIES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335">
              <w:r>
                <w:rPr>
                  <w:rStyle w:val="InternetLink"/>
                  <w:rFonts w:ascii="Times New Roman;sans-serif" w:hAnsi="Times New Roman;sans-serif"/>
                  <w:b w:val="false"/>
                  <w:color w:val="0000FF"/>
                  <w:sz w:val="20"/>
                  <w:u w:val="single"/>
                </w:rPr>
                <w:t>14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355">
              <w:r>
                <w:rPr>
                  <w:rStyle w:val="InternetLink"/>
                  <w:rFonts w:ascii="Times New Roman;sans-serif" w:hAnsi="Times New Roman;sans-serif"/>
                  <w:b w:val="false"/>
                  <w:color w:val="0000FF"/>
                  <w:sz w:val="20"/>
                  <w:u w:val="single"/>
                </w:rPr>
                <w:t>DESCRIPTION OF WARRANTS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355">
              <w:r>
                <w:rPr>
                  <w:rStyle w:val="InternetLink"/>
                  <w:rFonts w:ascii="Times New Roman;sans-serif" w:hAnsi="Times New Roman;sans-serif"/>
                  <w:b w:val="false"/>
                  <w:color w:val="0000FF"/>
                  <w:sz w:val="20"/>
                  <w:u w:val="single"/>
                </w:rPr>
                <w:t>22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375">
              <w:r>
                <w:rPr>
                  <w:rStyle w:val="InternetLink"/>
                  <w:rFonts w:ascii="Times New Roman;sans-serif" w:hAnsi="Times New Roman;sans-serif"/>
                  <w:b w:val="false"/>
                  <w:color w:val="0000FF"/>
                  <w:sz w:val="20"/>
                  <w:u w:val="single"/>
                </w:rPr>
                <w:t>DESCRIPTION OF UNITS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375">
              <w:r>
                <w:rPr>
                  <w:rStyle w:val="InternetLink"/>
                  <w:rFonts w:ascii="Times New Roman;sans-serif" w:hAnsi="Times New Roman;sans-serif"/>
                  <w:b w:val="false"/>
                  <w:color w:val="0000FF"/>
                  <w:sz w:val="20"/>
                  <w:u w:val="single"/>
                </w:rPr>
                <w:t>24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395">
              <w:r>
                <w:rPr>
                  <w:rStyle w:val="InternetLink"/>
                  <w:rFonts w:ascii="Times New Roman;sans-serif" w:hAnsi="Times New Roman;sans-serif"/>
                  <w:b w:val="false"/>
                  <w:color w:val="0000FF"/>
                  <w:sz w:val="20"/>
                  <w:u w:val="single"/>
                </w:rPr>
                <w:t>GLOBAL SECURITIES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395">
              <w:r>
                <w:rPr>
                  <w:rStyle w:val="InternetLink"/>
                  <w:rFonts w:ascii="Times New Roman;sans-serif" w:hAnsi="Times New Roman;sans-serif"/>
                  <w:b w:val="false"/>
                  <w:color w:val="0000FF"/>
                  <w:sz w:val="20"/>
                  <w:u w:val="single"/>
                </w:rPr>
                <w:t>26</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415">
              <w:r>
                <w:rPr>
                  <w:rStyle w:val="InternetLink"/>
                  <w:rFonts w:ascii="Times New Roman;sans-serif" w:hAnsi="Times New Roman;sans-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415">
              <w:r>
                <w:rPr>
                  <w:rStyle w:val="InternetLink"/>
                  <w:rFonts w:ascii="Times New Roman;sans-serif" w:hAnsi="Times New Roman;sans-serif"/>
                  <w:b w:val="false"/>
                  <w:color w:val="0000FF"/>
                  <w:sz w:val="20"/>
                  <w:u w:val="single"/>
                </w:rPr>
                <w:t>30</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435">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435">
              <w:r>
                <w:rPr>
                  <w:rStyle w:val="InternetLink"/>
                  <w:rFonts w:ascii="Times New Roman;sans-serif" w:hAnsi="Times New Roman;sans-serif"/>
                  <w:b w:val="false"/>
                  <w:color w:val="0000FF"/>
                  <w:sz w:val="20"/>
                  <w:u w:val="single"/>
                </w:rPr>
                <w:t>32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455">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455">
              <w:r>
                <w:rPr>
                  <w:rStyle w:val="InternetLink"/>
                  <w:rFonts w:ascii="Times New Roman;sans-serif" w:hAnsi="Times New Roman;sans-serif"/>
                  <w:b w:val="false"/>
                  <w:color w:val="0000FF"/>
                  <w:sz w:val="20"/>
                  <w:u w:val="single"/>
                </w:rPr>
                <w:t>32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475">
              <w:r>
                <w:rPr>
                  <w:rStyle w:val="InternetLink"/>
                  <w:rFonts w:ascii="Times New Roman;sans-serif" w:hAnsi="Times New Roman;sans-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475">
              <w:r>
                <w:rPr>
                  <w:rStyle w:val="InternetLink"/>
                  <w:rFonts w:ascii="Times New Roman;sans-serif" w:hAnsi="Times New Roman;sans-serif"/>
                  <w:b w:val="false"/>
                  <w:color w:val="0000FF"/>
                  <w:sz w:val="20"/>
                  <w:u w:val="single"/>
                </w:rPr>
                <w:t>32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496">
              <w:r>
                <w:rPr>
                  <w:rStyle w:val="InternetLink"/>
                  <w:rFonts w:ascii="Times New Roman;sans-serif" w:hAnsi="Times New Roman;sans-serif"/>
                  <w:b w:val="false"/>
                  <w:color w:val="0000FF"/>
                  <w:sz w:val="20"/>
                  <w:u w:val="single"/>
                </w:rPr>
                <w:t>INCORPORATION OF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496">
              <w:r>
                <w:rPr>
                  <w:rStyle w:val="InternetLink"/>
                  <w:rFonts w:ascii="Times New Roman;sans-serif" w:hAnsi="Times New Roman;sans-serif"/>
                  <w:b w:val="false"/>
                  <w:color w:val="0000FF"/>
                  <w:sz w:val="20"/>
                  <w:u w:val="single"/>
                </w:rPr>
                <w:t>33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587">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587">
              <w:r>
                <w:rPr>
                  <w:rStyle w:val="InternetLink"/>
                  <w:rFonts w:ascii="Times New Roman;sans-serif" w:hAnsi="Times New Roman;sans-serif"/>
                  <w:b w:val="false"/>
                  <w:color w:val="000080"/>
                  <w:sz w:val="20"/>
                  <w:u w:val="single"/>
                </w:rPr>
                <w:t>S-</w:t>
              </w:r>
            </w:hyperlink>
            <w:hyperlink w:anchor="i9a35f4873915467686bcf9a0633daf14_587">
              <w:r>
                <w:rPr>
                  <w:rStyle w:val="InternetLink"/>
                  <w:rFonts w:ascii="Times New Roman;sans-serif" w:hAnsi="Times New Roman;sans-serif"/>
                  <w:b w:val="false"/>
                  <w:color w:val="000080"/>
                  <w:sz w:val="20"/>
                  <w:u w:val="single"/>
                </w:rPr>
                <w:t>1</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12">
              <w:r>
                <w:rPr>
                  <w:rStyle w:val="InternetLink"/>
                  <w:rFonts w:ascii="Times New Roman;sans-serif" w:hAnsi="Times New Roman;sans-serif"/>
                  <w:b w:val="false"/>
                  <w:color w:val="0000FF"/>
                  <w:sz w:val="20"/>
                  <w:u w:val="single"/>
                </w:rPr>
                <w:t>PROSPECTUS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12">
              <w:r>
                <w:rPr>
                  <w:rStyle w:val="InternetLink"/>
                  <w:rFonts w:ascii="Times New Roman;sans-serif" w:hAnsi="Times New Roman;sans-serif"/>
                  <w:b w:val="false"/>
                  <w:color w:val="000080"/>
                  <w:sz w:val="20"/>
                  <w:u w:val="single"/>
                </w:rPr>
                <w:t>S-</w:t>
              </w:r>
            </w:hyperlink>
            <w:hyperlink w:anchor="i9a35f4873915467686bcf9a0633daf14_612">
              <w:r>
                <w:rPr>
                  <w:rStyle w:val="InternetLink"/>
                  <w:rFonts w:ascii="Times New Roman;sans-serif" w:hAnsi="Times New Roman;sans-serif"/>
                  <w:b w:val="false"/>
                  <w:color w:val="000080"/>
                  <w:sz w:val="20"/>
                  <w:u w:val="single"/>
                </w:rPr>
                <w:t>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33">
              <w:r>
                <w:rPr>
                  <w:rStyle w:val="InternetLink"/>
                  <w:rFonts w:ascii="Times New Roman;sans-serif" w:hAnsi="Times New Roman;sans-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33">
              <w:r>
                <w:rPr>
                  <w:rStyle w:val="InternetLink"/>
                  <w:rFonts w:ascii="Times New Roman;sans-serif" w:hAnsi="Times New Roman;sans-serif"/>
                  <w:b w:val="false"/>
                  <w:color w:val="000080"/>
                  <w:sz w:val="20"/>
                  <w:u w:val="single"/>
                </w:rPr>
                <w:t>S-</w:t>
              </w:r>
            </w:hyperlink>
            <w:hyperlink w:anchor="i9a35f4873915467686bcf9a0633daf14_633">
              <w:r>
                <w:rPr>
                  <w:rStyle w:val="InternetLink"/>
                  <w:rFonts w:ascii="Times New Roman;sans-serif" w:hAnsi="Times New Roman;sans-serif"/>
                  <w:b w:val="false"/>
                  <w:color w:val="000080"/>
                  <w:sz w:val="20"/>
                  <w:u w:val="single"/>
                </w:rPr>
                <w:t>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53">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53">
              <w:r>
                <w:rPr>
                  <w:rStyle w:val="InternetLink"/>
                  <w:rFonts w:ascii="Times New Roman;sans-serif" w:hAnsi="Times New Roman;sans-serif"/>
                  <w:b w:val="false"/>
                  <w:color w:val="000080"/>
                  <w:sz w:val="20"/>
                  <w:u w:val="single"/>
                </w:rPr>
                <w:t>S-</w:t>
              </w:r>
            </w:hyperlink>
            <w:hyperlink w:anchor="i9a35f4873915467686bcf9a0633daf14_653">
              <w:r>
                <w:rPr>
                  <w:rStyle w:val="InternetLink"/>
                  <w:rFonts w:ascii="Times New Roman;sans-serif" w:hAnsi="Times New Roman;sans-serif"/>
                  <w:b w:val="false"/>
                  <w:color w:val="000080"/>
                  <w:sz w:val="20"/>
                  <w:u w:val="single"/>
                </w:rPr>
                <w:t>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86">
              <w:r>
                <w:rPr>
                  <w:rStyle w:val="InternetLink"/>
                  <w:rFonts w:ascii="Times New Roman;sans-serif" w:hAnsi="Times New Roman;sans-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86">
              <w:r>
                <w:rPr>
                  <w:rStyle w:val="InternetLink"/>
                  <w:rFonts w:ascii="Times New Roman;sans-serif" w:hAnsi="Times New Roman;sans-serif"/>
                  <w:b w:val="false"/>
                  <w:color w:val="000080"/>
                  <w:sz w:val="20"/>
                  <w:u w:val="single"/>
                </w:rPr>
                <w:t>S-</w:t>
              </w:r>
            </w:hyperlink>
            <w:hyperlink w:anchor="i9a35f4873915467686bcf9a0633daf14_686">
              <w:r>
                <w:rPr>
                  <w:rStyle w:val="InternetLink"/>
                  <w:rFonts w:ascii="Times New Roman;sans-serif" w:hAnsi="Times New Roman;sans-serif"/>
                  <w:b w:val="false"/>
                  <w:color w:val="000080"/>
                  <w:sz w:val="20"/>
                  <w:u w:val="single"/>
                </w:rPr>
                <w:t>7</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06">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06">
              <w:r>
                <w:rPr>
                  <w:rStyle w:val="InternetLink"/>
                  <w:rFonts w:ascii="Times New Roman;sans-serif" w:hAnsi="Times New Roman;sans-serif"/>
                  <w:b w:val="false"/>
                  <w:color w:val="000080"/>
                  <w:sz w:val="20"/>
                  <w:u w:val="single"/>
                </w:rPr>
                <w:t>S-</w:t>
              </w:r>
            </w:hyperlink>
            <w:hyperlink w:anchor="i9a35f4873915467686bcf9a0633daf14_706">
              <w:r>
                <w:rPr>
                  <w:rStyle w:val="InternetLink"/>
                  <w:rFonts w:ascii="Times New Roman;sans-serif" w:hAnsi="Times New Roman;sans-serif"/>
                  <w:b w:val="false"/>
                  <w:color w:val="000080"/>
                  <w:sz w:val="20"/>
                  <w:u w:val="single"/>
                </w:rPr>
                <w:t>9</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26">
              <w:r>
                <w:rPr>
                  <w:rStyle w:val="InternetLink"/>
                  <w:rFonts w:ascii="Times New Roman;sans-serif" w:hAnsi="Times New Roman;sans-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26">
              <w:r>
                <w:rPr>
                  <w:rStyle w:val="InternetLink"/>
                  <w:rFonts w:ascii="Times New Roman;sans-serif" w:hAnsi="Times New Roman;sans-serif"/>
                  <w:b w:val="false"/>
                  <w:color w:val="000080"/>
                  <w:sz w:val="20"/>
                  <w:u w:val="single"/>
                </w:rPr>
                <w:t>S</w:t>
              </w:r>
            </w:hyperlink>
            <w:hyperlink w:anchor="i9a35f4873915467686bcf9a0633daf14_726">
              <w:r>
                <w:rPr>
                  <w:rStyle w:val="InternetLink"/>
                  <w:rFonts w:ascii="Times New Roman;sans-serif" w:hAnsi="Times New Roman;sans-serif"/>
                  <w:b w:val="false"/>
                  <w:color w:val="000080"/>
                  <w:sz w:val="20"/>
                  <w:u w:val="single"/>
                </w:rPr>
                <w:t>-</w:t>
              </w:r>
            </w:hyperlink>
            <w:hyperlink w:anchor="i9a35f4873915467686bcf9a0633daf14_726">
              <w:r>
                <w:rPr>
                  <w:rStyle w:val="InternetLink"/>
                  <w:rFonts w:ascii="Times New Roman;sans-serif" w:hAnsi="Times New Roman;sans-serif"/>
                  <w:b w:val="false"/>
                  <w:color w:val="000080"/>
                  <w:sz w:val="20"/>
                  <w:u w:val="single"/>
                </w:rPr>
                <w:t>10</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46">
              <w:r>
                <w:rPr>
                  <w:rStyle w:val="InternetLink"/>
                  <w:rFonts w:ascii="Times New Roman;sans-serif" w:hAnsi="Times New Roman;sans-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46">
              <w:r>
                <w:rPr>
                  <w:rStyle w:val="InternetLink"/>
                  <w:rFonts w:ascii="Times New Roman;sans-serif" w:hAnsi="Times New Roman;sans-serif"/>
                  <w:b w:val="false"/>
                  <w:color w:val="000080"/>
                  <w:sz w:val="20"/>
                  <w:u w:val="single"/>
                </w:rPr>
                <w:t>S-</w:t>
              </w:r>
            </w:hyperlink>
            <w:hyperlink w:anchor="i9a35f4873915467686bcf9a0633daf14_746">
              <w:r>
                <w:rPr>
                  <w:rStyle w:val="InternetLink"/>
                  <w:rFonts w:ascii="Times New Roman;sans-serif" w:hAnsi="Times New Roman;sans-serif"/>
                  <w:b w:val="false"/>
                  <w:color w:val="000080"/>
                  <w:sz w:val="20"/>
                  <w:u w:val="single"/>
                </w:rPr>
                <w:t>12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66">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66">
              <w:r>
                <w:rPr>
                  <w:rStyle w:val="InternetLink"/>
                  <w:rFonts w:ascii="Times New Roman;sans-serif" w:hAnsi="Times New Roman;sans-serif"/>
                  <w:b w:val="false"/>
                  <w:color w:val="000080"/>
                  <w:sz w:val="20"/>
                  <w:u w:val="single"/>
                </w:rPr>
                <w:t>S-</w:t>
              </w:r>
            </w:hyperlink>
            <w:hyperlink w:anchor="i9a35f4873915467686bcf9a0633daf14_766">
              <w:r>
                <w:rPr>
                  <w:rStyle w:val="InternetLink"/>
                  <w:rFonts w:ascii="Times New Roman;sans-serif" w:hAnsi="Times New Roman;sans-serif"/>
                  <w:b w:val="false"/>
                  <w:color w:val="000080"/>
                  <w:sz w:val="20"/>
                  <w:u w:val="single"/>
                </w:rPr>
                <w:t>13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86">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86">
              <w:r>
                <w:rPr>
                  <w:rStyle w:val="InternetLink"/>
                  <w:rFonts w:ascii="Times New Roman;sans-serif" w:hAnsi="Times New Roman;sans-serif"/>
                  <w:b w:val="false"/>
                  <w:color w:val="000080"/>
                  <w:sz w:val="20"/>
                  <w:u w:val="single"/>
                </w:rPr>
                <w:t>S-</w:t>
              </w:r>
            </w:hyperlink>
            <w:hyperlink w:anchor="i9a35f4873915467686bcf9a0633daf14_786">
              <w:r>
                <w:rPr>
                  <w:rStyle w:val="InternetLink"/>
                  <w:rFonts w:ascii="Times New Roman;sans-serif" w:hAnsi="Times New Roman;sans-serif"/>
                  <w:b w:val="false"/>
                  <w:color w:val="000080"/>
                  <w:sz w:val="20"/>
                  <w:u w:val="single"/>
                </w:rPr>
                <w:t>13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806">
              <w:r>
                <w:rPr>
                  <w:rStyle w:val="InternetLink"/>
                  <w:rFonts w:ascii="Times New Roman;sans-serif" w:hAnsi="Times New Roman;sans-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806">
              <w:r>
                <w:rPr>
                  <w:rStyle w:val="InternetLink"/>
                  <w:rFonts w:ascii="Times New Roman;sans-serif" w:hAnsi="Times New Roman;sans-serif"/>
                  <w:b w:val="false"/>
                  <w:color w:val="000080"/>
                  <w:sz w:val="20"/>
                  <w:u w:val="single"/>
                </w:rPr>
                <w:t>S</w:t>
              </w:r>
            </w:hyperlink>
            <w:hyperlink w:anchor="i9a35f4873915467686bcf9a0633daf14_806">
              <w:r>
                <w:rPr>
                  <w:rStyle w:val="InternetLink"/>
                  <w:rFonts w:ascii="Times New Roman;sans-serif" w:hAnsi="Times New Roman;sans-serif"/>
                  <w:b w:val="false"/>
                  <w:color w:val="000080"/>
                  <w:sz w:val="20"/>
                  <w:u w:val="single"/>
                </w:rPr>
                <w:t>-</w:t>
              </w:r>
            </w:hyperlink>
            <w:hyperlink w:anchor="i9a35f4873915467686bcf9a0633daf14_806">
              <w:r>
                <w:rPr>
                  <w:rStyle w:val="InternetLink"/>
                  <w:rFonts w:ascii="Times New Roman;sans-serif" w:hAnsi="Times New Roman;sans-serif"/>
                  <w:b w:val="false"/>
                  <w:color w:val="000080"/>
                  <w:sz w:val="20"/>
                  <w:u w:val="single"/>
                </w:rPr>
                <w:t>13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826">
              <w:r>
                <w:rPr>
                  <w:rStyle w:val="InternetLink"/>
                  <w:rFonts w:ascii="Times New Roman;sans-serif" w:hAnsi="Times New Roman;sans-serif"/>
                  <w:b w:val="false"/>
                  <w:color w:val="0000FF"/>
                  <w:sz w:val="20"/>
                  <w:u w:val="single"/>
                </w:rPr>
                <w:t>INCORPORATION OF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826">
              <w:r>
                <w:rPr>
                  <w:rStyle w:val="InternetLink"/>
                  <w:rFonts w:ascii="Times New Roman;sans-serif" w:hAnsi="Times New Roman;sans-serif"/>
                  <w:b w:val="false"/>
                  <w:color w:val="000080"/>
                  <w:sz w:val="20"/>
                  <w:u w:val="single"/>
                </w:rPr>
                <w:t>S-</w:t>
              </w:r>
            </w:hyperlink>
            <w:hyperlink w:anchor="i9a35f4873915467686bcf9a0633daf14_826">
              <w:r>
                <w:rPr>
                  <w:rStyle w:val="InternetLink"/>
                  <w:rFonts w:ascii="Times New Roman;sans-serif" w:hAnsi="Times New Roman;sans-serif"/>
                  <w:b w:val="false"/>
                  <w:color w:val="000080"/>
                  <w:sz w:val="20"/>
                  <w:u w:val="single"/>
                </w:rPr>
                <w:t>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Documents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we refer to “Exagen,” “we,” “our,” “us” and the “Company” in this prospectus, we mean Exagen Inc., unless otherwise specified. When we refer to “you,” we mean the holders of the applicable series of securities.</w:t>
      </w:r>
    </w:p>
    <w:p>
      <w:pPr>
        <w:pStyle w:val="TextBody"/>
        <w:bidi w:val="0"/>
        <w:spacing w:lineRule="auto" w:line="288" w:before="0" w:after="180"/>
        <w:jc w:val="both"/>
        <w:rPr/>
      </w:pPr>
      <w:r>
        <w:rPr>
          <w:rFonts w:ascii="Times New Roman;sans-serif" w:hAnsi="Times New Roman;sans-serif"/>
          <w:b w:val="false"/>
          <w:color w:val="000000"/>
          <w:sz w:val="20"/>
        </w:rPr>
        <w:t xml:space="preserve">We use our trademarks in this prospectus as well as trademarks, tradenames and service marks that are the property of other organizations. Solely for convenience, certain trademarks and tradenames referred to in this prospectus appear without the ® and </w:t>
      </w:r>
      <w:r>
        <w:rPr>
          <w:rFonts w:ascii="Times New Roman;sans-serif" w:hAnsi="Times New Roman;sans-serif"/>
          <w:b/>
          <w:color w:val="000000"/>
          <w:sz w:val="13"/>
        </w:rPr>
        <w:t>TM</w:t>
      </w:r>
      <w:r>
        <w:rPr>
          <w:color w:val="000000"/>
        </w:rPr>
        <w:t xml:space="preserve"> </w:t>
      </w:r>
      <w:r>
        <w:rPr>
          <w:rFonts w:ascii="Times New Roman;sans-serif" w:hAnsi="Times New Roman;sans-serif"/>
          <w:b w:val="false"/>
          <w:color w:val="000000"/>
          <w:sz w:val="20"/>
        </w:rPr>
        <w:t>symbols, but those references are not intended to indicate, in any way, that we will not assert, to the fullest extent under applicable law, our rights or that the applicable owner will not assert its rights, to these trademarks and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jc w:val="both"/>
        <w:rPr>
          <w:rFonts w:ascii="Times New Roman;sans-serif" w:hAnsi="Times New Roman;sans-serif"/>
          <w:b w:val="false"/>
          <w:i/>
          <w:color w:val="000000"/>
          <w:sz w:val="20"/>
          <w:bdr w:val="single" w:sz="8" w:space="36" w:color="000000"/>
          <w:shd w:fill="FFFFFF" w:val="clear"/>
        </w:rPr>
      </w:pPr>
      <w:r>
        <w:rPr>
          <w:rFonts w:ascii="Times New Roman;sans-serif" w:hAnsi="Times New Roman;sans-serif"/>
          <w:b w:val="false"/>
          <w:i/>
          <w:color w:val="000000"/>
          <w:sz w:val="20"/>
          <w:bdr w:val="single" w:sz="8" w:space="36" w:color="000000"/>
          <w:shd w:fill="FFFFFF" w:val="clear"/>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About Exagen Inc.</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perform all of our AVISE® tests in our approximately 13,000 square foot laboratory located in Vista, California, which is certified under the Clinical Laboratory Improvement Amendments of 1988, or CLIA, and accredited by the College of American Pathologist. Our laboratory is certified for performance of high-complexity testing by the Centers for Medicare &amp; Medicaid Services in accordance with CLIA and is licensed by all states requiring out-of-state licensure. Our clinical laboratory typically reports all AVISE® testing product results within five business days.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Additional Information</w:t>
      </w:r>
    </w:p>
    <w:p>
      <w:pPr>
        <w:pStyle w:val="TextBody"/>
        <w:bidi w:val="0"/>
        <w:spacing w:lineRule="auto" w:line="288" w:before="0" w:after="180"/>
        <w:jc w:val="both"/>
        <w:rPr/>
      </w:pPr>
      <w:r>
        <w:rPr>
          <w:rFonts w:ascii="Times New Roman;sans-serif" w:hAnsi="Times New Roman;sans-serif"/>
          <w:b w:val="false"/>
          <w:color w:val="000000"/>
          <w:sz w:val="20"/>
          <w:bdr w:val="single" w:sz="8" w:space="36" w:color="000000"/>
          <w:shd w:fill="FFFFFF" w:val="clear"/>
        </w:rPr>
        <w:t>For additional information related to our business and operations, please refer to the reports incorporated herein by reference, as described under the caption “</w:t>
      </w:r>
      <w:hyperlink w:anchor="i9a35f4873915467686bcf9a0633daf14_496">
        <w:r>
          <w:rPr>
            <w:rStyle w:val="InternetLink"/>
            <w:rFonts w:ascii="Times New Roman;sans-serif" w:hAnsi="Times New Roman;sans-serif"/>
            <w:b w:val="false"/>
            <w:color w:val="0000FF"/>
            <w:sz w:val="20"/>
            <w:u w:val="single"/>
            <w:bdr w:val="single" w:sz="8" w:space="36" w:color="000000"/>
            <w:shd w:fill="FFFFFF" w:val="clear"/>
          </w:rPr>
          <w:t>Incorporation of Documents by Reference</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on page </w:t>
      </w:r>
      <w:hyperlink w:anchor="i9a35f4873915467686bcf9a0633daf14_496">
        <w:r>
          <w:rPr>
            <w:rStyle w:val="InternetLink"/>
            <w:rFonts w:ascii="Times New Roman;sans-serif" w:hAnsi="Times New Roman;sans-serif"/>
            <w:b w:val="false"/>
            <w:color w:val="0000FF"/>
            <w:sz w:val="20"/>
            <w:u w:val="single"/>
            <w:bdr w:val="single" w:sz="8" w:space="36" w:color="000000"/>
            <w:shd w:fill="FFFFFF" w:val="clear"/>
          </w:rPr>
          <w:t>33</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of this prospectus.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Corporate Information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pStyle w:val="TextBody"/>
        <w:bidi w:val="0"/>
        <w:spacing w:lineRule="auto" w:line="288" w:before="0" w:after="180"/>
        <w:jc w:val="both"/>
        <w:rPr>
          <w:bdr w:val="single" w:sz="8" w:space="36" w:color="000000"/>
        </w:rPr>
      </w:pPr>
      <w:r>
        <w:rPr>
          <w:rFonts w:ascii="Times New Roman;sans-serif" w:hAnsi="Times New Roman;sans-serif"/>
          <w:b w:val="false"/>
          <w:color w:val="000000"/>
          <w:sz w:val="20"/>
          <w:bdr w:val="single" w:sz="8" w:space="36" w:color="000000"/>
        </w:rPr>
        <w:t xml:space="preserve">We maintain a website at </w:t>
      </w:r>
      <w:r>
        <w:rPr>
          <w:rFonts w:ascii="Times New Roman;sans-serif" w:hAnsi="Times New Roman;sans-serif"/>
          <w:b w:val="false"/>
          <w:i/>
          <w:color w:val="000000"/>
          <w:sz w:val="20"/>
          <w:bdr w:val="single" w:sz="8" w:space="36" w:color="000000"/>
        </w:rPr>
        <w:t>http://www.exagen.com</w:t>
      </w:r>
      <w:r>
        <w:rPr>
          <w:color w:val="000000"/>
          <w:bdr w:val="single" w:sz="8" w:space="36" w:color="000000"/>
        </w:rPr>
        <w:t xml:space="preserve"> </w:t>
      </w:r>
      <w:r>
        <w:rPr>
          <w:rFonts w:ascii="Times New Roman;sans-serif" w:hAnsi="Times New Roman;sans-serif"/>
          <w:b w:val="false"/>
          <w:color w:val="000000"/>
          <w:sz w:val="20"/>
          <w:bdr w:val="single" w:sz="8" w:space="36" w:color="000000"/>
        </w:rPr>
        <w:t>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pStyle w:val="TextBody"/>
        <w:bidi w:val="0"/>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Offerings Under This Prospectus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Under this prospectus, we may offer shares of our common stock or preferred stock, various series of debt securities and/or warrants to purchase any of such securities, either individually or in units, with a total aggregate offering price of up to $150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designation or classification;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aggregate principal amount or aggregate offering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maturity, if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rates and times of payment of interest or dividends,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redemption, conversion or sinking fund terms,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or other rights, if any;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conversion or exercise prices, if any.</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names of those agents or underwriters;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applicable fees, discounts and commissions to be paid to them;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details regarding over-allotment options, if any;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net proceeds to us.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This prospectus may not be used to consummate a sale of any securities unless it is accompanied by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both"/>
        <w:rPr/>
      </w:pPr>
      <w:r>
        <w:rPr>
          <w:rFonts w:ascii="Times New Roman;sans-serif" w:hAnsi="Times New Roman;sans-serif"/>
          <w:b w:val="false"/>
          <w:color w:val="000000"/>
          <w:sz w:val="20"/>
        </w:rPr>
        <w:t xml:space="preserve">Investment in any securities offered pursuant to this prospectus and the applicable prospectus supplement involves a high degree of risk.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 </w:t>
      </w:r>
      <w:r>
        <w:rPr>
          <w:rFonts w:ascii="Times New Roman;sans-serif" w:hAnsi="Times New Roman;sans-serif"/>
          <w:b w:val="false"/>
          <w:color w:val="000000"/>
          <w:sz w:val="20"/>
          <w:shd w:fill="FFFFFF" w:val="clear"/>
        </w:rPr>
        <w:t>Additional risks and uncertainties that we do not presently know or that we currently deem immaterial may also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history of losses, we expect to incur net losses in the future and we may not be able to generate sufficient revenue to achieve and maintain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near-term, we expect that our financial results will depend primarily on sales of our testing products, and we will need to generate sufficient revenue from these testing products to grow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manage our ongoing growth effectively, which could make it difficult to execute our business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commercial success depends on attaining and maintaining significant market acceptance of our testing products and promoted therapeutics among rheumatologists, patients, third-party payors and others in the medical community;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sole suppliers for some of the reagents, equipment and other materials used in our testing products, and we may not be able to fund replacements or transition to alternative suppliers;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support demand for our current testing products or any of our future testing products or solutions, our business could suffer;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or achieve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Developing new testing products involves a lengthy and complex process, and we may not be able to commercialize on a timely basis, or at all, other testing products we are developing;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pStyle w:val="TextBody"/>
        <w:bidi w:val="0"/>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maintain intellectual property protection our competitive position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the above factors and other future events on the market price of our common stock;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anticipated use of proceeds from this offering, if 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use the net proceeds from the sale of the securities as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as amended, with Innovatus Life Science Lending Fund I, 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200,000,000 shares of common stock, $0.001 par value per share, and 10,000,000 shares of preferred stock, $0.001 par value per share.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16,931,894 shares of our common stock issued and outstanding and held of record by 33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 The transfer agent and registrar’s address is 6200 S. Quebec St., Greenwood Village, CO 80111.</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 Exchange Listing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for trading on Nasdaq under the symbol “XGN.”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there were no shares of our preferred stock outstanding. 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w:t>
      </w:r>
    </w:p>
    <w:p>
      <w:pPr>
        <w:pStyle w:val="TextBody"/>
        <w:bidi w:val="0"/>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issuance of shares of each series, the board of directors is required by the General Corporation Law of the State of Delaware, or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a prospectus supplement relating to the class or series of preferred stock being offered the following terms: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and stated value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shares of the preferred stock offered, the liquidation preference per share and the offering price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dividend rate(s), period(s) or payment date(s) or method(s) of calculation applicable to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dividends are cumulative or non-cumulative and, if cumulative, the date from which dividends on the preferred stock will accumulate;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procedures for any auction and remarketing, if any, for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for a sinking fund, if any, for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 for redemption, if applicable,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listing of the preferred stock on any securities exchange;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and conditions, if applicable, upon which the preferred stock will be convertible into common stock, including the conversion price or manner of calculation and conversion period;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rights, if any,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discussion of any material or special U.S. federal income tax considerations applicable to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relative ranking and preferences of the preferred stock as to dividend rights and rights upon the liquidation, dissolution or winding up of our affairs;</w:t>
      </w:r>
    </w:p>
    <w:p>
      <w:pPr>
        <w:pStyle w:val="TextBody"/>
        <w:bidi w:val="0"/>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limitations on issuance of any class or series of preferred stock ranking senior to or on a parity with the class or series of preferred stock as to dividend rights and rights upon liquidation, dissolution or winding up of our affairs;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limitations or restrictions of the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specify otherwise in the applicable prospectus supplement, the preferred stock will rank, relating to dividends and upon our liquidation, dissolution or winding up: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senior to all classes or series of our common stock and to all of our equity securities ranking junior to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a parity with all of our equity securities the terms of which specifically provide that the equity securities rank on a parity with the preferred stock;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junior to all of our equity securities the terms of which specifically provide that the equity securities rank senior to the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 equity securities does not include convertible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1,214,059 shares of our common stock were issuable upon exercise of outstanding warrants to purchase common stock with a weighted average exercise price of $1.70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investors' rights agreement between certain common stockholders and holders of warrants to purchase shares of common stock, pursuant to which those holders are, as of the date of this prospectus, entitled to certain piggyback and demand registration rights with respect to the registration of such shares under the Securities Act. We filed a registration statement on Form S-3 with the SEC on November 10, 2020 in connection with these obligations. In connection with the registration rights, we are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Anti-Takeover Effects of Delaware Law and Our Certificate of Incorporation and Bylaws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w:t>
      </w:r>
    </w:p>
    <w:p>
      <w:pPr>
        <w:pStyle w:val="TextBody"/>
        <w:bidi w:val="0"/>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disadvantages of discouraging these proposals because negotiation of these proposals could result in an improvement of their terms.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Undesignated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Stockholder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a special meeting of stockholders may be called only by our chairman of the board, chief executive officer or president, or by a resolution adopted by a majority of our board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Requirements for Advance Notification of Stockholder Nominations and Proposals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Elimination of Stockholder Action by Written Consent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eliminate the right of stockholders to act by written consent without a meeting.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Removal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Stockholders Not Entitled to Cumulative Voting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Delaware Anti-Takeover Statute</w:t>
      </w:r>
    </w:p>
    <w:p>
      <w:pPr>
        <w:pStyle w:val="TextBody"/>
        <w:bidi w:val="0"/>
        <w:spacing w:lineRule="auto" w:line="288" w:before="0" w:after="180"/>
        <w:jc w:val="both"/>
        <w:rPr/>
      </w:pPr>
      <w:r>
        <w:rPr>
          <w:rFonts w:ascii="Times New Roman;sans-serif" w:hAnsi="Times New Roman;sans-serif"/>
          <w:b w:val="false"/>
          <w:color w:val="000000"/>
          <w:sz w:val="20"/>
        </w:rPr>
        <w:t>We</w:t>
      </w:r>
      <w:r>
        <w:rPr>
          <w:color w:val="000000"/>
        </w:rPr>
        <w:t xml:space="preserve"> </w:t>
      </w:r>
      <w:r>
        <w:rPr>
          <w:rFonts w:ascii="Times New Roman;sans-serif" w:hAnsi="Times New Roman;sans-serif"/>
          <w:b w:val="false"/>
          <w:color w:val="000000"/>
          <w:sz w:val="20"/>
        </w:rPr>
        <w:t>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Choice of Forum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Certificate of Incorporation or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To the extent that any such claims may be based upon federal law 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and Bylaws also provide that any person or entity purchasing or otherwise acquiring any interest in shares of our capital stock will be deemed to have notice of and to have consented to this choice of forum provision.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Amendment of Charter Provisions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DEBT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price or prices (expressed as a percentage of the principal amount) at which we will sell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 on the aggregate principal amount of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or dates on which the principal on a particular series of debt securities is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period or periods within which, the price or prices at which and the terms and conditions upon which we may redeem the debt securities;</w:t>
      </w:r>
    </w:p>
    <w:p>
      <w:pPr>
        <w:pStyle w:val="TextBody"/>
        <w:bidi w:val="0"/>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dates on which and the price or prices at which we will repurchase debt securities at the option of the holders of debt securities and other detailed terms and provisions of these repurchase obligations;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securities will be issued in the form of certificated debt securities or global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of denomination of the debt securities, which may be U.S. dollars or any foreign currency, and if such currency of denomination is a composite currency, the agency or organization, if any, responsible for overseeing such composite currency;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of the currency, currencies or currency units in which payment of principal of, and premium and interest on, the debt securities will be made;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provisions relating to any security provided for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 to, deletion of or change in the Events of Default described below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 to, deletion of or change in the covenants described in this prospectus or in the indenture with respect to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whether any of our direct or indirect subsidiaries will guarantee the debt securities of that series, including the terms of subordination, if any, of such guarantees.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w:t>
      </w:r>
    </w:p>
    <w:p>
      <w:pPr>
        <w:pStyle w:val="TextBody"/>
        <w:bidi w:val="0"/>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with information on the federal income tax considerations and other special considerations applicable to any of these debt securities in the applicable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and Exchange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w:t>
      </w:r>
    </w:p>
    <w:p>
      <w:pPr>
        <w:pStyle w:val="TextBody"/>
        <w:bidi w:val="0"/>
        <w:spacing w:lineRule="auto" w:line="288" w:before="0" w:after="180"/>
        <w:jc w:val="both"/>
        <w:rPr/>
      </w:pPr>
      <w:r>
        <w:rPr>
          <w:rFonts w:ascii="Times New Roman;sans-serif" w:hAnsi="Times New Roman;sans-serif"/>
          <w:b w:val="false"/>
          <w:i/>
          <w:color w:val="000000"/>
          <w:sz w:val="20"/>
        </w:rPr>
        <w:t>Certificated Debt Securities.</w:t>
      </w:r>
      <w:r>
        <w:rPr>
          <w:color w:val="000000"/>
        </w:rPr>
        <w:t xml:space="preserve"> </w:t>
      </w:r>
      <w:r>
        <w:rPr>
          <w:rFonts w:ascii="Times New Roman;sans-serif" w:hAnsi="Times New Roman;sans-serif"/>
          <w:b w:val="false"/>
          <w:color w:val="000000"/>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set forth in the applicable prospectus supplement any restrictive covenants applicable to any issue of debt securities.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 Protection in the Event of a Change of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Consolidation, Merger and Sale of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consolidate with or merge with or into, or convey, transfer or lease all or substantially all of our properties and assets to, any person, or a successor person, unless: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immediately after giving effect to the transaction, no Event of Default, shall have occurred and be continuing;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other conditions are met.</w:t>
      </w:r>
    </w:p>
    <w:p>
      <w:pPr>
        <w:pStyle w:val="TextBody"/>
        <w:bidi w:val="0"/>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Events of Default</w:t>
      </w:r>
    </w:p>
    <w:p>
      <w:pPr>
        <w:pStyle w:val="TextBody"/>
        <w:bidi w:val="0"/>
        <w:spacing w:lineRule="auto" w:line="288" w:before="0" w:after="180"/>
        <w:jc w:val="both"/>
        <w:rPr>
          <w:color w:val="000000"/>
        </w:rPr>
      </w:pPr>
      <w:r>
        <w:rPr>
          <w:color w:val="000000"/>
        </w:rPr>
        <w:t>“</w:t>
      </w:r>
      <w:r>
        <w:rPr>
          <w:rFonts w:ascii="Times New Roman;sans-serif" w:hAnsi="Times New Roman;sans-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default in the payment of principal of any debt security of that series at its maturity;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voluntary or involuntary events of bankruptcy, insolvency or reorganization of Exagen;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other Event of Default provided with respect to debt securities of that series that is described in the applicable prospectus supplement.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provide the trustee written notice of any Event of Default within 30 days of becoming aware of the occurrence of such Event of Default, which notice will describe in reasonable detail the status of such Event of Default and what action we are taking or propose to take in respect thereof.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w:t>
      </w:r>
    </w:p>
    <w:p>
      <w:pPr>
        <w:pStyle w:val="TextBody"/>
        <w:bidi w:val="0"/>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that holder has previously given to the trustee written notice of a continuing Event of Default with respect to debt securities of that series;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requires us, within 120 days after the end of our fiscal year, to furnish to the trustee a statement as to compliance with the indenture. If an Event of Default occurs and is continuing with respect to the securities of any series and if it is known to a responsible officer of the trustee, the trustee shall mail to each holder of the securities of that series notice of an Event of Default within 90 days after it occurs or, if later, after a responsible officer of the trustee has knowledge of such Event of Default. The indenture provides that the trustee may withhold notice to the holders of debt securities of any series of any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Modification and Waiver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cure any ambiguity, defect or inconsistency;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covenants in the indenture described above under the heading “Consolidation, Merger and Sale of Assets;”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surrender any of our rights or powers under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the applicable procedures of the applicable depositary;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to comply with requirements of the SEC in order to effect or maintain the qualification of the indenture under the Trust Indenture Act of 1939, as amended.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waive an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waive a redemption payment with respect to any debt security.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Defeasance of Debt Securities and Certain Covenants in Certain Circumstances</w:t>
      </w:r>
    </w:p>
    <w:p>
      <w:pPr>
        <w:pStyle w:val="TextBody"/>
        <w:bidi w:val="0"/>
        <w:spacing w:lineRule="auto" w:line="288" w:before="0" w:after="180"/>
        <w:jc w:val="both"/>
        <w:rPr/>
      </w:pPr>
      <w:r>
        <w:rPr>
          <w:rFonts w:ascii="Times New Roman;sans-serif" w:hAnsi="Times New Roman;sans-serif"/>
          <w:b w:val="false"/>
          <w:i/>
          <w:color w:val="000000"/>
          <w:sz w:val="20"/>
        </w:rPr>
        <w:t xml:space="preserve">Legal Defeasance. </w:t>
      </w:r>
      <w:r>
        <w:rPr>
          <w:rFonts w:ascii="Times New Roman;sans-serif" w:hAnsi="Times New Roman;sans-serif"/>
          <w:b w:val="false"/>
          <w:color w:val="000000"/>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discharge may occur only if, among other things, we have delivered to the trustee an opinion of counsel stating that we have received from, or there has been published by, the U.S. Internal Revenue Service a ruling or, </w:t>
      </w:r>
    </w:p>
    <w:p>
      <w:pPr>
        <w:pStyle w:val="TextBody"/>
        <w:bidi w:val="0"/>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lineRule="auto" w:line="288" w:before="0" w:after="180"/>
        <w:jc w:val="both"/>
        <w:rPr/>
      </w:pPr>
      <w:r>
        <w:rPr>
          <w:rFonts w:ascii="Times New Roman;sans-serif" w:hAnsi="Times New Roman;sans-serif"/>
          <w:b w:val="false"/>
          <w:i/>
          <w:color w:val="000000"/>
          <w:sz w:val="20"/>
        </w:rPr>
        <w:t xml:space="preserve">Defeasance of Certain Covenants. </w:t>
      </w:r>
      <w:r>
        <w:rPr>
          <w:rFonts w:ascii="Times New Roman;sans-serif" w:hAnsi="Times New Roman;sans-serif"/>
          <w:b w:val="false"/>
          <w:color w:val="000000"/>
          <w:sz w:val="20"/>
        </w:rPr>
        <w:t>The indenture provides that, unless otherwise provided by the terms of the applicable series of debt securities, upon compliance with certain conditions: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omission to comply with those covenants will not constitute a Default or an Event of Default with respect to the debt securities of that series, or a covenant defeasance.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conditions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 Personal Liability of Directors, Officers, Employees or Securityholders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including any claim or controversy arising out of or relating to the indenture or the debt securities, will be governed by the laws of the State of New York.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w:t>
      </w:r>
    </w:p>
    <w:p>
      <w:pPr>
        <w:pStyle w:val="TextBody"/>
        <w:bidi w:val="0"/>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particular terms of any issue of warrants will be described in the prospectus supplement relating to the issue. Those terms may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shares of common stock or preferred stock purchasable upon the exercise of warrants to purchase such shares and the price at which such number of shares may be purchased upon such exercise;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stated value and terms (including, without limitation, liquidation, dividend, conversion and voting rights) of the series of preferred stock purchasable upon exercise of warrants to purchase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if any, on and after which the warrants and the related debt securities, preferred stock or common stock will be separately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of any rights to redeem or call the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on which the right to exercise the warrants will commence and the date on which the right will expire;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U.S. federal income tax consequences applicable to the warrants;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additional terms of the warrants, including terms, procedures, and limitations relating to the exchange, exercise and settlement of the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equity warrants will not be entitled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vote, consent or receive dividends;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receive notice as stockholders with respect to any meeting of stockholders for the election of our directors or any other matter;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exercise any rights as stockholders of Exagen.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w:t>
      </w: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any warrants will be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offer any units, certain terms of that series of units will be described in the applicable prospectus supplement, including, without limitation, the following, as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of the series of units;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and description of the separate constituent securities comprising the units;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price or prices at which the units will be issued;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if any, on and after which the constituent securities comprising the units will be separately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discussion of certain U.S. federal income tax considerations applicable to the units;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terms of the units and their constituent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Unit Agent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name and address of the unit agent for any units we offer will be set forth in the applicable prospectus supplement.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Issuance in Series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units in such amounts and in such numerous distinct series as we determine.</w:t>
      </w: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Enforceability of Rights by Holders of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Book-Entry, Delivery and 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DTC has advised us that it is: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limited-purpose trust company organized under the New York Banking Law;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“banking organization” within the meaning of the New York Banking Law;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member of the Federal Reserve System;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“clearing corporation” within the meaning of the New York Uniform Commercial Code;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“clearing agency” registered pursuant to the provisions of Section 17A of the Exchange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w:t>
      </w: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respect of the securities and the indenture may be delivered to us and where certificated securities may be surrendered for payment, registration of transfer or exchange.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beneficial owners of a particular series of securities generally will not receive certificates representing their ownership interests in those securities. However, if:</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t>
      </w: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within 90 days of the notification to us or of our becoming aware of DTC’s ceasing to be so registered, as the case may be;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determine, in our sole discretion, not to have such securities represented by one or more global securities;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Event of Default has occurred and is continuing with respect to such series of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Euroclear and Clearstream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w:t>
      </w: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available in the relevant Euroclear or Clearstream cash account only as of the business day for Euroclear or Clearstream following DTC’s settlement date.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fixed price or prices, which may be changed;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w:t>
      </w:r>
    </w:p>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at a level above that which might otherwise prevail in the open market. These transactions may be discontinued at any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specific terms of any lock-up provisions in respect of any given offering will be described in the applicable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applicable prospectus supplement indicates otherwise, Mintz, Levin, Cohn, Ferris, Glovsky and Popeo, P.C. will pass upon the validity of the issuance of the securities to be offered by this prospectus. Additional legal matters may be passed upon for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as of December 31, 2022 and 2021 and for the years then ended incorporated by reference in this prospectus and in the registration statement have been so incorporated in reliance on the report of BDO USA, LLP (n/k/a BDO USA, P.C.), an independent registered public accounting firm, incorporated herein by reference,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w:t>
      </w:r>
    </w:p>
    <w:p>
      <w:pPr>
        <w:pStyle w:val="TextBody"/>
        <w:bidi w:val="0"/>
        <w:spacing w:lineRule="auto" w:line="288" w:before="0" w:after="180"/>
        <w:jc w:val="both"/>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http://www.exagen.com.</w:t>
      </w:r>
      <w:r>
        <w:rPr>
          <w:color w:val="000000"/>
        </w:rPr>
        <w:t xml:space="preserve"> </w:t>
      </w:r>
      <w:r>
        <w:rPr>
          <w:rFonts w:ascii="Times New Roman;sans-serif" w:hAnsi="Times New Roman;sans-serif"/>
          <w:b w:val="false"/>
          <w:color w:val="000000"/>
          <w:sz w:val="20"/>
        </w:rPr>
        <w:t>The information on our website, however, is not, and should not be deemed to be, a part of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OF DOCUMENTS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Annual Report on Form 10-K for the year ended December 31, 2022, filed with the SEC on </w:t>
      </w:r>
      <w:hyperlink r:id="rId3">
        <w:r>
          <w:rPr>
            <w:rStyle w:val="InternetLink"/>
            <w:rFonts w:ascii="Times New Roman;sans-serif" w:hAnsi="Times New Roman;sans-serif"/>
            <w:b w:val="false"/>
            <w:color w:val="0000FF"/>
            <w:sz w:val="20"/>
            <w:u w:val="single"/>
          </w:rPr>
          <w:t>March 20, 2023</w:t>
        </w:r>
      </w:hyperlink>
      <w:r>
        <w:rPr>
          <w:rFonts w:ascii="Times New Roman;sans-serif" w:hAnsi="Times New Roman;sans-serif"/>
          <w:b w:val="false"/>
          <w:color w:val="000000"/>
          <w:sz w:val="20"/>
        </w:rPr>
        <w:t>, including the information incorporated by reference into our Annual Report on Form 10-K from our definitive proxy statement for our 2023 Annual Meeting of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Quarterly Report on Form 10-Q for the quarter ended March 31, 2023, June 30, 2023 and September 30, 2023 filed with the SEC on </w:t>
      </w:r>
      <w:hyperlink r:id="rId4">
        <w:r>
          <w:rPr>
            <w:rStyle w:val="InternetLink"/>
            <w:rFonts w:ascii="Times New Roman;sans-serif" w:hAnsi="Times New Roman;sans-serif"/>
            <w:b w:val="false"/>
            <w:color w:val="0000FF"/>
            <w:sz w:val="20"/>
            <w:u w:val="single"/>
          </w:rPr>
          <w:t>May 15, 2023</w:t>
        </w:r>
      </w:hyperlink>
      <w:r>
        <w:rPr>
          <w:rFonts w:ascii="Times New Roman;sans-serif" w:hAnsi="Times New Roman;sans-serif"/>
          <w:b w:val="false"/>
          <w:color w:val="000000"/>
          <w:sz w:val="20"/>
        </w:rPr>
        <w:t xml:space="preserve">, </w:t>
      </w:r>
      <w:hyperlink r:id="rId5">
        <w:r>
          <w:rPr>
            <w:rStyle w:val="InternetLink"/>
            <w:rFonts w:ascii="Times New Roman;sans-serif" w:hAnsi="Times New Roman;sans-serif"/>
            <w:b w:val="false"/>
            <w:color w:val="0000FF"/>
            <w:sz w:val="20"/>
            <w:u w:val="single"/>
          </w:rPr>
          <w:t>August 7, 2023</w:t>
        </w:r>
      </w:hyperlink>
      <w:r>
        <w:rPr>
          <w:color w:val="000000"/>
        </w:rPr>
        <w:t xml:space="preserve"> </w:t>
      </w:r>
      <w:r>
        <w:rPr>
          <w:rFonts w:ascii="Times New Roman;sans-serif" w:hAnsi="Times New Roman;sans-serif"/>
          <w:b w:val="false"/>
          <w:color w:val="000000"/>
          <w:sz w:val="20"/>
        </w:rPr>
        <w:t xml:space="preserve">and </w:t>
      </w:r>
      <w:hyperlink r:id="rId6">
        <w:r>
          <w:rPr>
            <w:rStyle w:val="InternetLink"/>
            <w:rFonts w:ascii="Times New Roman;sans-serif" w:hAnsi="Times New Roman;sans-serif"/>
            <w:b w:val="false"/>
            <w:color w:val="0000FF"/>
            <w:sz w:val="20"/>
            <w:u w:val="single"/>
          </w:rPr>
          <w:t>November 13, 2023</w:t>
        </w:r>
      </w:hyperlink>
      <w:r>
        <w:rPr>
          <w:rFonts w:ascii="Times New Roman;sans-serif" w:hAnsi="Times New Roman;sans-serif"/>
          <w:b w:val="false"/>
          <w:color w:val="000000"/>
          <w:sz w:val="20"/>
        </w:rPr>
        <w:t>, respectively;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Reports on Form 8-K filed with the SEC on </w:t>
      </w:r>
      <w:hyperlink r:id="rId7">
        <w:r>
          <w:rPr>
            <w:rStyle w:val="InternetLink"/>
            <w:rFonts w:ascii="Times New Roman;sans-serif" w:hAnsi="Times New Roman;sans-serif"/>
            <w:b w:val="false"/>
            <w:color w:val="0000FF"/>
            <w:sz w:val="20"/>
            <w:u w:val="single"/>
          </w:rPr>
          <w:t>January 9, 2023</w:t>
        </w:r>
      </w:hyperlink>
      <w:r>
        <w:rPr>
          <w:rFonts w:ascii="Times New Roman;sans-serif" w:hAnsi="Times New Roman;sans-serif"/>
          <w:b w:val="false"/>
          <w:color w:val="000000"/>
          <w:sz w:val="20"/>
        </w:rPr>
        <w:t>, </w:t>
      </w:r>
      <w:hyperlink r:id="rId8">
        <w:r>
          <w:rPr>
            <w:rStyle w:val="InternetLink"/>
            <w:rFonts w:ascii="Times New Roman;sans-serif" w:hAnsi="Times New Roman;sans-serif"/>
            <w:b w:val="false"/>
            <w:color w:val="0000FF"/>
            <w:sz w:val="20"/>
            <w:u w:val="single"/>
          </w:rPr>
          <w:t>January 23, 2023</w:t>
        </w:r>
      </w:hyperlink>
      <w:r>
        <w:rPr>
          <w:rFonts w:ascii="Times New Roman;sans-serif" w:hAnsi="Times New Roman;sans-serif"/>
          <w:b w:val="false"/>
          <w:color w:val="000000"/>
          <w:sz w:val="20"/>
        </w:rPr>
        <w:t>, </w:t>
      </w:r>
      <w:hyperlink r:id="rId9">
        <w:r>
          <w:rPr>
            <w:rStyle w:val="InternetLink"/>
            <w:rFonts w:ascii="Times New Roman;sans-serif" w:hAnsi="Times New Roman;sans-serif"/>
            <w:b w:val="false"/>
            <w:color w:val="0000FF"/>
            <w:sz w:val="20"/>
            <w:u w:val="single"/>
          </w:rPr>
          <w:t>March 23, 2023</w:t>
        </w:r>
      </w:hyperlink>
      <w:r>
        <w:rPr>
          <w:rFonts w:ascii="Times New Roman;sans-serif" w:hAnsi="Times New Roman;sans-serif"/>
          <w:b w:val="false"/>
          <w:color w:val="000000"/>
          <w:sz w:val="20"/>
        </w:rPr>
        <w:t>, </w:t>
      </w:r>
      <w:hyperlink r:id="rId10">
        <w:r>
          <w:rPr>
            <w:rStyle w:val="InternetLink"/>
            <w:rFonts w:ascii="Times New Roman;sans-serif" w:hAnsi="Times New Roman;sans-serif"/>
            <w:b w:val="false"/>
            <w:color w:val="0000FF"/>
            <w:sz w:val="20"/>
            <w:u w:val="single"/>
          </w:rPr>
          <w:t>May 4, 2023</w:t>
        </w:r>
      </w:hyperlink>
      <w:r>
        <w:rPr>
          <w:rFonts w:ascii="Times New Roman;sans-serif" w:hAnsi="Times New Roman;sans-serif"/>
          <w:b w:val="false"/>
          <w:color w:val="000000"/>
          <w:sz w:val="20"/>
        </w:rPr>
        <w:t xml:space="preserve">, </w:t>
      </w:r>
      <w:hyperlink r:id="rId11">
        <w:r>
          <w:rPr>
            <w:rStyle w:val="InternetLink"/>
            <w:rFonts w:ascii="Times New Roman;sans-serif" w:hAnsi="Times New Roman;sans-serif"/>
            <w:b w:val="false"/>
            <w:color w:val="0000FF"/>
            <w:sz w:val="20"/>
            <w:u w:val="single"/>
          </w:rPr>
          <w:t>June 14, 2023</w:t>
        </w:r>
      </w:hyperlink>
      <w:r>
        <w:rPr>
          <w:rFonts w:ascii="Times New Roman;sans-serif" w:hAnsi="Times New Roman;sans-serif"/>
          <w:b w:val="false"/>
          <w:color w:val="000000"/>
          <w:sz w:val="20"/>
        </w:rPr>
        <w:t xml:space="preserve">, </w:t>
      </w:r>
      <w:hyperlink r:id="rId12">
        <w:r>
          <w:rPr>
            <w:rStyle w:val="InternetLink"/>
            <w:rFonts w:ascii="Times New Roman;sans-serif" w:hAnsi="Times New Roman;sans-serif"/>
            <w:b w:val="false"/>
            <w:color w:val="0000FF"/>
            <w:sz w:val="20"/>
            <w:u w:val="single"/>
          </w:rPr>
          <w:t>July 24, 2023</w:t>
        </w:r>
      </w:hyperlink>
      <w:r>
        <w:rPr>
          <w:color w:val="000000"/>
        </w:rPr>
        <w:t xml:space="preserve"> </w:t>
      </w:r>
      <w:r>
        <w:rPr>
          <w:rFonts w:ascii="Times New Roman;sans-serif" w:hAnsi="Times New Roman;sans-serif"/>
          <w:b w:val="false"/>
          <w:color w:val="000000"/>
          <w:sz w:val="20"/>
        </w:rPr>
        <w:t xml:space="preserve">and </w:t>
      </w:r>
      <w:hyperlink r:id="rId13">
        <w:r>
          <w:rPr>
            <w:rStyle w:val="InternetLink"/>
            <w:rFonts w:ascii="Times New Roman;sans-serif" w:hAnsi="Times New Roman;sans-serif"/>
            <w:b w:val="false"/>
            <w:color w:val="0000FF"/>
            <w:sz w:val="20"/>
            <w:u w:val="single"/>
          </w:rPr>
          <w:t>October 26, 2023</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description of our common stock set forth in the Registrant's registration statement on Form 8-A12B (Registration No. 001-39049), filed by the Registrant with the SEC under Section 12(b) of the Securities Exchange Act of 1934, as amended, or the Exchange Act, on </w:t>
      </w:r>
      <w:hyperlink r:id="rId14">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request a free copy of any of the documents incorporated by reference in this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Exagen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1261 Liberty Way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Vista, California 92081</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(760) 560-1501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720"/>
        <w:jc w:val="center"/>
        <w:rPr/>
      </w:pPr>
      <w:r>
        <w:rPr/>
        <w:drawing>
          <wp:inline distT="0" distB="0" distL="0" distR="0">
            <wp:extent cx="2743200" cy="10096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15"/>
                    <a:stretch>
                      <a:fillRect/>
                    </a:stretch>
                  </pic:blipFill>
                  <pic:spPr bwMode="auto">
                    <a:xfrm>
                      <a:off x="0" y="0"/>
                      <a:ext cx="2743200" cy="1009650"/>
                    </a:xfrm>
                    <a:prstGeom prst="rect">
                      <a:avLst/>
                    </a:prstGeom>
                  </pic:spPr>
                </pic:pic>
              </a:graphicData>
            </a:graphic>
          </wp:inline>
        </w:drawing>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$150,000,000</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Common Stock</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Preferred Stock</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Debt Securities</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Warrants</w:t>
      </w:r>
    </w:p>
    <w:p>
      <w:pPr>
        <w:pStyle w:val="TextBody"/>
        <w:bidi w:val="0"/>
        <w:spacing w:lineRule="auto" w:line="288" w:before="0" w:after="1800"/>
        <w:jc w:val="center"/>
        <w:rPr>
          <w:rFonts w:ascii="Times New Roman;sans-serif" w:hAnsi="Times New Roman;sans-serif"/>
          <w:b/>
          <w:color w:val="000000"/>
          <w:sz w:val="28"/>
        </w:rPr>
      </w:pPr>
      <w:r>
        <w:rPr>
          <w:rFonts w:ascii="Times New Roman;sans-serif" w:hAnsi="Times New Roman;sans-serif"/>
          <w:b/>
          <w:color w:val="000000"/>
          <w:sz w:val="28"/>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70"/>
        <w:jc w:val="center"/>
        <w:rPr>
          <w:rFonts w:ascii="Times New Roman;sans-serif" w:hAnsi="Times New Roman;sans-serif"/>
          <w:b/>
          <w:color w:val="000000"/>
          <w:sz w:val="24"/>
        </w:rPr>
      </w:pPr>
      <w:r>
        <w:rPr>
          <w:rFonts w:ascii="Times New Roman;sans-serif" w:hAnsi="Times New Roman;sans-serif"/>
          <w:b/>
          <w:color w:val="000000"/>
          <w:sz w:val="24"/>
        </w:rPr>
        <w:t>PROSPECTUS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color w:val="000000"/>
        </w:rPr>
      </w:pPr>
      <w:r>
        <w:rPr>
          <w:color w:val="000000"/>
        </w:rPr>
        <w:t>                    </w:t>
      </w:r>
      <w:r>
        <w:rPr>
          <w:rFonts w:ascii="Times New Roman;sans-serif" w:hAnsi="Times New Roman;sans-serif"/>
          <w:b/>
          <w:color w:val="000000"/>
          <w:sz w:val="20"/>
        </w:rPr>
        <w:t>,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F1665F"/>
          <w:sz w:val="20"/>
        </w:rPr>
      </w:pPr>
      <w:r>
        <w:rPr>
          <w:rFonts w:ascii="Times New Roman;sans-serif" w:hAnsi="Times New Roman;sans-serif"/>
          <w:b/>
          <w:color w:val="F1665F"/>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lineRule="auto" w:line="288" w:before="0" w:after="120"/>
        <w:jc w:val="center"/>
        <w:rPr>
          <w:rFonts w:ascii="Times New Roman;sans-serif" w:hAnsi="Times New Roman;sans-serif"/>
          <w:b/>
          <w:color w:val="F1665F"/>
          <w:sz w:val="20"/>
        </w:rPr>
      </w:pPr>
      <w:r>
        <w:rPr>
          <w:rFonts w:ascii="Times New Roman;sans-serif" w:hAnsi="Times New Roman;sans-serif"/>
          <w:b/>
          <w:color w:val="F1665F"/>
          <w:sz w:val="20"/>
        </w:rPr>
        <w:t>Subject to Completion, dated November 17,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PROSPECTUS SUPPLEMENT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(To Prospectus Dated          , 2023)</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$10,822,402</w:t>
      </w:r>
    </w:p>
    <w:p>
      <w:pPr>
        <w:pStyle w:val="TextBody"/>
        <w:bidi w:val="0"/>
        <w:spacing w:before="0" w:after="60"/>
        <w:jc w:val="center"/>
        <w:rPr/>
      </w:pPr>
      <w:r>
        <w:rPr/>
        <w:drawing>
          <wp:inline distT="0" distB="0" distL="0" distR="0">
            <wp:extent cx="2743200" cy="1009650"/>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16"/>
                    <a:stretch>
                      <a:fillRect/>
                    </a:stretch>
                  </pic:blipFill>
                  <pic:spPr bwMode="auto">
                    <a:xfrm>
                      <a:off x="0" y="0"/>
                      <a:ext cx="2743200" cy="1009650"/>
                    </a:xfrm>
                    <a:prstGeom prst="rect">
                      <a:avLst/>
                    </a:prstGeom>
                  </pic:spPr>
                </pic:pic>
              </a:graphicData>
            </a:graphic>
          </wp:inline>
        </w:drawing>
      </w:r>
    </w:p>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2022, we entered into a sales agreement, as amended, or the sales agreement, with Cowen and Company LLC, or TD Cowen, relating to shares of our common stock offered by this prospectus supplement and the accompanying prospectus. In accordance with the terms of the sales agreement, we may offer and sell shares of our common stock having an aggregate offering price of up to $50.0 million from time to time through or to TD Cowen acting as our agent. No sales have been made pursuant to the sales agreement prior to the date of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or Nasdaq, under the symbol “XGN.” On November 16, 2023, the last reported sale price of our common stock on Nasdaq was $1.60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$32.5 million, which was calculated based on 12,832,888 shares of our common stock outstanding held by non-affiliates and a price of $2.53 per share, the closing price of our common stock on September 27, 2023, which is the highest closing sale price of our common stock on Nasdaq Global Market within the prior 60 days. As of the date of this prospectus supplement, we have not sold any securities pursuant to General Instruction I.B.6 of Form S-3 during the 12 calendar months prior to, and including, the date of this prospectus supplement.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common stock, if any, under this prospectus supplement may be made in sales deemed to be an “at the market offering,” as defined in Rule 415(a)(4) promulgated under the Securities Act of 1933, as amended, or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to TD Cowen for sales of common stock sold pursuant to the sales agreement will be an amount equal to 3.0% of the gross proceeds of any shares of common stock sold under the sales agreement. In connection with the sale of our common stock on our behalf, TD Cowen will be deemed to be an “underwriter” within the meaning of the Securities Act and the compensation to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color w:val="000000"/>
          <w:sz w:val="20"/>
        </w:rPr>
        <w:t>Investing in our securities involves a high degree of risk. You should review carefully the risks and uncertainties described under the heading “</w:t>
      </w:r>
      <w:hyperlink w:anchor="i9a35f4873915467686bcf9a0633daf14_653">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beginning on page </w:t>
      </w:r>
      <w:hyperlink w:anchor="i9a35f4873915467686bcf9a0633daf14_653">
        <w:r>
          <w:rPr>
            <w:rStyle w:val="InternetLink"/>
          </w:rPr>
          <w:t>S-</w:t>
        </w:r>
      </w:hyperlink>
      <w:hyperlink w:anchor="i9a35f4873915467686bcf9a0633daf14_653">
        <w:r>
          <w:rPr>
            <w:rStyle w:val="InternetLink"/>
          </w:rPr>
          <w:t>5</w:t>
        </w:r>
      </w:hyperlink>
      <w:r>
        <w:rPr>
          <w:color w:val="000000"/>
        </w:rPr>
        <w:t> </w:t>
      </w:r>
      <w:r>
        <w:rPr>
          <w:rFonts w:ascii="Times New Roman;sans-serif" w:hAnsi="Times New Roman;sans-serif"/>
          <w:b/>
          <w:color w:val="000000"/>
          <w:sz w:val="20"/>
        </w:rPr>
        <w:t>of this prospectus supplement and under similar headings in the documents incorporated by reference into this prospectus supplement and the accompanying prospectus.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supplement and the accompanying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32"/>
              </w:rPr>
            </w:pPr>
            <w:r>
              <w:rPr>
                <w:rFonts w:ascii="Times New Roman;sans-serif" w:hAnsi="Times New Roman;sans-serif"/>
                <w:b/>
                <w:color w:val="000000"/>
                <w:sz w:val="32"/>
              </w:rPr>
              <w:t>TD Cowen</w:t>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supplement is          ,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2"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855" w:type="dxa"/>
        <w:jc w:val="left"/>
        <w:tblInd w:w="0" w:type="dxa"/>
        <w:tblLayout w:type="fixed"/>
        <w:tblCellMar>
          <w:top w:w="28" w:type="dxa"/>
          <w:left w:w="28" w:type="dxa"/>
          <w:bottom w:w="28" w:type="dxa"/>
          <w:right w:w="28" w:type="dxa"/>
        </w:tblCellMar>
      </w:tblPr>
      <w:tblGrid>
        <w:gridCol w:w="2295"/>
        <w:gridCol w:w="2012"/>
        <w:gridCol w:w="2023"/>
        <w:gridCol w:w="153"/>
        <w:gridCol w:w="153"/>
        <w:gridCol w:w="219"/>
      </w:tblGrid>
      <w:tr>
        <w:trPr/>
        <w:tc>
          <w:tcPr>
            <w:tcW w:w="22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587">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587">
              <w:r>
                <w:rPr>
                  <w:rStyle w:val="InternetLink"/>
                  <w:rFonts w:ascii="Times New Roman;sans-serif" w:hAnsi="Times New Roman;sans-serif"/>
                  <w:b w:val="false"/>
                  <w:color w:val="000080"/>
                  <w:sz w:val="20"/>
                  <w:u w:val="single"/>
                </w:rPr>
                <w:t>S-</w:t>
              </w:r>
            </w:hyperlink>
            <w:hyperlink w:anchor="i9a35f4873915467686bcf9a0633daf14_587">
              <w:r>
                <w:rPr>
                  <w:rStyle w:val="InternetLink"/>
                  <w:rFonts w:ascii="Times New Roman;sans-serif" w:hAnsi="Times New Roman;sans-serif"/>
                  <w:b w:val="false"/>
                  <w:color w:val="000080"/>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33">
              <w:r>
                <w:rPr>
                  <w:rStyle w:val="InternetLink"/>
                  <w:rFonts w:ascii="Times New Roman;sans-serif" w:hAnsi="Times New Roman;sans-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33">
              <w:r>
                <w:rPr>
                  <w:rStyle w:val="InternetLink"/>
                  <w:rFonts w:ascii="Times New Roman;sans-serif" w:hAnsi="Times New Roman;sans-serif"/>
                  <w:b w:val="false"/>
                  <w:color w:val="000080"/>
                  <w:sz w:val="20"/>
                  <w:u w:val="single"/>
                </w:rPr>
                <w:t>S-</w:t>
              </w:r>
            </w:hyperlink>
            <w:hyperlink w:anchor="i9a35f4873915467686bcf9a0633daf14_633">
              <w:r>
                <w:rPr>
                  <w:rStyle w:val="InternetLink"/>
                  <w:rFonts w:ascii="Times New Roman;sans-serif" w:hAnsi="Times New Roman;sans-serif"/>
                  <w:b w:val="false"/>
                  <w:color w:val="000080"/>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53">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53">
              <w:r>
                <w:rPr>
                  <w:rStyle w:val="InternetLink"/>
                  <w:rFonts w:ascii="Times New Roman;sans-serif" w:hAnsi="Times New Roman;sans-serif"/>
                  <w:b w:val="false"/>
                  <w:color w:val="000080"/>
                  <w:sz w:val="20"/>
                  <w:u w:val="single"/>
                </w:rPr>
                <w:t>S-</w:t>
              </w:r>
            </w:hyperlink>
            <w:hyperlink w:anchor="i9a35f4873915467686bcf9a0633daf14_653">
              <w:r>
                <w:rPr>
                  <w:rStyle w:val="InternetLink"/>
                  <w:rFonts w:ascii="Times New Roman;sans-serif" w:hAnsi="Times New Roman;sans-serif"/>
                  <w:b w:val="false"/>
                  <w:color w:val="000080"/>
                  <w:sz w:val="20"/>
                  <w:u w:val="single"/>
                </w:rPr>
                <w:t>5</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686">
              <w:r>
                <w:rPr>
                  <w:rStyle w:val="InternetLink"/>
                  <w:rFonts w:ascii="Times New Roman;sans-serif" w:hAnsi="Times New Roman;sans-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686">
              <w:r>
                <w:rPr>
                  <w:rStyle w:val="InternetLink"/>
                  <w:rFonts w:ascii="Times New Roman;sans-serif" w:hAnsi="Times New Roman;sans-serif"/>
                  <w:b w:val="false"/>
                  <w:color w:val="000080"/>
                  <w:sz w:val="20"/>
                  <w:u w:val="single"/>
                </w:rPr>
                <w:t>S-</w:t>
              </w:r>
            </w:hyperlink>
            <w:hyperlink w:anchor="i9a35f4873915467686bcf9a0633daf14_686">
              <w:r>
                <w:rPr>
                  <w:rStyle w:val="InternetLink"/>
                  <w:rFonts w:ascii="Times New Roman;sans-serif" w:hAnsi="Times New Roman;sans-serif"/>
                  <w:b w:val="false"/>
                  <w:color w:val="000080"/>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06">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06">
              <w:r>
                <w:rPr>
                  <w:rStyle w:val="InternetLink"/>
                  <w:rFonts w:ascii="Times New Roman;sans-serif" w:hAnsi="Times New Roman;sans-serif"/>
                  <w:b w:val="false"/>
                  <w:color w:val="000080"/>
                  <w:sz w:val="20"/>
                  <w:u w:val="single"/>
                </w:rPr>
                <w:t>S-</w:t>
              </w:r>
            </w:hyperlink>
            <w:hyperlink w:anchor="i9a35f4873915467686bcf9a0633daf14_706">
              <w:r>
                <w:rPr>
                  <w:rStyle w:val="InternetLink"/>
                  <w:rFonts w:ascii="Times New Roman;sans-serif" w:hAnsi="Times New Roman;sans-serif"/>
                  <w:b w:val="false"/>
                  <w:color w:val="000080"/>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46">
              <w:r>
                <w:rPr>
                  <w:rStyle w:val="InternetLink"/>
                  <w:rFonts w:ascii="Times New Roman;sans-serif" w:hAnsi="Times New Roman;sans-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46">
              <w:r>
                <w:rPr>
                  <w:rStyle w:val="InternetLink"/>
                  <w:rFonts w:ascii="Times New Roman;sans-serif" w:hAnsi="Times New Roman;sans-serif"/>
                  <w:b w:val="false"/>
                  <w:color w:val="000080"/>
                  <w:sz w:val="20"/>
                  <w:u w:val="single"/>
                </w:rPr>
                <w:t>S-</w:t>
              </w:r>
            </w:hyperlink>
            <w:hyperlink w:anchor="i9a35f4873915467686bcf9a0633daf14_746">
              <w:r>
                <w:rPr>
                  <w:rStyle w:val="InternetLink"/>
                  <w:rFonts w:ascii="Times New Roman;sans-serif" w:hAnsi="Times New Roman;sans-serif"/>
                  <w:b w:val="false"/>
                  <w:color w:val="000080"/>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66">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66">
              <w:r>
                <w:rPr>
                  <w:rStyle w:val="InternetLink"/>
                  <w:rFonts w:ascii="Times New Roman;sans-serif" w:hAnsi="Times New Roman;sans-serif"/>
                  <w:b w:val="false"/>
                  <w:color w:val="000080"/>
                  <w:sz w:val="20"/>
                  <w:u w:val="single"/>
                </w:rPr>
                <w:t>S-</w:t>
              </w:r>
            </w:hyperlink>
            <w:hyperlink w:anchor="i9a35f4873915467686bcf9a0633daf14_766">
              <w:r>
                <w:rPr>
                  <w:rStyle w:val="InternetLink"/>
                  <w:rFonts w:ascii="Times New Roman;sans-serif" w:hAnsi="Times New Roman;sans-serif"/>
                  <w:b w:val="false"/>
                  <w:color w:val="000080"/>
                  <w:sz w:val="20"/>
                  <w:u w:val="single"/>
                </w:rPr>
                <w:t>13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786">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786">
              <w:r>
                <w:rPr>
                  <w:rStyle w:val="InternetLink"/>
                  <w:rFonts w:ascii="Times New Roman;sans-serif" w:hAnsi="Times New Roman;sans-serif"/>
                  <w:b w:val="false"/>
                  <w:color w:val="000080"/>
                  <w:sz w:val="20"/>
                  <w:u w:val="single"/>
                </w:rPr>
                <w:t>S-</w:t>
              </w:r>
            </w:hyperlink>
            <w:hyperlink w:anchor="i9a35f4873915467686bcf9a0633daf14_786">
              <w:r>
                <w:rPr>
                  <w:rStyle w:val="InternetLink"/>
                  <w:rFonts w:ascii="Times New Roman;sans-serif" w:hAnsi="Times New Roman;sans-serif"/>
                  <w:b w:val="false"/>
                  <w:color w:val="000080"/>
                  <w:sz w:val="20"/>
                  <w:u w:val="single"/>
                </w:rPr>
                <w:t>13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806">
              <w:r>
                <w:rPr>
                  <w:rStyle w:val="InternetLink"/>
                  <w:rFonts w:ascii="Times New Roman;sans-serif" w:hAnsi="Times New Roman;sans-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806">
              <w:r>
                <w:rPr>
                  <w:rStyle w:val="InternetLink"/>
                  <w:rFonts w:ascii="Times New Roman;sans-serif" w:hAnsi="Times New Roman;sans-serif"/>
                  <w:b w:val="false"/>
                  <w:color w:val="000080"/>
                  <w:sz w:val="20"/>
                  <w:u w:val="single"/>
                </w:rPr>
                <w:t>S-</w:t>
              </w:r>
            </w:hyperlink>
            <w:hyperlink w:anchor="i9a35f4873915467686bcf9a0633daf14_806">
              <w:r>
                <w:rPr>
                  <w:rStyle w:val="InternetLink"/>
                  <w:rFonts w:ascii="Times New Roman;sans-serif" w:hAnsi="Times New Roman;sans-serif"/>
                  <w:b w:val="false"/>
                  <w:color w:val="000080"/>
                  <w:sz w:val="20"/>
                  <w:u w:val="single"/>
                </w:rPr>
                <w:t>13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35f4873915467686bcf9a0633daf14_826">
              <w:r>
                <w:rPr>
                  <w:rStyle w:val="InternetLink"/>
                  <w:rFonts w:ascii="Times New Roman;sans-serif" w:hAnsi="Times New Roman;sans-serif"/>
                  <w:b w:val="false"/>
                  <w:color w:val="0000FF"/>
                  <w:sz w:val="20"/>
                  <w:u w:val="single"/>
                </w:rPr>
                <w:t>INCORPORATION OF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f4873915467686bcf9a0633daf14_826">
              <w:r>
                <w:rPr>
                  <w:rStyle w:val="InternetLink"/>
                  <w:rFonts w:ascii="Times New Roman;sans-serif" w:hAnsi="Times New Roman;sans-serif"/>
                  <w:b w:val="false"/>
                  <w:color w:val="000080"/>
                  <w:sz w:val="20"/>
                  <w:u w:val="single"/>
                </w:rPr>
                <w:t>S-</w:t>
              </w:r>
            </w:hyperlink>
            <w:hyperlink w:anchor="i9a35f4873915467686bcf9a0633daf14_826">
              <w:r>
                <w:rPr>
                  <w:rStyle w:val="InternetLink"/>
                  <w:rFonts w:ascii="Times New Roman;sans-serif" w:hAnsi="Times New Roman;sans-serif"/>
                  <w:b w:val="false"/>
                  <w:color w:val="000080"/>
                  <w:sz w:val="20"/>
                  <w:u w:val="single"/>
                </w:rPr>
                <w:t>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are part of a registration statement on Form S-3 that we filed with the Securities and Exchange Commission, or SEC, utilizing a “shelf” registration process. Under the shelf registration process, we may sell any combination of the securities described in our base prospectus included in the shelf registration statement in one or more offerings up to a total aggregate offering price of $150 million. The $10.8 million of common stock that may be offered, issued and sold under this prospectus supplement is included in the $150 million of securities that may be offered, issued and sold by us pursuant to our shelf registration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relate to the offering of our common stock. Before buying any of the common stock that we are offering, we urge you to carefully read this prospectus supplement and the accompanying prospectus, together with the information incorporated by reference herein and therein, as described under the headings “Where You Can Find More Information” and “Incorporation of Certain Information By Reference.” These documents contain important information that you should consider when making your investment decision.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describes the terms of this offering of common stock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conflict between the information contained in this prospectus supplement and the information contained in the accompanying prospectus,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 Generally, when we refer to the prospectus, we are referring collectively to this prospectus supplement and the accompanying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and TD Cowen has not, authorized anyone to provide any information other than that contained in or incorporated by reference in this prospectus supplement, the accompanying prospectus and any free writing prospectus prepared by or on behalf of us or to which we have referred you. We and TD Cowen take no responsibility for, and can provide no assurance as to the reliability of, any other information that others may give you. We and the sales agent are offering to sell, and seeking offers to buy, shares of our common stock only in jurisdictions where such offers and sales are permitted. You should assume that the information appearing in this prospectus supplement, the accompanying prospectus and the documents incorporated by reference herein and therein, and in any free writing prospectus that we have authorized for use in connection with this offering, is accurate only as of the dates of those respective documents, regardless of the time of delivery of such documents or of any sale of shares of our common stock. Our business, financial condition, results of operations and prospects may have changed since those dates. You should read this prospectus supplement and the accompanying prospectus, the documents incorporated by reference herein and therein, and any free writing prospectus that we have authorized for use in connection with this offering in their entirety before making an investment decision.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indicated herein or as the context otherwise requires, references in this prospectus supplement and the accompanying prospectus to “Exagen,” “the Company,” “we,” “us,” “our” and similar references refer to Exagen Inc.</w:t>
      </w:r>
    </w:p>
    <w:p>
      <w:pPr>
        <w:pStyle w:val="TextBody"/>
        <w:bidi w:val="0"/>
        <w:spacing w:lineRule="auto" w:line="288" w:before="0" w:after="180"/>
        <w:jc w:val="both"/>
        <w:rPr/>
      </w:pPr>
      <w:r>
        <w:rPr>
          <w:rFonts w:ascii="Times New Roman;sans-serif" w:hAnsi="Times New Roman;sans-serif"/>
          <w:b w:val="false"/>
          <w:color w:val="000000"/>
          <w:sz w:val="20"/>
        </w:rPr>
        <w:t>This prospectus supplement and the accompanying prospectus, including the information incorporated by reference herein and therein, and any free writing prospectuses we have authorized for use in connection with this offering, contains registered marks, trademarks and trade names </w:t>
      </w:r>
      <w:r>
        <w:rPr>
          <w:rFonts w:ascii="Times New Roman;sans-serif" w:hAnsi="Times New Roman;sans-serif"/>
          <w:b w:val="false"/>
          <w:color w:val="000000"/>
          <w:sz w:val="20"/>
          <w:shd w:fill="FFFFFF" w:val="clear"/>
        </w:rPr>
        <w:t>owned by us or other</w:t>
      </w:r>
      <w:r>
        <w:rPr>
          <w:color w:val="000000"/>
        </w:rPr>
        <w:t> </w:t>
      </w:r>
      <w:r>
        <w:rPr>
          <w:rFonts w:ascii="Times New Roman;sans-serif" w:hAnsi="Times New Roman;sans-serif"/>
          <w:b w:val="false"/>
          <w:color w:val="000000"/>
          <w:sz w:val="20"/>
        </w:rPr>
        <w:t>companies, which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jc w:val="both"/>
        <w:rPr>
          <w:rFonts w:ascii="Times New Roman;sans-serif" w:hAnsi="Times New Roman;sans-serif"/>
          <w:b w:val="false"/>
          <w:i/>
          <w:color w:val="000000"/>
          <w:sz w:val="20"/>
          <w:bdr w:val="single" w:sz="8" w:space="36" w:color="000000"/>
          <w:shd w:fill="FFFFFF" w:val="clear"/>
        </w:rPr>
      </w:pPr>
      <w:r>
        <w:rPr>
          <w:rFonts w:ascii="Times New Roman;sans-serif" w:hAnsi="Times New Roman;sans-serif"/>
          <w:b w:val="false"/>
          <w:i/>
          <w:color w:val="000000"/>
          <w:sz w:val="20"/>
          <w:bdr w:val="single" w:sz="8" w:space="36" w:color="000000"/>
          <w:shd w:fill="FFFFFF" w:val="clear"/>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About Exagen Inc.</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Revenue from this product comprised 88% and 81% of our revenue for the six months ended June 30, 2023 and 2022,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perform all of our AVISE® tests in our approximately 13,000 square 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Additional Information</w:t>
      </w:r>
    </w:p>
    <w:p>
      <w:pPr>
        <w:pStyle w:val="TextBody"/>
        <w:bidi w:val="0"/>
        <w:spacing w:lineRule="auto" w:line="288" w:before="0" w:after="180"/>
        <w:jc w:val="both"/>
        <w:rPr/>
      </w:pPr>
      <w:r>
        <w:rPr>
          <w:rFonts w:ascii="Times New Roman;sans-serif" w:hAnsi="Times New Roman;sans-serif"/>
          <w:b w:val="false"/>
          <w:color w:val="000000"/>
          <w:sz w:val="20"/>
          <w:bdr w:val="single" w:sz="8" w:space="36" w:color="000000"/>
          <w:shd w:fill="FFFFFF" w:val="clear"/>
        </w:rPr>
        <w:t>For additional information related to our business and operations, please refer to the reports incorporated herein by reference, as described under the caption “</w:t>
      </w:r>
      <w:hyperlink w:anchor="i9a35f4873915467686bcf9a0633daf14_826">
        <w:r>
          <w:rPr>
            <w:rStyle w:val="InternetLink"/>
            <w:rFonts w:ascii="Times New Roman;sans-serif" w:hAnsi="Times New Roman;sans-serif"/>
            <w:b w:val="false"/>
            <w:color w:val="0000FF"/>
            <w:sz w:val="20"/>
            <w:u w:val="single"/>
            <w:bdr w:val="single" w:sz="8" w:space="36" w:color="000000"/>
            <w:shd w:fill="FFFFFF" w:val="clear"/>
          </w:rPr>
          <w:t>Incorporation of Documents by Reference</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on page </w:t>
      </w:r>
      <w:hyperlink w:anchor="i9a35f4873915467686bcf9a0633daf14_826">
        <w:r>
          <w:rPr>
            <w:rStyle w:val="InternetLink"/>
          </w:rPr>
          <w:t>S-</w:t>
        </w:r>
      </w:hyperlink>
      <w:hyperlink w:anchor="i9a35f4873915467686bcf9a0633daf14_826">
        <w:r>
          <w:rPr>
            <w:rStyle w:val="InternetLink"/>
          </w:rPr>
          <w:t>14</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of this prospectus.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Corporate Information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pStyle w:val="TextBody"/>
        <w:bidi w:val="0"/>
        <w:spacing w:lineRule="auto" w:line="288" w:before="0" w:after="180"/>
        <w:jc w:val="both"/>
        <w:rPr>
          <w:bdr w:val="single" w:sz="8" w:space="36" w:color="000000"/>
        </w:rPr>
      </w:pPr>
      <w:r>
        <w:rPr>
          <w:rFonts w:ascii="Times New Roman;sans-serif" w:hAnsi="Times New Roman;sans-serif"/>
          <w:b w:val="false"/>
          <w:color w:val="000000"/>
          <w:sz w:val="20"/>
          <w:bdr w:val="single" w:sz="8" w:space="36" w:color="000000"/>
          <w:shd w:fill="FFFFFF" w:val="clear"/>
        </w:rPr>
        <w:t xml:space="preserve">We maintain a website at </w:t>
      </w:r>
      <w:r>
        <w:rPr>
          <w:rFonts w:ascii="Times New Roman;sans-serif" w:hAnsi="Times New Roman;sans-serif"/>
          <w:b w:val="false"/>
          <w:i/>
          <w:color w:val="000000"/>
          <w:sz w:val="20"/>
          <w:bdr w:val="single" w:sz="8" w:space="36" w:color="000000"/>
          <w:shd w:fill="FFFFFF" w:val="clear"/>
        </w:rPr>
        <w:t>http://www.exagen.com</w:t>
      </w:r>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816"/>
        <w:gridCol w:w="546"/>
        <w:gridCol w:w="549"/>
        <w:gridCol w:w="2515"/>
        <w:gridCol w:w="2389"/>
        <w:gridCol w:w="3390"/>
      </w:tblGrid>
      <w:tr>
        <w:trPr/>
        <w:tc>
          <w:tcPr>
            <w:tcW w:w="8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Offered By Us</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having an aggregate offering price of up to $10,822,402.</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to Be Outstanding After This Offering</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 to 23,695,895 shares (as more fully described in the notes following this table), assuming sales of 6,764,001 shares of our common stock in this offering at an offering price of $1.60 per share, which was the last reported sale price of our common stock on Nasdaq on November 16, 2023. The actual number of shares issued will vary depending on the sales price under this offering.</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Manner of Offering</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rPr>
              <w:t>At the market offering” that may be made from time to time through our sales agent, TD Cowen. See “</w:t>
            </w:r>
            <w:hyperlink w:anchor="i9a35f4873915467686bcf9a0633daf14_746">
              <w:r>
                <w:rPr>
                  <w:rStyle w:val="InternetLink"/>
                  <w:rFonts w:ascii="Times New Roman;sans-serif" w:hAnsi="Times New Roman;sans-serif"/>
                  <w:b w:val="false"/>
                  <w:color w:val="0000FF"/>
                  <w:sz w:val="20"/>
                  <w:u w:val="single"/>
                </w:rPr>
                <w:t>Plan of Distribution</w:t>
              </w:r>
            </w:hyperlink>
            <w:r>
              <w:rPr>
                <w:color w:val="000000"/>
              </w:rPr>
              <w:t xml:space="preserve">” </w:t>
            </w:r>
            <w:r>
              <w:rPr>
                <w:rFonts w:ascii="Times New Roman;sans-serif" w:hAnsi="Times New Roman;sans-serif"/>
                <w:b w:val="false"/>
                <w:color w:val="000000"/>
                <w:sz w:val="20"/>
              </w:rPr>
              <w:t xml:space="preserve">on page </w:t>
            </w:r>
            <w:hyperlink w:anchor="i9a35f4873915467686bcf9a0633daf14_746">
              <w:r>
                <w:rPr>
                  <w:rStyle w:val="InternetLink"/>
                  <w:rFonts w:ascii="Times New Roman;sans-serif" w:hAnsi="Times New Roman;sans-serif"/>
                  <w:b w:val="false"/>
                  <w:color w:val="000080"/>
                  <w:sz w:val="20"/>
                  <w:u w:val="single"/>
                </w:rPr>
                <w:t>S-</w:t>
              </w:r>
            </w:hyperlink>
            <w:hyperlink w:anchor="i9a35f4873915467686bcf9a0633daf14_746">
              <w:r>
                <w:rPr>
                  <w:rStyle w:val="InternetLink"/>
                  <w:rFonts w:ascii="Times New Roman;sans-serif" w:hAnsi="Times New Roman;sans-serif"/>
                  <w:b w:val="false"/>
                  <w:color w:val="000080"/>
                  <w:sz w:val="20"/>
                  <w:u w:val="single"/>
                </w:rPr>
                <w:t>12</w:t>
              </w:r>
            </w:hyperlink>
            <w:r>
              <w:rPr>
                <w:color w:val="000000"/>
              </w:rPr>
              <w:t xml:space="preserve"> </w:t>
            </w:r>
            <w:r>
              <w:rPr>
                <w:rFonts w:ascii="Times New Roman;sans-serif" w:hAnsi="Times New Roman;sans-serif"/>
                <w:b w:val="false"/>
                <w:color w:val="000000"/>
                <w:sz w:val="20"/>
              </w:rPr>
              <w:t>of this prospectus supplement.</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 currently intend to use the net proceeds from this offering, if any, for general corporate purposes, including working capital and other general and administrative purposes. See “</w:t>
            </w:r>
            <w:hyperlink w:anchor="i9a35f4873915467686bcf9a0633daf14_706">
              <w:r>
                <w:rPr>
                  <w:rStyle w:val="InternetLink"/>
                  <w:rFonts w:ascii="Times New Roman;sans-serif" w:hAnsi="Times New Roman;sans-serif"/>
                  <w:b w:val="false"/>
                  <w:color w:val="0000FF"/>
                  <w:sz w:val="20"/>
                  <w:u w:val="single"/>
                </w:rPr>
                <w:t>Use of Proceeds</w:t>
              </w:r>
            </w:hyperlink>
            <w:r>
              <w:rPr>
                <w:color w:val="000000"/>
              </w:rPr>
              <w:t xml:space="preserve">” </w:t>
            </w:r>
            <w:r>
              <w:rPr>
                <w:rFonts w:ascii="Times New Roman;sans-serif" w:hAnsi="Times New Roman;sans-serif"/>
                <w:b w:val="false"/>
                <w:color w:val="000000"/>
                <w:sz w:val="20"/>
              </w:rPr>
              <w:t xml:space="preserve">on page </w:t>
            </w:r>
            <w:hyperlink w:anchor="i9a35f4873915467686bcf9a0633daf14_706">
              <w:r>
                <w:rPr>
                  <w:rStyle w:val="InternetLink"/>
                  <w:rFonts w:ascii="Times New Roman;sans-serif" w:hAnsi="Times New Roman;sans-serif"/>
                  <w:b w:val="false"/>
                  <w:color w:val="000080"/>
                  <w:sz w:val="20"/>
                  <w:u w:val="single"/>
                </w:rPr>
                <w:t>S-</w:t>
              </w:r>
            </w:hyperlink>
            <w:hyperlink w:anchor="i9a35f4873915467686bcf9a0633daf14_706">
              <w:r>
                <w:rPr>
                  <w:rStyle w:val="InternetLink"/>
                  <w:rFonts w:ascii="Times New Roman;sans-serif" w:hAnsi="Times New Roman;sans-serif"/>
                  <w:b w:val="false"/>
                  <w:color w:val="000080"/>
                  <w:sz w:val="20"/>
                  <w:u w:val="single"/>
                </w:rPr>
                <w:t>9</w:t>
              </w:r>
            </w:hyperlink>
            <w:r>
              <w:rPr>
                <w:color w:val="000000"/>
              </w:rPr>
              <w:t xml:space="preserve"> </w:t>
            </w:r>
            <w:r>
              <w:rPr>
                <w:rFonts w:ascii="Times New Roman;sans-serif" w:hAnsi="Times New Roman;sans-serif"/>
                <w:b w:val="false"/>
                <w:color w:val="000000"/>
                <w:sz w:val="20"/>
              </w:rPr>
              <w:t>of this prospectus supplement.</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See “Risk Factors” and other information included in this prospectus supplement and the documents incorporated by reference herein and in the accompanying prospectus for a discussion of factors you should carefully consider before deciding to invest in shares of our common stock.</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Capital Market Symbol</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XGN”</w:t>
            </w:r>
          </w:p>
        </w:tc>
      </w:tr>
    </w:tbl>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number of shares of common stock outstanding immediately following this offering set forth above is based on 16,931,894 shares of our common stock outstanding as of September 30, 2023. This number excludes: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1,004,855 shares of our common stock issuable upon the exercise of stock options outstanding as of September 30, 2023 under our equity incentive plans at a weighted-average exercise price of $11.88 per share;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1,568,112 restricted stock units, or RSUs, outstanding as of September 30, 2023 under our equity incentive plans;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449,332 shares of our common stock reserved as of September 30, 2023 for future issuance under our 2019 Employee Stock Purchase Plan, or the ESPP;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1,746,478 shares of our common stock reserved as of September 30, 2023 for future issuance under our 2019 Incentive Award Plan, or the 2019 Plan;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1,214,059 shares of our common stock issuable upon the exercise of warrants outstanding as of September 30, 2023 at a weighted-average exercise price of $1.70 per share.</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Unless otherwise indicated, all information in this prospectus supplement assumes no exercise of outstanding stock options or warrants subsequent to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An investment in our securities involves a high degree of risk. You should carefully review the risks and uncertainties described below and in the section titled “Risk Factors” in our Annual Report on Form 10-K for the year ended December 31, 2022 and Quarterly Report on Form 10-Q for the quarters ended March 30, 2023, June 30, 2023 and September 30, 2023, as updated by our subsequent filings under the Exchange Act, each of which are incorporated by reference into this prospectus supplement in their entirety, together with all of the other information contained in or incorporated by reference into this prospectus supplement, the accompanying prospectus and any free writing prospectus that we have authorized for use in connection with this offering, before deciding whether to purchase any of the securities being registered pursuant to the registration statement of which this prospectus supplement and the accompanying prospectus is a part. The risks and uncertainties described in these risk factors are not the only ones facing us. Additional risks and uncertainties of which we are currently unaware or that we currently consider to be immaterial may also become important factors that affect us. If any of these risks occur, our business, financial condition or results of operations could be materially and adversely affected. In that case, the value of our common stock could decline, and you may lose some or all of your investment. Please also carefully read the section below titled “Cautionary Note Regarding Forward-Looking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Additional Risks Related to this Offering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you purchase our common stock in this offering, you may experience immediate and substantial dilution.</w:t>
      </w:r>
    </w:p>
    <w:p>
      <w:pPr>
        <w:pStyle w:val="TextBody"/>
        <w:bidi w:val="0"/>
        <w:spacing w:lineRule="auto" w:line="288" w:before="0" w:after="180"/>
        <w:jc w:val="both"/>
        <w:rPr/>
      </w:pPr>
      <w:r>
        <w:rPr>
          <w:rFonts w:ascii="Times New Roman;sans-serif" w:hAnsi="Times New Roman;sans-serif"/>
          <w:b w:val="false"/>
          <w:color w:val="000000"/>
          <w:sz w:val="20"/>
          <w:shd w:fill="FFFFFF" w:val="clear"/>
        </w:rPr>
        <w:t>The offering price per share in this offering may exceed the net tangible book value per share of our common stock outstanding prior to this offering. Assuming that an aggregate o</w:t>
      </w:r>
      <w:r>
        <w:rPr>
          <w:rFonts w:ascii="Times New Roman;sans-serif" w:hAnsi="Times New Roman;sans-serif"/>
          <w:b w:val="false"/>
          <w:color w:val="000000"/>
          <w:sz w:val="20"/>
        </w:rPr>
        <w:t>f 6,764,001 shares of our common stock are sold at a price of $1.60 per share, the last reported sale price of our common stock on Nasdaq on November 16, 2023, for aggregate gross proceeds of $10.8 million, and after deducting estimated offering commissions and offering expenses payable by us, you would experience immediate dilution of $0.01 per share, representing the difference between our as adjusted net tangible book value per share as of September 30, 2023 after giving effect to this offering and the assumed offering price. The exercise of outstanding stock options, vesting of RSUs and exercise of warrants would result in further dilution of your investment. See the section below titled “Dilution” for a more detailed illustration of the dilution you will incur if you participate in this offering. Because the sales of the s</w:t>
      </w:r>
      <w:r>
        <w:rPr>
          <w:rFonts w:ascii="Times New Roman;sans-serif" w:hAnsi="Times New Roman;sans-serif"/>
          <w:b w:val="false"/>
          <w:color w:val="000000"/>
          <w:sz w:val="20"/>
          <w:shd w:fill="FFFFFF" w:val="clear"/>
        </w:rPr>
        <w:t>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you purchase our common stock in this offering, you may experience future dilution as a result of future equity offerings.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management might apply the net proceeds from this offering in ways with which you do not agree and in ways that may impair the value of your investment.</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Until the funds are used as described above, we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intend to invest any net proceeds from this offering in interest bearing, investment grade securities. Our management will have broad discretion in applying any net proceeds of this offering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actual number of shares we will issue under the sales agreement, at any one time or in total, is uncertain.</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common shares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shares of common stock offered hereby will be sold in “at the market offerings,” and investors who buy shares of our common stock at different times will likely pay different prices.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who purchase shares of our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of our common stock sold in this offering. In addition, subject to the final determination by our board of directors, there is no minimum or maximum sales price for shares of our common stock to be sold in this offering. Investors may experience a decline in the value of the shares of common stock they purchase in this offering as a result of sales made at prices lower than the prices they paid.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history of losses, we expect to incur net losses in the future and we may not be able to generate sufficient revenue to achieve and maintain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near-term, we expect that our financial results will depend primarily on sales of our testing products, and we will need to generate sufficient revenue from these testing products to grow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manage our ongoing growth effectively, which could make it difficult to execute our business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commercial success depends on attaining and maintaining significant market acceptance of our testing products and promoted therapeutics among rheumatologists, patients, third-party payors and others in the medical community;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sole suppliers for some of the reagents, equipment and other materials used in our testing products, and we may not be able to fund replacements or transition to alternative suppliers;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support demand for our current testing products or any of our future testing products or solutions, our business could suffer;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or achieve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Developing new testing products involves a lengthy and complex process, and we may not be able to commercialize on a timely basis, or at all, other testing products we are developing;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maintain intellectual property protection our competitive position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the above factors and other future events on the market price of our common stock;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anticipated use of proceeds from this offering, if 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both"/>
        <w:rPr/>
      </w:pPr>
      <w:r>
        <w:rPr>
          <w:rFonts w:ascii="Times New Roman;sans-serif" w:hAnsi="Times New Roman;sans-serif"/>
          <w:b w:val="false"/>
          <w:color w:val="000000"/>
          <w:sz w:val="20"/>
        </w:rPr>
        <w:t>We may issue and sell shares of our common stock having aggregate sales proceeds of up to </w:t>
      </w:r>
      <w:r>
        <w:rPr>
          <w:rFonts w:ascii="Times New Roman;sans-serif" w:hAnsi="Times New Roman;sans-serif"/>
          <w:b w:val="false"/>
          <w:color w:val="000000"/>
          <w:sz w:val="20"/>
          <w:shd w:fill="FFFFFF" w:val="clear"/>
        </w:rPr>
        <w:t>$10.8 million</w:t>
      </w:r>
      <w:r>
        <w:rPr>
          <w:color w:val="000000"/>
        </w:rPr>
        <w:t> </w:t>
      </w:r>
      <w:r>
        <w:rPr>
          <w:rFonts w:ascii="Times New Roman;sans-serif" w:hAnsi="Times New Roman;sans-serif"/>
          <w:b w:val="false"/>
          <w:color w:val="000000"/>
          <w:sz w:val="20"/>
        </w:rPr>
        <w:t>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Our management will have broad discretion in applying any net proceeds of this offering. Until the funds are used as described above, we intend to invest any net proceeds from this offering in interest bearing, investment grade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DILUTION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net tangible book value as of September 30, 2023 was approximately $27.5 million, or $1.62 per share. Net tangible book value per share is determined by dividing our total tangible assets, less total liabilities, by the number of shares of our common stock outstanding as of September 30, 2023. Dilution with respect to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sale of 6,764,001 shares of our common stock in this offering at an assumed offering price of $1.60 per share, the last reported sale price of our common stock on Nasdaq on November 16, 2023, and after deducting estimated offering commissions and offering expenses payable by us, our as adjusted net tangible book value as of September 30, 2023 would have been approximately $37.7 million, or $1.59 per share. This     represents an immediate decrease in net tangible book value of $0.03 per share to existing stockholders and immediate dilution of $0.01 per share to investors purchasing our common stock in this offering at the public offering price.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65"/>
        <w:gridCol w:w="2593"/>
        <w:gridCol w:w="2612"/>
        <w:gridCol w:w="211"/>
        <w:gridCol w:w="511"/>
        <w:gridCol w:w="109"/>
        <w:gridCol w:w="109"/>
        <w:gridCol w:w="109"/>
        <w:gridCol w:w="109"/>
        <w:gridCol w:w="211"/>
        <w:gridCol w:w="511"/>
        <w:gridCol w:w="155"/>
      </w:tblGrid>
      <w:tr>
        <w:trPr/>
        <w:tc>
          <w:tcPr>
            <w:tcW w:w="2965"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tangible book value per share of as September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net tangible book value per share attributable to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 net tangible book value per share as of September 30, 2023, after giving effect to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Dilution per share to investors purchasing our common stock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immediately following this offering is based on 16,931,894 shares of our common stock outstanding as of September 30, 2023. This number excludes: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1,004,855 shares of our common stock issuable upon the exercise of stock options outstanding as of September 30, 2023 under our equity incentive plans at a weighted-average exercise price of $11.88 per share;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1,568,112 restricted stock units, or RSUs, outstanding as of September 30, 2023 under our equity incentive plans;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449,332 shares of our common stock reserved as of September 30, 2023 for future issuance under our 2019 Employee Stock Purchase Plan, or the ESPP;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1,746,478 shares of our common stock reserved as of September 30, 2023 for future issuance under our 2019 Incentive Award Plan, or the 2019 Plan;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1,214,059 shares of our common stock issuable upon the exercise of warrants outstanding as of September 30, 2023 at a weighted-average exercise price of $1.70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assumes for illustrative purposes that an aggregate of 6,764,001 shares of our common stock are sold during the term of the sales agreement with TD Cowen at a price of $1.60 per share, the last reported sale price of our common stock on Nasdaq on November 16, 2023, for aggregate gross proceeds of $10.8 million. The shares subject to the sales agreement with TD Cowen may be sold from time to time at various prices. An increase of $1.00 per share in the price at which the shares are sold from the assumed offering price of $1.60 per share shown in the table above, assuming all of our common stock in the aggregate amount of $10.8 million during the term of the sales agreement with TD Cowen is sold at that price, would increase our adjusted net tangible book value per share after the offering to $1.87 per share and would result in an immediate dilution in as adjusted net tangible book value per share of approximately $0.73 per share to new investors in this offering, after deducting estimated offering commissions and offering expenses payable by us. A decrease of $1.00 per share in the price at which the shares are sold from the assumed offering price of $1.60 per share shown in the table above, assuming all of our common stock in the aggregate amount of $10.8 million during the term of the sales agreement with TD Cowen is sold at that price,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would decrease our adjusted net tangible book value per share after the offering to $1.31 per share and would result in an immediate accretion in net tangible book value per share of approximately $0.71 per share to new investors in this offering, after deducting estimated offering commissions and offering expenses payable by us. This information is supplied for illustrative purposes only.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options or warrants outstanding as of September 30, 2023 have been or may be exercised, RSUs outstanding as of September 30, 2023 have been or may be vested, or we issue additional options, RSUs, warrants or shares of our common stock,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 sales agreement with TD Cowen, under which we may issue and sell from time to time up to $50.0 million of our common stock through TD Cowen as our sales agent, of which $10.8 million of common stock may be offered, issued and sold under this prospectus supplement and is included in the $150 million of securities that may be offered, issued and sold by us pursuant to our shelf registration statement. Sales of our common stock, if any, will be made at market prices by any method that is deemed to be an “at the market offering” as defined in Rule 415(a)(4) under the Securities Act, including sales made directly on Nasdaq or any other trading market for our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jc w:val="both"/>
        <w:rPr/>
      </w:pPr>
      <w:r>
        <w:rPr>
          <w:rFonts w:ascii="Times New Roman;sans-serif" w:hAnsi="Times New Roman;sans-serif"/>
          <w:b w:val="false"/>
          <w:color w:val="000000"/>
          <w:sz w:val="20"/>
        </w:rPr>
        <w:t>The aggregate compensation payable to TD Cowen as sales agent is equal to 3.0% of the gross sales price of the shares sold through it pursuant to the sales agreement. We have also agreed to reimburse TD Cowen up to $75,000 of TD Cowen’s actual outside legal expenses incurred by TD Cowen in connection with this offering. We estimate that the tot</w:t>
      </w:r>
      <w:r>
        <w:rPr>
          <w:rFonts w:ascii="Times New Roman;sans-serif" w:hAnsi="Times New Roman;sans-serif"/>
          <w:b w:val="false"/>
          <w:color w:val="000000"/>
          <w:sz w:val="20"/>
          <w:shd w:fill="FFFFFF" w:val="clear"/>
        </w:rPr>
        <w:t>al expenses of the offering payable by us, excluding commissions payable to TD Cowen under the sales agreement, will be approximately $0.3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report at least quarterly the number of shares of common stock sold through TD Cowen under the sales agreement, the net proceeds to us and the compensation paid by us to TD Cowen in connection with the sales of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 that stabilizes our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Nasdaq and trades under the symbol “XGN.” The transfer agent of our common stock is Computershare Trust Company, N.A.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and/or its affiliates have provided, and may in the future provide, various investment banking and other financial services for us for which services they have received and, may in the future receive, customary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legal matters relating to the issuance of the shares offered by this prospectus supplement and the accompanying prospectus will be passed upon for us by Mintz, Levin, Cohn, Ferris, Glovsky and Popeo, P.C., San Diego, California. Duane Morris LLP, New York, New York, is counsel to TD Cowen in connection with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as of December 31, 2022 and 2021 and for the years then ended incorporated by reference in this prospectus supplement have been so incorporated in reliance on the report of BDO USA, LLP (n/k/a BDO USA, P.C.), an independent registered public accounting firm, incorporated herein by reference,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i/>
          <w:color w:val="000000"/>
          <w:sz w:val="20"/>
          <w:u w:val="single"/>
        </w:rPr>
        <w:t>http://www.sec.gov</w:t>
      </w:r>
      <w:r>
        <w:rPr>
          <w:rFonts w:ascii="Times New Roman;sans-serif" w:hAnsi="Times New Roman;sans-serif"/>
          <w:b w:val="false"/>
          <w:i/>
          <w:color w:val="000000"/>
          <w:sz w:val="20"/>
        </w:rPr>
        <w:t>.</w:t>
      </w:r>
    </w:p>
    <w:p>
      <w:pPr>
        <w:pStyle w:val="TextBody"/>
        <w:bidi w:val="0"/>
        <w:spacing w:lineRule="auto" w:line="288" w:before="0" w:after="180"/>
        <w:jc w:val="both"/>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http://www.exagen.com</w:t>
      </w:r>
      <w:r>
        <w:rPr>
          <w:rFonts w:ascii="Times New Roman;sans-serif" w:hAnsi="Times New Roman;sans-serif"/>
          <w:b w:val="false"/>
          <w:color w:val="000000"/>
          <w:sz w:val="20"/>
        </w:rPr>
        <w:t>. The information on our website, however, is not, and should not be deemed to be, a part of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OF DOCUMENTS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Annual Report on Form 10-K for the year ended December 31, 2022, filed with the SEC on </w:t>
      </w:r>
      <w:hyperlink r:id="rId17">
        <w:r>
          <w:rPr>
            <w:rStyle w:val="InternetLink"/>
            <w:rFonts w:ascii="Times New Roman;sans-serif" w:hAnsi="Times New Roman;sans-serif"/>
            <w:b w:val="false"/>
            <w:color w:val="0000FF"/>
            <w:sz w:val="20"/>
            <w:u w:val="single"/>
          </w:rPr>
          <w:t>March 20, 2023</w:t>
        </w:r>
      </w:hyperlink>
      <w:r>
        <w:rPr>
          <w:rFonts w:ascii="Times New Roman;sans-serif" w:hAnsi="Times New Roman;sans-serif"/>
          <w:b w:val="false"/>
          <w:color w:val="000000"/>
          <w:sz w:val="20"/>
        </w:rPr>
        <w:t>, including the information incorporated by reference into our Annual Report on Form 10-K from our definitive proxy statement for our 2023 Annual Meeting of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Quarterly Report on Form 10-Q for the quarter ended March 31, 2023, June 30, 2023 and September 30, 2023 filed with the SEC on </w:t>
      </w:r>
      <w:hyperlink r:id="rId18">
        <w:r>
          <w:rPr>
            <w:rStyle w:val="InternetLink"/>
            <w:rFonts w:ascii="Times New Roman;sans-serif" w:hAnsi="Times New Roman;sans-serif"/>
            <w:b w:val="false"/>
            <w:color w:val="0000FF"/>
            <w:sz w:val="20"/>
            <w:u w:val="single"/>
          </w:rPr>
          <w:t>May 15, 2023</w:t>
        </w:r>
      </w:hyperlink>
      <w:r>
        <w:rPr>
          <w:rFonts w:ascii="Times New Roman;sans-serif" w:hAnsi="Times New Roman;sans-serif"/>
          <w:b w:val="false"/>
          <w:color w:val="000000"/>
          <w:sz w:val="20"/>
        </w:rPr>
        <w:t xml:space="preserve">, </w:t>
      </w:r>
      <w:hyperlink r:id="rId19">
        <w:r>
          <w:rPr>
            <w:rStyle w:val="InternetLink"/>
            <w:rFonts w:ascii="Times New Roman;sans-serif" w:hAnsi="Times New Roman;sans-serif"/>
            <w:b w:val="false"/>
            <w:color w:val="0000FF"/>
            <w:sz w:val="20"/>
            <w:u w:val="single"/>
          </w:rPr>
          <w:t>August 7, 2023</w:t>
        </w:r>
      </w:hyperlink>
      <w:r>
        <w:rPr>
          <w:color w:val="000000"/>
        </w:rPr>
        <w:t xml:space="preserve"> </w:t>
      </w:r>
      <w:r>
        <w:rPr>
          <w:rFonts w:ascii="Times New Roman;sans-serif" w:hAnsi="Times New Roman;sans-serif"/>
          <w:b w:val="false"/>
          <w:color w:val="000000"/>
          <w:sz w:val="20"/>
        </w:rPr>
        <w:t xml:space="preserve">and </w:t>
      </w:r>
      <w:hyperlink r:id="rId20">
        <w:r>
          <w:rPr>
            <w:rStyle w:val="InternetLink"/>
            <w:rFonts w:ascii="Times New Roman;sans-serif" w:hAnsi="Times New Roman;sans-serif"/>
            <w:b w:val="false"/>
            <w:color w:val="0000FF"/>
            <w:sz w:val="20"/>
            <w:u w:val="single"/>
          </w:rPr>
          <w:t>November 13, 2023</w:t>
        </w:r>
      </w:hyperlink>
      <w:r>
        <w:rPr>
          <w:rFonts w:ascii="Times New Roman;sans-serif" w:hAnsi="Times New Roman;sans-serif"/>
          <w:b w:val="false"/>
          <w:color w:val="000000"/>
          <w:sz w:val="20"/>
        </w:rPr>
        <w:t>, respectively;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Reports on Form 8-K filed with the SEC on </w:t>
      </w:r>
      <w:hyperlink r:id="rId21">
        <w:r>
          <w:rPr>
            <w:rStyle w:val="InternetLink"/>
            <w:rFonts w:ascii="Times New Roman;sans-serif" w:hAnsi="Times New Roman;sans-serif"/>
            <w:b w:val="false"/>
            <w:color w:val="0000FF"/>
            <w:sz w:val="20"/>
            <w:u w:val="single"/>
          </w:rPr>
          <w:t>January 9, 2023</w:t>
        </w:r>
      </w:hyperlink>
      <w:r>
        <w:rPr>
          <w:rFonts w:ascii="Times New Roman;sans-serif" w:hAnsi="Times New Roman;sans-serif"/>
          <w:b w:val="false"/>
          <w:color w:val="000000"/>
          <w:sz w:val="20"/>
        </w:rPr>
        <w:t>, </w:t>
      </w:r>
      <w:hyperlink r:id="rId22">
        <w:r>
          <w:rPr>
            <w:rStyle w:val="InternetLink"/>
            <w:rFonts w:ascii="Times New Roman;sans-serif" w:hAnsi="Times New Roman;sans-serif"/>
            <w:b w:val="false"/>
            <w:color w:val="0000FF"/>
            <w:sz w:val="20"/>
            <w:u w:val="single"/>
          </w:rPr>
          <w:t>January 23, 2023</w:t>
        </w:r>
      </w:hyperlink>
      <w:r>
        <w:rPr>
          <w:rFonts w:ascii="Times New Roman;sans-serif" w:hAnsi="Times New Roman;sans-serif"/>
          <w:b w:val="false"/>
          <w:color w:val="000000"/>
          <w:sz w:val="20"/>
        </w:rPr>
        <w:t>, </w:t>
      </w:r>
      <w:hyperlink r:id="rId23">
        <w:r>
          <w:rPr>
            <w:rStyle w:val="InternetLink"/>
            <w:rFonts w:ascii="Times New Roman;sans-serif" w:hAnsi="Times New Roman;sans-serif"/>
            <w:b w:val="false"/>
            <w:color w:val="0000FF"/>
            <w:sz w:val="20"/>
            <w:u w:val="single"/>
          </w:rPr>
          <w:t>March 23, 2023</w:t>
        </w:r>
      </w:hyperlink>
      <w:r>
        <w:rPr>
          <w:rFonts w:ascii="Times New Roman;sans-serif" w:hAnsi="Times New Roman;sans-serif"/>
          <w:b w:val="false"/>
          <w:color w:val="000000"/>
          <w:sz w:val="20"/>
        </w:rPr>
        <w:t>, </w:t>
      </w:r>
      <w:hyperlink r:id="rId24">
        <w:r>
          <w:rPr>
            <w:rStyle w:val="InternetLink"/>
            <w:rFonts w:ascii="Times New Roman;sans-serif" w:hAnsi="Times New Roman;sans-serif"/>
            <w:b w:val="false"/>
            <w:color w:val="0000FF"/>
            <w:sz w:val="20"/>
            <w:u w:val="single"/>
          </w:rPr>
          <w:t>May 4, 2023</w:t>
        </w:r>
      </w:hyperlink>
      <w:r>
        <w:rPr>
          <w:rFonts w:ascii="Times New Roman;sans-serif" w:hAnsi="Times New Roman;sans-serif"/>
          <w:b w:val="false"/>
          <w:color w:val="000000"/>
          <w:sz w:val="20"/>
        </w:rPr>
        <w:t xml:space="preserve">, </w:t>
      </w:r>
      <w:hyperlink r:id="rId25">
        <w:r>
          <w:rPr>
            <w:rStyle w:val="InternetLink"/>
            <w:rFonts w:ascii="Times New Roman;sans-serif" w:hAnsi="Times New Roman;sans-serif"/>
            <w:b w:val="false"/>
            <w:color w:val="0000FF"/>
            <w:sz w:val="20"/>
            <w:u w:val="single"/>
          </w:rPr>
          <w:t>June 14, 2023</w:t>
        </w:r>
      </w:hyperlink>
      <w:r>
        <w:rPr>
          <w:rFonts w:ascii="Times New Roman;sans-serif" w:hAnsi="Times New Roman;sans-serif"/>
          <w:b w:val="false"/>
          <w:color w:val="000000"/>
          <w:sz w:val="20"/>
        </w:rPr>
        <w:t xml:space="preserve">, </w:t>
      </w:r>
      <w:hyperlink r:id="rId26">
        <w:r>
          <w:rPr>
            <w:rStyle w:val="InternetLink"/>
            <w:rFonts w:ascii="Times New Roman;sans-serif" w:hAnsi="Times New Roman;sans-serif"/>
            <w:b w:val="false"/>
            <w:color w:val="0000FF"/>
            <w:sz w:val="20"/>
            <w:u w:val="single"/>
          </w:rPr>
          <w:t>July 24, 2023</w:t>
        </w:r>
      </w:hyperlink>
      <w:r>
        <w:rPr>
          <w:color w:val="000000"/>
        </w:rPr>
        <w:t xml:space="preserve"> </w:t>
      </w:r>
      <w:r>
        <w:rPr>
          <w:rFonts w:ascii="Times New Roman;sans-serif" w:hAnsi="Times New Roman;sans-serif"/>
          <w:b w:val="false"/>
          <w:color w:val="000000"/>
          <w:sz w:val="20"/>
        </w:rPr>
        <w:t xml:space="preserve">and </w:t>
      </w:r>
      <w:hyperlink r:id="rId27">
        <w:r>
          <w:rPr>
            <w:rStyle w:val="InternetLink"/>
            <w:rFonts w:ascii="Times New Roman;sans-serif" w:hAnsi="Times New Roman;sans-serif"/>
            <w:b w:val="false"/>
            <w:color w:val="0000FF"/>
            <w:sz w:val="20"/>
            <w:u w:val="single"/>
          </w:rPr>
          <w:t>October 26, 2023</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description of our common stock set forth in the Registrant's registration statement on Form 8-A12B (Registration No. 001-39049), filed by the Registrant with the SEC under Section 12(b) of the Securities Exchange Act of 1934, as amended, or the Exchange Act, on </w:t>
      </w:r>
      <w:hyperlink r:id="rId28">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request a free copy of any of the documents incorporated by reference in this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Exagen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1261 Liberty Way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Vista, California 92081</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(760) 560-1501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$10,822,402</w:t>
      </w:r>
    </w:p>
    <w:p>
      <w:pPr>
        <w:pStyle w:val="TextBody"/>
        <w:bidi w:val="0"/>
        <w:spacing w:before="0" w:after="180"/>
        <w:jc w:val="center"/>
        <w:rPr/>
      </w:pPr>
      <w:r>
        <w:rPr/>
        <w:drawing>
          <wp:inline distT="0" distB="0" distL="0" distR="0">
            <wp:extent cx="2743200" cy="1009650"/>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29"/>
                    <a:stretch>
                      <a:fillRect/>
                    </a:stretch>
                  </pic:blipFill>
                  <pic:spPr bwMode="auto">
                    <a:xfrm>
                      <a:off x="0" y="0"/>
                      <a:ext cx="2743200" cy="1009650"/>
                    </a:xfrm>
                    <a:prstGeom prst="rect">
                      <a:avLst/>
                    </a:prstGeom>
                  </pic:spPr>
                </pic:pic>
              </a:graphicData>
            </a:graphic>
          </wp:inline>
        </w:drawing>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70"/>
        <w:jc w:val="center"/>
        <w:rPr>
          <w:rFonts w:ascii="Times New Roman;sans-serif" w:hAnsi="Times New Roman;sans-serif"/>
          <w:b/>
          <w:color w:val="000000"/>
          <w:sz w:val="32"/>
        </w:rPr>
      </w:pPr>
      <w:r>
        <w:rPr>
          <w:rFonts w:ascii="Times New Roman;sans-serif" w:hAnsi="Times New Roman;sans-serif"/>
          <w:b/>
          <w:color w:val="000000"/>
          <w:sz w:val="32"/>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TD Cowen</w: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240"/>
        <w:jc w:val="center"/>
        <w:rPr>
          <w:color w:val="000000"/>
        </w:rPr>
      </w:pPr>
      <w:r>
        <w:rPr>
          <w:color w:val="000000"/>
        </w:rPr>
        <w:t>                    </w:t>
      </w:r>
      <w:r>
        <w:rPr>
          <w:rFonts w:ascii="Times New Roman;sans-serif" w:hAnsi="Times New Roman;sans-serif"/>
          <w:b/>
          <w:color w:val="000000"/>
          <w:sz w:val="24"/>
        </w:rPr>
        <w:t>, 2023</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14.  Other Expenses of Issuance and Distribution.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estimate of expenses (all of which are to be paid by the registrant) that we may incur in connection with the securities being registered hereby. Each item listed is estimated, except for the SEC registration fee and the Financial Industry Regulatory Authority, Inc., or FINRA, filing fee.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Amount</w:t>
      </w:r>
    </w:p>
    <w:tbl>
      <w:tblPr>
        <w:tblW w:w="5664" w:type="dxa"/>
        <w:jc w:val="left"/>
        <w:tblInd w:w="0" w:type="dxa"/>
        <w:tblLayout w:type="fixed"/>
        <w:tblCellMar>
          <w:top w:w="28" w:type="dxa"/>
          <w:left w:w="28" w:type="dxa"/>
          <w:bottom w:w="28" w:type="dxa"/>
          <w:right w:w="28" w:type="dxa"/>
        </w:tblCellMar>
      </w:tblPr>
      <w:tblGrid>
        <w:gridCol w:w="1607"/>
        <w:gridCol w:w="1412"/>
        <w:gridCol w:w="1420"/>
        <w:gridCol w:w="114"/>
        <w:gridCol w:w="114"/>
        <w:gridCol w:w="114"/>
        <w:gridCol w:w="360"/>
        <w:gridCol w:w="361"/>
        <w:gridCol w:w="162"/>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 registration fee</w:t>
            </w:r>
          </w:p>
        </w:tc>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FINRA filing fee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Accountant’s fees and expenses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agent’s fees and expenses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4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(1)These fees are calculated based on the securities offered and the number of issuances and accordingly cannot be estimated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15.  Indemnification of Directors and Officers.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general liability insurance policy that covers certain liabilities of directors and officers of our corporation arising out of claims based on acts or omissions in their capacities as directors or officers.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underwriting agreement or distribution agreement that we enter into with any underwriter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Exhibits.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8"/>
        <w:gridCol w:w="289"/>
        <w:gridCol w:w="290"/>
        <w:gridCol w:w="109"/>
        <w:gridCol w:w="109"/>
        <w:gridCol w:w="109"/>
        <w:gridCol w:w="1673"/>
        <w:gridCol w:w="1546"/>
        <w:gridCol w:w="1508"/>
        <w:gridCol w:w="109"/>
        <w:gridCol w:w="109"/>
        <w:gridCol w:w="109"/>
        <w:gridCol w:w="176"/>
        <w:gridCol w:w="176"/>
        <w:gridCol w:w="178"/>
        <w:gridCol w:w="118"/>
        <w:gridCol w:w="118"/>
        <w:gridCol w:w="118"/>
        <w:gridCol w:w="226"/>
        <w:gridCol w:w="226"/>
        <w:gridCol w:w="227"/>
        <w:gridCol w:w="118"/>
        <w:gridCol w:w="118"/>
        <w:gridCol w:w="118"/>
        <w:gridCol w:w="230"/>
        <w:gridCol w:w="230"/>
        <w:gridCol w:w="231"/>
        <w:gridCol w:w="109"/>
        <w:gridCol w:w="109"/>
        <w:gridCol w:w="109"/>
        <w:gridCol w:w="284"/>
        <w:gridCol w:w="284"/>
        <w:gridCol w:w="414"/>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Underwriting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Sales Agreement, dated as of September 15, 2022, by and between the Company and Cowen and Company, LLC</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9-15-2022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3-22-2021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Amended and Restated Bylaws, dated January 19, 2023</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Specimen stock certificate evidencing the shares of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Amended and Restated Investors’ Rights Agreement, dated July 12, 2019,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Amended and Restated Stockholders' Agreement, dated July 12, 2019, by and among the Company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3"/>
        <w:gridCol w:w="284"/>
        <w:gridCol w:w="109"/>
        <w:gridCol w:w="109"/>
        <w:gridCol w:w="109"/>
        <w:gridCol w:w="1597"/>
        <w:gridCol w:w="1495"/>
        <w:gridCol w:w="1500"/>
        <w:gridCol w:w="109"/>
        <w:gridCol w:w="109"/>
        <w:gridCol w:w="109"/>
        <w:gridCol w:w="176"/>
        <w:gridCol w:w="176"/>
        <w:gridCol w:w="177"/>
        <w:gridCol w:w="118"/>
        <w:gridCol w:w="118"/>
        <w:gridCol w:w="118"/>
        <w:gridCol w:w="324"/>
        <w:gridCol w:w="292"/>
        <w:gridCol w:w="238"/>
        <w:gridCol w:w="118"/>
        <w:gridCol w:w="118"/>
        <w:gridCol w:w="118"/>
        <w:gridCol w:w="230"/>
        <w:gridCol w:w="230"/>
        <w:gridCol w:w="231"/>
        <w:gridCol w:w="109"/>
        <w:gridCol w:w="109"/>
        <w:gridCol w:w="109"/>
        <w:gridCol w:w="280"/>
        <w:gridCol w:w="280"/>
        <w:gridCol w:w="402"/>
      </w:tblGrid>
      <w:tr>
        <w:trPr/>
        <w:tc>
          <w:tcPr>
            <w:tcW w:w="3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Common Stock Purchase Warrant issued to investors by the Registrant in connection with private placement financings.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Form of Common Stock Purchase Warrant to purchase common stock issued to investors by the Registrant in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80"/>
                  <w:sz w:val="20"/>
                  <w:u w:val="single"/>
                </w:rPr>
                <w:t>Form of Warrant to Purchase Stock issued to Innovatus Life Sciences Lending Fund I.</w:t>
              </w:r>
            </w:hyperlink>
            <w:hyperlink r:id="rId40">
              <w:r>
                <w:rPr>
                  <w:rStyle w:val="InternetLink"/>
                  <w:rFonts w:ascii="Times New Roman;sans-serif" w:hAnsi="Times New Roman;sans-serif"/>
                  <w:b w:val="false"/>
                  <w:color w:val="000080"/>
                  <w:sz w:val="20"/>
                  <w:u w:val="single"/>
                </w:rPr>
                <w:t xml:space="preserve"> </w:t>
              </w:r>
            </w:hyperlink>
            <w:hyperlink r:id="rId41">
              <w:r>
                <w:rPr>
                  <w:rStyle w:val="InternetLink"/>
                  <w:rFonts w:ascii="Times New Roman;sans-serif" w:hAnsi="Times New Roman;sans-serif"/>
                  <w:b w:val="false"/>
                  <w:color w:val="000080"/>
                  <w:sz w:val="20"/>
                  <w:u w:val="single"/>
                </w:rPr>
                <w:t>LP in connection with the Registrant’s 2018 loan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9-9-2019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Form of Exchange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8-9-2021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Preferred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333-250015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Debt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Warrant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ans-serif" w:hAnsi="Times New Roman;sans-serif"/>
                  <w:b w:val="false"/>
                  <w:color w:val="0000FF"/>
                  <w:sz w:val="20"/>
                  <w:u w:val="single"/>
                </w:rPr>
                <w:t>Opinion of Mintz, Levin Cohn, Ferris, Glovsky and Popeo, P.C.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htm">
              <w:r>
                <w:rPr>
                  <w:rStyle w:val="InternetLink"/>
                  <w:rFonts w:ascii="Times New Roman;sans-serif" w:hAnsi="Times New Roman;sans-serif"/>
                  <w:b w:val="false"/>
                  <w:color w:val="000080"/>
                  <w:sz w:val="20"/>
                  <w:u w:val="single"/>
                </w:rPr>
                <w:t xml:space="preserve">Consent of BDO USA, </w:t>
              </w:r>
            </w:hyperlink>
            <w:hyperlink w:anchor="exhibit231-sx3.htm">
              <w:r>
                <w:rPr>
                  <w:rStyle w:val="InternetLink"/>
                  <w:rFonts w:ascii="Times New Roman;sans-serif" w:hAnsi="Times New Roman;sans-serif"/>
                  <w:b w:val="false"/>
                  <w:color w:val="000080"/>
                  <w:sz w:val="20"/>
                  <w:u w:val="single"/>
                </w:rPr>
                <w:t>P.C.</w:t>
              </w:r>
            </w:hyperlink>
            <w:hyperlink w:anchor="exhibit231-sx3.htm">
              <w:r>
                <w:rPr>
                  <w:rStyle w:val="InternetLink"/>
                  <w:rFonts w:ascii="Times New Roman;sans-serif" w:hAnsi="Times New Roman;sans-serif"/>
                  <w:b w:val="false"/>
                  <w:color w:val="000080"/>
                  <w:sz w:val="20"/>
                  <w:u w:val="single"/>
                </w:rPr>
                <w:t>,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ans-serif" w:hAnsi="Times New Roman;sans-serif"/>
                  <w:b w:val="false"/>
                  <w:color w:val="0000FF"/>
                  <w:sz w:val="20"/>
                  <w:u w:val="single"/>
                </w:rPr>
                <w:t>Consent of Mintz, Levin Cohn, Ferris, Glovsky and Popeo, P.C.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35f4873915467686bcf9a0633daf14_957">
              <w:r>
                <w:rPr>
                  <w:rStyle w:val="InternetLink"/>
                  <w:rFonts w:ascii="Times New Roman;sans-serif" w:hAnsi="Times New Roman;sans-serif"/>
                  <w:b w:val="false"/>
                  <w:color w:val="0000FF"/>
                  <w:sz w:val="20"/>
                  <w:u w:val="single"/>
                </w:rPr>
                <w:t>Power of Attorney (included in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Eligibility of Trustee on Form T-1 under the Trust Indenture Act of 1939,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sx3.htm">
              <w:r>
                <w:rPr>
                  <w:rStyle w:val="InternetLink"/>
                  <w:rFonts w:ascii="Times New Roman;sans-serif" w:hAnsi="Times New Roman;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*To be subsequently filed, if applicable, by an amendment to this registration statement or as an exhibit to a report on Form 10-K, Form 10-Q or Form 8-K and incorporated herein by reference.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**To be filed in accordance with the requirements of Section 305(b)(2) of the Trust Indenture Act of 1939, as amended, and the applicable rules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17. Undertakings.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registrant hereby undertakes: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(a)(1) To file, during any period in which offers or sales are being made, a post-effective amendment to this registration statement: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(i)To include any prospectus required by Section 10(a)(3) of the Securities Act of 1933, as amended (“Securities Act”);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(“Exchange Act”), that are incorporated by reference in the registration statement, or is contained in a form of prospectus filed pursuant to Rule 424(b) that is part of the registration statement;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(4)That, for the purpose of determining liability under the Securities Act to any purchaser:</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(i)Any preliminary prospectus or prospectus of the undersigned registrant relating to the offering required to be filed pursuant to Rule 424;</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w10:wrap type="none"/>
              </v:rect>
            </w:pict>
          </mc:Fallback>
        </mc:AlternateConten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(9)That,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(10)To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Vista, State of California, on the 17th day of November, 2023.</w:t>
      </w:r>
    </w:p>
    <w:tbl>
      <w:tblPr>
        <w:tblW w:w="3859" w:type="dxa"/>
        <w:jc w:val="right"/>
        <w:tblInd w:w="0" w:type="dxa"/>
        <w:tblLayout w:type="fixed"/>
        <w:tblCellMar>
          <w:top w:w="28" w:type="dxa"/>
          <w:left w:w="28" w:type="dxa"/>
          <w:bottom w:w="28" w:type="dxa"/>
          <w:right w:w="28" w:type="dxa"/>
        </w:tblCellMar>
      </w:tblPr>
      <w:tblGrid>
        <w:gridCol w:w="236"/>
        <w:gridCol w:w="207"/>
        <w:gridCol w:w="207"/>
        <w:gridCol w:w="933"/>
        <w:gridCol w:w="933"/>
        <w:gridCol w:w="1343"/>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EXAGEN INC.</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jc w:val="both"/>
        <w:rPr/>
      </w:pPr>
      <w:r>
        <w:rPr>
          <w:rFonts w:ascii="Times New Roman;sans-serif" w:hAnsi="Times New Roman;sans-serif"/>
          <w:b/>
          <w:color w:val="000000"/>
          <w:sz w:val="20"/>
        </w:rPr>
        <w:t>KNOW ALL PERSONS BY THESE PRESENTS</w:t>
      </w:r>
      <w:r>
        <w:rPr>
          <w:rFonts w:ascii="Times New Roman;sans-serif" w:hAnsi="Times New Roman;sans-serif"/>
          <w:b w:val="false"/>
          <w:color w:val="000000"/>
          <w:sz w:val="20"/>
        </w:rPr>
        <w:t>, that each person whose signature appears below constitutes and appoints, jointly and severally, John Aballi and Kamal Adawi, and each one of them, his or her true and lawful attorneys-in-fact and agents, each with full power of substitution and resubstitution, for him or her and in his or her name, place and stead, in any and all capacities, to file and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each of said attorneys-in-fact and agents or any of them, or his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and on the dates indicated.</w:t>
      </w:r>
    </w:p>
    <w:tbl>
      <w:tblPr>
        <w:tblW w:w="8887" w:type="dxa"/>
        <w:jc w:val="left"/>
        <w:tblInd w:w="0" w:type="dxa"/>
        <w:tblLayout w:type="fixed"/>
        <w:tblCellMar>
          <w:top w:w="28" w:type="dxa"/>
          <w:left w:w="28" w:type="dxa"/>
          <w:bottom w:w="28" w:type="dxa"/>
          <w:right w:w="28" w:type="dxa"/>
        </w:tblCellMar>
      </w:tblPr>
      <w:tblGrid>
        <w:gridCol w:w="896"/>
        <w:gridCol w:w="788"/>
        <w:gridCol w:w="790"/>
        <w:gridCol w:w="109"/>
        <w:gridCol w:w="109"/>
        <w:gridCol w:w="109"/>
        <w:gridCol w:w="1329"/>
        <w:gridCol w:w="1329"/>
        <w:gridCol w:w="1346"/>
        <w:gridCol w:w="109"/>
        <w:gridCol w:w="109"/>
        <w:gridCol w:w="109"/>
        <w:gridCol w:w="512"/>
        <w:gridCol w:w="512"/>
        <w:gridCol w:w="731"/>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Kamal Adawi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Corporate Secretary</w:t>
            </w:r>
          </w:p>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Kamal Adawi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Chairperson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Wendy S.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Wendy S.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Brian Birk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Brian Birk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Ebetuel Pallares,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Ebetuel Pallares,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Bruce C.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Paul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S-3</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Exagen Inc.</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400"/>
        <w:jc w:val="center"/>
        <w:rPr>
          <w:rFonts w:ascii="Times New Roman;sans-serif" w:hAnsi="Times New Roman;sans-serif"/>
          <w:b w:val="false"/>
          <w:color w:val="000000"/>
          <w:sz w:val="20"/>
        </w:rPr>
      </w:pPr>
      <w:r>
        <w:rPr>
          <w:rFonts w:ascii="Times New Roman;sans-serif" w:hAnsi="Times New Roman;sans-serif"/>
          <w:b w:val="false"/>
          <w:color w:val="000000"/>
          <w:sz w:val="20"/>
        </w:rPr>
        <w:t>Table 1: Newly Registered and Carryforward Securities</w:t>
      </w:r>
    </w:p>
    <w:tbl>
      <w:tblPr>
        <w:tblW w:w="11623" w:type="dxa"/>
        <w:jc w:val="left"/>
        <w:tblInd w:w="0" w:type="dxa"/>
        <w:tblLayout w:type="fixed"/>
        <w:tblCellMar>
          <w:top w:w="28" w:type="dxa"/>
          <w:left w:w="28" w:type="dxa"/>
          <w:bottom w:w="28" w:type="dxa"/>
          <w:right w:w="28" w:type="dxa"/>
        </w:tblCellMar>
      </w:tblPr>
      <w:tblGrid>
        <w:gridCol w:w="304"/>
        <w:gridCol w:w="268"/>
        <w:gridCol w:w="269"/>
        <w:gridCol w:w="369"/>
        <w:gridCol w:w="326"/>
        <w:gridCol w:w="236"/>
        <w:gridCol w:w="295"/>
        <w:gridCol w:w="235"/>
        <w:gridCol w:w="236"/>
        <w:gridCol w:w="315"/>
        <w:gridCol w:w="315"/>
        <w:gridCol w:w="316"/>
        <w:gridCol w:w="290"/>
        <w:gridCol w:w="290"/>
        <w:gridCol w:w="291"/>
        <w:gridCol w:w="280"/>
        <w:gridCol w:w="280"/>
        <w:gridCol w:w="281"/>
        <w:gridCol w:w="650"/>
        <w:gridCol w:w="290"/>
        <w:gridCol w:w="291"/>
        <w:gridCol w:w="319"/>
        <w:gridCol w:w="319"/>
        <w:gridCol w:w="323"/>
        <w:gridCol w:w="335"/>
        <w:gridCol w:w="335"/>
        <w:gridCol w:w="336"/>
        <w:gridCol w:w="250"/>
        <w:gridCol w:w="250"/>
        <w:gridCol w:w="251"/>
        <w:gridCol w:w="250"/>
        <w:gridCol w:w="250"/>
        <w:gridCol w:w="251"/>
        <w:gridCol w:w="250"/>
        <w:gridCol w:w="250"/>
        <w:gridCol w:w="251"/>
        <w:gridCol w:w="285"/>
        <w:gridCol w:w="285"/>
        <w:gridCol w:w="40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 Type</w:t>
            </w:r>
          </w:p>
        </w:tc>
        <w:tc>
          <w:tcPr>
            <w:tcW w:w="7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 Class Title</w:t>
            </w:r>
          </w:p>
        </w:tc>
        <w:tc>
          <w:tcPr>
            <w:tcW w:w="9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 Calculation or Carry Forward Rule</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Registered</w:t>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Maximum Offering Price Per Unit</w:t>
            </w:r>
          </w:p>
        </w:tc>
        <w:tc>
          <w:tcPr>
            <w:tcW w:w="12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Aggregate Offering Price</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 Rate</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Registration Fee</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Form Type</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File Number</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Initial Effective Date</w:t>
            </w:r>
          </w:p>
        </w:tc>
        <w:tc>
          <w:tcPr>
            <w:tcW w:w="9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Fee Paid In Connection with Unsold Securities to be Carried Forward</w:t>
            </w:r>
          </w:p>
        </w:tc>
      </w:tr>
      <w:tr>
        <w:trPr/>
        <w:tc>
          <w:tcPr>
            <w:tcW w:w="10647" w:type="dxa"/>
            <w:gridSpan w:val="3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Newly Registered Securities</w:t>
            </w:r>
          </w:p>
        </w:tc>
        <w:tc>
          <w:tcPr>
            <w:tcW w:w="97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Newly Registered Securities</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per share</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457(o)</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per share</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457(o)</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Debt</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457(o)</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457(o)</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457(o)</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Unallocated (Universal) Shelf</w:t>
            </w:r>
          </w:p>
        </w:tc>
        <w:tc>
          <w:tcPr>
            <w:tcW w:w="7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9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457(o)</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$69,143,750.00</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0.00014760</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$10,205.62 (3)</w:t>
            </w:r>
          </w:p>
        </w:tc>
        <w:tc>
          <w:tcPr>
            <w:tcW w:w="7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1"/>
        <w:gridCol w:w="283"/>
        <w:gridCol w:w="349"/>
        <w:gridCol w:w="349"/>
        <w:gridCol w:w="353"/>
        <w:gridCol w:w="409"/>
        <w:gridCol w:w="328"/>
        <w:gridCol w:w="329"/>
        <w:gridCol w:w="156"/>
        <w:gridCol w:w="156"/>
        <w:gridCol w:w="157"/>
        <w:gridCol w:w="109"/>
        <w:gridCol w:w="109"/>
        <w:gridCol w:w="109"/>
        <w:gridCol w:w="109"/>
        <w:gridCol w:w="109"/>
        <w:gridCol w:w="109"/>
        <w:gridCol w:w="439"/>
        <w:gridCol w:w="439"/>
        <w:gridCol w:w="443"/>
        <w:gridCol w:w="290"/>
        <w:gridCol w:w="290"/>
        <w:gridCol w:w="291"/>
        <w:gridCol w:w="305"/>
        <w:gridCol w:w="305"/>
        <w:gridCol w:w="306"/>
        <w:gridCol w:w="169"/>
        <w:gridCol w:w="169"/>
        <w:gridCol w:w="170"/>
        <w:gridCol w:w="225"/>
        <w:gridCol w:w="225"/>
        <w:gridCol w:w="226"/>
        <w:gridCol w:w="302"/>
        <w:gridCol w:w="302"/>
        <w:gridCol w:w="303"/>
        <w:gridCol w:w="255"/>
        <w:gridCol w:w="255"/>
        <w:gridCol w:w="371"/>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324" w:type="dxa"/>
            <w:gridSpan w:val="3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Securities</w:t>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Carry Forward Securities</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per share</w:t>
            </w:r>
          </w:p>
        </w:tc>
        <w:tc>
          <w:tcPr>
            <w:tcW w:w="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415(a)(6)</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S-3</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333-250015</w:t>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19, 2020</w:t>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per share</w:t>
            </w:r>
          </w:p>
        </w:tc>
        <w:tc>
          <w:tcPr>
            <w:tcW w:w="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415(a)(6)</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S-3</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333-250015</w:t>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19, 2020</w:t>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Debt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415(a)(6)</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S-3</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333-250015</w:t>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19, 2020</w:t>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c>
          <w:tcPr>
            <w:tcW w:w="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415(a)(6)</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S-3</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333-250015</w:t>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19, 2020</w:t>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415(a)(6)</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S-3</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333-250015</w:t>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19, 2020</w:t>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Unallocated (Universal) Shelf</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415(a)(6)</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$80,856,250.00</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0.0001091</w:t>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 S-3</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333-250015</w:t>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19, 2020</w:t>
            </w:r>
          </w:p>
        </w:tc>
        <w:tc>
          <w:tcPr>
            <w:tcW w:w="8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$8,821.47</w:t>
            </w:r>
          </w:p>
        </w:tc>
      </w:tr>
      <w:tr>
        <w:trPr/>
        <w:tc>
          <w:tcPr>
            <w:tcW w:w="8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Offering Amounts</w:t>
            </w:r>
          </w:p>
        </w:tc>
        <w:tc>
          <w:tcPr>
            <w:tcW w:w="4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$150,000,000.00</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$10,205.62</w:t>
            </w:r>
          </w:p>
        </w:tc>
        <w:tc>
          <w:tcPr>
            <w:tcW w:w="5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Fees Previously Paid</w:t>
            </w:r>
          </w:p>
        </w:tc>
        <w:tc>
          <w:tcPr>
            <w:tcW w:w="4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Fee Offset</w:t>
            </w:r>
          </w:p>
        </w:tc>
        <w:tc>
          <w:tcPr>
            <w:tcW w:w="4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Fee Due</w:t>
            </w:r>
          </w:p>
        </w:tc>
        <w:tc>
          <w:tcPr>
            <w:tcW w:w="46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$10,205.62</w:t>
            </w:r>
          </w:p>
        </w:tc>
        <w:tc>
          <w:tcPr>
            <w:tcW w:w="50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(1)There are being registered hereunder such indeterminate number of shares of common stock and preferred stock, such indeterminate principal amount of debt securities, such indeterminate number of warrants to purchase common stock, preferred stock or debt securities, and such indeterminate number of units, as shall have an aggregate initial offering price not to exceed $150,000,000.00. If any debt securities are issued at an original issue discount, then the offering price of such debt securities shall be in such greater principal amount as shall result in an aggregate initial offering price not to exceed $150,000,000.00,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$150,000,000 of securities registered hereunder includes $10,822,402 of shares of common stock that may be offered, issued and sold pursuant to that certain sales agreement by and between the registrant and Cowen and Company, LLC.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registrant previously paid registration fees in the aggregate of $26,307 with respect to the Registration Statement on Form S-3 (Commission File No. 333-250015) (the “Prior Registration Statement”) of which $8,821.47 was paid in connection with the registration of the primary offering of securities that remain unsold as of the date hereof. Pursuant to Rule 415(a)(6) under the Securities Act the registration fee of $8,821.47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w:t>
      </w:r>
    </w:p>
    <w:p>
      <w:pPr>
        <w:pStyle w:val="TextBody"/>
        <w:bidi w:val="0"/>
        <w:spacing w:lineRule="auto" w:line="288" w:before="0" w:after="20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proposed maximum aggregate offering price per class of security will be determined from time to time by the registrant in connection with the issuance by the registrant of the securities registered hereunder and is not specified as to each class of security pursuant to Item 16(b) of Form S-3 under the Securities Act.</w:t>
      </w:r>
    </w:p>
    <w:p>
      <w:pPr>
        <w:pStyle w:val="TextBody"/>
        <w:bidi w:val="0"/>
        <w:spacing w:lineRule="auto" w:line="288"/>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(3)Estimated solely for the purpose of calculating the registration fee pursuant to Rule 457(o) under the Securities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37" w:type="dxa"/>
        <w:jc w:val="left"/>
        <w:tblInd w:w="0" w:type="dxa"/>
        <w:tblLayout w:type="fixed"/>
        <w:tblCellMar>
          <w:top w:w="28" w:type="dxa"/>
          <w:left w:w="28" w:type="dxa"/>
          <w:bottom w:w="28" w:type="dxa"/>
          <w:right w:w="28" w:type="dxa"/>
        </w:tblCellMar>
      </w:tblPr>
      <w:tblGrid>
        <w:gridCol w:w="124"/>
        <w:gridCol w:w="109"/>
        <w:gridCol w:w="109"/>
        <w:gridCol w:w="508"/>
        <w:gridCol w:w="508"/>
        <w:gridCol w:w="510"/>
        <w:gridCol w:w="780"/>
        <w:gridCol w:w="780"/>
        <w:gridCol w:w="11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857250"/>
                  <wp:effectExtent l="0" t="0" r="0" b="0"/>
                  <wp:docPr id="6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 descr=""/>
                          <pic:cNvPicPr>
                            <a:picLocks noChangeAspect="1" noChangeArrowheads="1"/>
                          </pic:cNvPicPr>
                        </pic:nvPicPr>
                        <pic:blipFill>
                          <a:blip r:embed="rId44"/>
                          <a:stretch>
                            <a:fillRect/>
                          </a:stretch>
                        </pic:blipFill>
                        <pic:spPr bwMode="auto">
                          <a:xfrm>
                            <a:off x="0" y="0"/>
                            <a:ext cx="914400" cy="857250"/>
                          </a:xfrm>
                          <a:prstGeom prst="rect">
                            <a:avLst/>
                          </a:prstGeom>
                        </pic:spPr>
                      </pic:pic>
                    </a:graphicData>
                  </a:graphic>
                </wp:inline>
              </w:drawing>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3580 Carmel Mountain Road, #300</w:t>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San Diego, CA 92130</w:t>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858 314 1500</w:t>
            </w:r>
          </w:p>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mintz.com</w:t>
            </w:r>
          </w:p>
          <w:p>
            <w:pPr>
              <w:pStyle w:val="TableContents"/>
              <w:bidi w:val="0"/>
              <w:spacing w:before="0" w:after="0"/>
              <w:jc w:val="right"/>
              <w:rPr/>
            </w:pPr>
            <w:r>
              <w:rPr/>
            </w:r>
          </w:p>
        </w:tc>
      </w:tr>
    </w:tbl>
    <w:p>
      <w:pPr>
        <w:pStyle w:val="TextBody"/>
        <w:bidi w:val="0"/>
        <w:spacing w:before="0" w:after="480"/>
        <w:jc w:val="right"/>
        <w:rPr/>
      </w:pPr>
      <w:r>
        <w:rPr/>
      </w:r>
    </w:p>
    <w:p>
      <w:pPr>
        <w:pStyle w:val="TextBody"/>
        <w:bidi w:val="0"/>
        <w:spacing w:lineRule="auto" w:line="288" w:before="0" w:after="480"/>
        <w:jc w:val="righ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Exagen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1261 Liberty Way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Vista, California 92801</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acted as legal counsel to Exagen Inc., a Delaware corporation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    common stock, $0.001 par value per share (the “Common Stock”);</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    preferred stock, $0.001 par value per share (the “Preferred Stock”);</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    debt securities, in one or more series (the “Debt Securities”), which may be issued pursuant to an indenture to be dated on or about the date of the first issuance of Debt Securities thereunder, by and between the Company and a trustee to be selected by the Company, in the form attached as Exhibit 4.9 to the Registration Statement, as such indenture may be amended or supplemented from time to time (the “Indenture”);</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    warrants to purchase Common Stock, Preferred Stock, and/or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    units comprised of one or more Debt Securities, shares of Common Stock, shares of Preferred Stock and Warrants, in any combination (the “Units”), which may be issued under unit agreements, to be dated on or about the date of the first issuance of the applicable Units thereunder, by and between the Company and a unit agent to be selected by the Company (each, a “Unit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acted as legal counsel for the Company in connection with the sales agreement prospectus included in the Registration Statement relating to the issuance and sale of shares of Common Stock having an aggregate offering price of up to $50,000,000 of shares of Common Stock (the “ATM Shares”) under a Sales Agreement, dated as of September 15, 2022, by and between the Company and Cowen and Company, LLC (the “Sales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Common Stock, the Preferred Stock, the Debt Securities, the Warrants, and the Units are collectively referred to herein as the “Securities.” The Registration Statement relates to the registration of the Securities to be offered and sold by the Company from time to time on a delayed or continuous basis pursuant to Rule 415 under the Securities Act. The maximum aggregate public offering price of the Securities being registered is $150,000,000. This opinion is being rendered in connection with the filing of the Registration Statement with the Commission. All capitalized terms used herein and not otherwise defined shall have the respective meanings given to them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7240"/>
                <wp:effectExtent l="0" t="0" r="0" b="0"/>
                <wp:wrapNone/>
                <wp:docPr id="70" name="Frame65"/>
                <a:graphic xmlns:a="http://schemas.openxmlformats.org/drawingml/2006/main">
                  <a:graphicData uri="http://schemas.microsoft.com/office/word/2010/wordprocessingShape">
                    <wps:wsp>
                      <wps:cNvSpPr txBox="1"/>
                      <wps:spPr>
                        <a:xfrm>
                          <a:off x="0" y="0"/>
                          <a:ext cx="6480175" cy="7772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78"/>
                              <w:gridCol w:w="378"/>
                              <w:gridCol w:w="380"/>
                              <w:gridCol w:w="109"/>
                              <w:gridCol w:w="109"/>
                              <w:gridCol w:w="109"/>
                              <w:gridCol w:w="190"/>
                              <w:gridCol w:w="190"/>
                              <w:gridCol w:w="191"/>
                              <w:gridCol w:w="109"/>
                              <w:gridCol w:w="109"/>
                              <w:gridCol w:w="109"/>
                              <w:gridCol w:w="289"/>
                              <w:gridCol w:w="289"/>
                              <w:gridCol w:w="291"/>
                              <w:gridCol w:w="109"/>
                              <w:gridCol w:w="109"/>
                              <w:gridCol w:w="109"/>
                              <w:gridCol w:w="303"/>
                              <w:gridCol w:w="303"/>
                              <w:gridCol w:w="305"/>
                              <w:gridCol w:w="109"/>
                              <w:gridCol w:w="109"/>
                              <w:gridCol w:w="109"/>
                              <w:gridCol w:w="448"/>
                              <w:gridCol w:w="448"/>
                              <w:gridCol w:w="450"/>
                              <w:gridCol w:w="109"/>
                              <w:gridCol w:w="109"/>
                              <w:gridCol w:w="109"/>
                              <w:gridCol w:w="320"/>
                              <w:gridCol w:w="320"/>
                              <w:gridCol w:w="321"/>
                              <w:gridCol w:w="109"/>
                              <w:gridCol w:w="109"/>
                              <w:gridCol w:w="109"/>
                              <w:gridCol w:w="378"/>
                              <w:gridCol w:w="378"/>
                              <w:gridCol w:w="540"/>
                            </w:tblGrid>
                            <w:tr>
                              <w:trPr/>
                              <w:tc>
                                <w:tcPr>
                                  <w:tcW w:w="299" w:type="dxa"/>
                                  <w:tcBorders/>
                                  <w:vAlign w:val="center"/>
                                </w:tcPr>
                                <w:p>
                                  <w:pPr>
                                    <w:pStyle w:val="TableContents"/>
                                    <w:bidi w:val="0"/>
                                    <w:spacing w:before="0" w:after="283"/>
                                    <w:jc w:val="left"/>
                                    <w:rPr>
                                      <w:sz w:val="4"/>
                                      <w:szCs w:val="4"/>
                                    </w:rPr>
                                  </w:pPr>
                                  <w:r>
                                    <w:rPr>
                                      <w:sz w:val="4"/>
                                      <w:szCs w:val="4"/>
                                    </w:rPr>
                                  </w:r>
                                  <w:r>
                                    <w:br w:type="page"/>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 ANGELES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MIAMI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SAN FRANCISCO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TORONTO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WASHINGTON</w:t>
                                  </w:r>
                                </w:p>
                              </w:tc>
                            </w:tr>
                          </w:tbl>
                          <w:p>
                            <w:pPr>
                              <w:pStyle w:val="TextBody"/>
                              <w:bidi w:val="0"/>
                              <w:spacing w:lineRule="auto" w:line="240"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MINTZ, LEVIN, COHN, FERRIS, GLOVSKY AND POPEO, P.C.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78"/>
                        <w:gridCol w:w="378"/>
                        <w:gridCol w:w="380"/>
                        <w:gridCol w:w="109"/>
                        <w:gridCol w:w="109"/>
                        <w:gridCol w:w="109"/>
                        <w:gridCol w:w="190"/>
                        <w:gridCol w:w="190"/>
                        <w:gridCol w:w="191"/>
                        <w:gridCol w:w="109"/>
                        <w:gridCol w:w="109"/>
                        <w:gridCol w:w="109"/>
                        <w:gridCol w:w="289"/>
                        <w:gridCol w:w="289"/>
                        <w:gridCol w:w="291"/>
                        <w:gridCol w:w="109"/>
                        <w:gridCol w:w="109"/>
                        <w:gridCol w:w="109"/>
                        <w:gridCol w:w="303"/>
                        <w:gridCol w:w="303"/>
                        <w:gridCol w:w="305"/>
                        <w:gridCol w:w="109"/>
                        <w:gridCol w:w="109"/>
                        <w:gridCol w:w="109"/>
                        <w:gridCol w:w="448"/>
                        <w:gridCol w:w="448"/>
                        <w:gridCol w:w="450"/>
                        <w:gridCol w:w="109"/>
                        <w:gridCol w:w="109"/>
                        <w:gridCol w:w="109"/>
                        <w:gridCol w:w="320"/>
                        <w:gridCol w:w="320"/>
                        <w:gridCol w:w="321"/>
                        <w:gridCol w:w="109"/>
                        <w:gridCol w:w="109"/>
                        <w:gridCol w:w="109"/>
                        <w:gridCol w:w="378"/>
                        <w:gridCol w:w="378"/>
                        <w:gridCol w:w="54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 ANGELES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MIAMI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SAN DIEGO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SAN FRANCISCO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TORONTO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WASHINGTON</w:t>
                            </w:r>
                          </w:p>
                        </w:tc>
                      </w:tr>
                    </w:tbl>
                    <w:p>
                      <w:pPr>
                        <w:pStyle w:val="TextBody"/>
                        <w:bidi w:val="0"/>
                        <w:spacing w:lineRule="auto" w:line="240"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MINTZ, LEVIN, COHN, FERRIS, GLOVSKY AND POPEO, P.C.</w:t>
                      </w:r>
                    </w:p>
                  </w:txbxContent>
                </v:textbox>
                <w10:wrap type="none"/>
              </v:rect>
            </w:pict>
          </mc:Fallback>
        </mc:AlternateContent>
      </w:r>
    </w:p>
    <w:tbl>
      <w:tblPr>
        <w:tblW w:w="2756" w:type="dxa"/>
        <w:jc w:val="left"/>
        <w:tblInd w:w="0" w:type="dxa"/>
        <w:tblLayout w:type="fixed"/>
        <w:tblCellMar>
          <w:top w:w="28" w:type="dxa"/>
          <w:left w:w="28" w:type="dxa"/>
          <w:bottom w:w="28" w:type="dxa"/>
          <w:right w:w="28" w:type="dxa"/>
        </w:tblCellMar>
      </w:tblPr>
      <w:tblGrid>
        <w:gridCol w:w="625"/>
        <w:gridCol w:w="549"/>
        <w:gridCol w:w="551"/>
        <w:gridCol w:w="302"/>
        <w:gridCol w:w="302"/>
        <w:gridCol w:w="42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color w:val="000000"/>
                <w:sz w:val="20"/>
              </w:rPr>
            </w:pPr>
            <w:r>
              <w:rPr>
                <w:rFonts w:ascii="Arial;sans-serif" w:hAnsi="Arial;sans-serif"/>
                <w:b/>
                <w:color w:val="000000"/>
                <w:sz w:val="20"/>
              </w:rPr>
              <w:t>MINTZ</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p>
            <w:pPr>
              <w:pStyle w:val="TableContents"/>
              <w:bidi w:val="0"/>
              <w:spacing w:lineRule="auto" w:line="24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33400"/>
                  <wp:effectExtent l="0" t="0" r="0" b="0"/>
                  <wp:docPr id="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 descr=""/>
                          <pic:cNvPicPr>
                            <a:picLocks noChangeAspect="1" noChangeArrowheads="1"/>
                          </pic:cNvPicPr>
                        </pic:nvPicPr>
                        <pic:blipFill>
                          <a:blip r:embed="rId45"/>
                          <a:stretch>
                            <a:fillRect/>
                          </a:stretch>
                        </pic:blipFill>
                        <pic:spPr bwMode="auto">
                          <a:xfrm>
                            <a:off x="0" y="0"/>
                            <a:ext cx="571500" cy="533400"/>
                          </a:xfrm>
                          <a:prstGeom prst="rect">
                            <a:avLst/>
                          </a:prstGeom>
                        </pic:spPr>
                      </pic:pic>
                    </a:graphicData>
                  </a:graphic>
                </wp:inline>
              </w:drawing>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opinion, we have examined the Company’s Amended and Restated Certificate of Incorporation, as amended (the “Certificate of Incorporation”), and Amended and Restated Bylaws (the “Bylaws”), each as currently in effect; such other records of the corporate proceedings of the Company and certificates of the Company’s officers as we have deemed relevant; and the Registration Statement and the exhibits thereto.</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and Delaware laws, in the manner presently proposed.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as to certain matters on information obtained from public officials, officers of the Company, and other sources believed by us to be responsible and we have assumed that the Indenture will be duly authorized, executed, and delivered by the respective trustees thereunder and the Warrant Agreement and Unit Agreement will be duly authorized, executed, and delivered by the warrant agent and unit agent, respectively, thereunder. With respect to our opinion as to the Common Stock and Securities convertible into or exercisable for shares of Common Stock, we have assumed that, at the time of issuance and sale, a sufficient number of shares of Common Stock are authorized and available for issuance under the Company’s Certificate of Incorporation as then in effect and that the consideration for the issuance and sale of the Common Stock (or Preferred Stock, Debt Securities convertible into Common Stock or Warrants exercisable for Common Stock or any Units of such Securities)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and that the consideration for the issuance and sale of the Preferred Stock (or Debt Securities convertible into Preferred Stock or Warrants exercisable for Preferred Stock or any Units of such Securities) is in an amount that is not less than the par value of the Preferred Stock. We have also assumed that any Warrants and Units offered under the Registration Statement, and the related Warrant Agreement and Unit Agreement, as applicable, will be executed in the forms to be filed as exhibits to the Registration Statement or incorporated by reference therein. We have not independently verified any of the foregoing assumptions.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understood that this opinion is to be used only in connection with the offer and sale of Securities while the Registration Statement is effective under the Securities Act.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opinion is limited to the General Corporation Law of the State of Delaware and the laws of the State of New York. Without limiting the generality of the foregoing, we express no opinion with respect to (i) the qualification of the Shares under the securities or blue sky laws of any state or any foreign jurisdiction or (ii) the compliance with any federal or state law, rule or regulation relating to securities, or to the sale or issuance thereof.</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2"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756" w:type="dxa"/>
        <w:jc w:val="left"/>
        <w:tblInd w:w="0" w:type="dxa"/>
        <w:tblLayout w:type="fixed"/>
        <w:tblCellMar>
          <w:top w:w="28" w:type="dxa"/>
          <w:left w:w="28" w:type="dxa"/>
          <w:bottom w:w="28" w:type="dxa"/>
          <w:right w:w="28" w:type="dxa"/>
        </w:tblCellMar>
      </w:tblPr>
      <w:tblGrid>
        <w:gridCol w:w="625"/>
        <w:gridCol w:w="549"/>
        <w:gridCol w:w="551"/>
        <w:gridCol w:w="302"/>
        <w:gridCol w:w="302"/>
        <w:gridCol w:w="42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color w:val="000000"/>
                <w:sz w:val="20"/>
              </w:rPr>
            </w:pPr>
            <w:r>
              <w:rPr>
                <w:rFonts w:ascii="Arial;sans-serif" w:hAnsi="Arial;sans-serif"/>
                <w:b/>
                <w:color w:val="000000"/>
                <w:sz w:val="20"/>
              </w:rPr>
              <w:t>MINTZ</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p>
            <w:pPr>
              <w:pStyle w:val="TableContents"/>
              <w:bidi w:val="0"/>
              <w:spacing w:lineRule="auto" w:line="24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33400"/>
                  <wp:effectExtent l="0" t="0" r="0" b="0"/>
                  <wp:docPr id="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 descr=""/>
                          <pic:cNvPicPr>
                            <a:picLocks noChangeAspect="1" noChangeArrowheads="1"/>
                          </pic:cNvPicPr>
                        </pic:nvPicPr>
                        <pic:blipFill>
                          <a:blip r:embed="rId46"/>
                          <a:stretch>
                            <a:fillRect/>
                          </a:stretch>
                        </pic:blipFill>
                        <pic:spPr bwMode="auto">
                          <a:xfrm>
                            <a:off x="0" y="0"/>
                            <a:ext cx="571500" cy="533400"/>
                          </a:xfrm>
                          <a:prstGeom prst="rect">
                            <a:avLst/>
                          </a:prstGeom>
                        </pic:spPr>
                      </pic:pic>
                    </a:graphicData>
                  </a:graphic>
                </wp:inline>
              </w:drawing>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foregoing, we are of the opinion that:</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With respect to the Common Stock (other than the ATM Shares),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 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 binding on the Company and comply with any requirement or restriction imposed by any court or governmental body having jurisdiction over the Company, (vi) the Common Stock has been issued and sold as contemplated by the Registration Statement and the prospectus included therein, and (vii) the Company has received the consideration provided for in the Authorizing Resolutions and, if applicable, the Underwriting Agreement, the Common Stock will be validly issued, fully paid and nonassessable.</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With respect to the Preferred Stock,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 (vi) the terms of issuance and sale of shares of such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 (viii) the Company has received the consideration provided for in the Authorizing Resolutions and, if applicable, the Underwriting Agreement, the Preferred Stock will be validly issued, fully paid and nonassessable.</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With respect to the Debt Securities, when (i) specifically authorized for issuance by the Authorizing Resolutions, (ii) the Registration Statement, as finally amended (including all post-effective amendments), has become effective under the Securities Act, (iii) the Indenture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 (vi) the terms of the Debt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756" w:type="dxa"/>
        <w:jc w:val="left"/>
        <w:tblInd w:w="0" w:type="dxa"/>
        <w:tblLayout w:type="fixed"/>
        <w:tblCellMar>
          <w:top w:w="28" w:type="dxa"/>
          <w:left w:w="28" w:type="dxa"/>
          <w:bottom w:w="28" w:type="dxa"/>
          <w:right w:w="28" w:type="dxa"/>
        </w:tblCellMar>
      </w:tblPr>
      <w:tblGrid>
        <w:gridCol w:w="625"/>
        <w:gridCol w:w="549"/>
        <w:gridCol w:w="551"/>
        <w:gridCol w:w="302"/>
        <w:gridCol w:w="302"/>
        <w:gridCol w:w="42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color w:val="000000"/>
                <w:sz w:val="20"/>
              </w:rPr>
            </w:pPr>
            <w:r>
              <w:rPr>
                <w:rFonts w:ascii="Arial;sans-serif" w:hAnsi="Arial;sans-serif"/>
                <w:b/>
                <w:color w:val="000000"/>
                <w:sz w:val="20"/>
              </w:rPr>
              <w:t>MINTZ</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p>
            <w:pPr>
              <w:pStyle w:val="TableContents"/>
              <w:bidi w:val="0"/>
              <w:spacing w:lineRule="auto" w:line="24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Page 4</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33400"/>
                  <wp:effectExtent l="0" t="0" r="0" b="0"/>
                  <wp:docPr id="7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8" descr=""/>
                          <pic:cNvPicPr>
                            <a:picLocks noChangeAspect="1" noChangeArrowheads="1"/>
                          </pic:cNvPicPr>
                        </pic:nvPicPr>
                        <pic:blipFill>
                          <a:blip r:embed="rId47"/>
                          <a:stretch>
                            <a:fillRect/>
                          </a:stretch>
                        </pic:blipFill>
                        <pic:spPr bwMode="auto">
                          <a:xfrm>
                            <a:off x="0" y="0"/>
                            <a:ext cx="571500" cy="533400"/>
                          </a:xfrm>
                          <a:prstGeom prst="rect">
                            <a:avLst/>
                          </a:prstGeom>
                        </pic:spPr>
                      </pic:pic>
                    </a:graphicData>
                  </a:graphic>
                </wp:inline>
              </w:drawing>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and of their issuance and sale have been duly established in conformity with the Indenture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Indenture and issued and sold as contemplated in the Registration Statement and the prospectus included therein, (viii) the Indenture relating to the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valid and legally binding obligations of the Company.</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With respect to the ATM Shares, such ATM Shares have been duly authorized for issuance and, when (a) the Registration Statement has become effective under the Securities Act, and (b) when the ATM Shares have been issued and paid for in accordance with the terms and conditions of the Sales Agreement, the ATM Shares will be validly issued, fully paid and non-assessable.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756" w:type="dxa"/>
        <w:jc w:val="left"/>
        <w:tblInd w:w="0" w:type="dxa"/>
        <w:tblLayout w:type="fixed"/>
        <w:tblCellMar>
          <w:top w:w="28" w:type="dxa"/>
          <w:left w:w="28" w:type="dxa"/>
          <w:bottom w:w="28" w:type="dxa"/>
          <w:right w:w="28" w:type="dxa"/>
        </w:tblCellMar>
      </w:tblPr>
      <w:tblGrid>
        <w:gridCol w:w="625"/>
        <w:gridCol w:w="549"/>
        <w:gridCol w:w="551"/>
        <w:gridCol w:w="302"/>
        <w:gridCol w:w="302"/>
        <w:gridCol w:w="42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color w:val="000000"/>
                <w:sz w:val="20"/>
              </w:rPr>
            </w:pPr>
            <w:r>
              <w:rPr>
                <w:rFonts w:ascii="Arial;sans-serif" w:hAnsi="Arial;sans-serif"/>
                <w:b/>
                <w:color w:val="000000"/>
                <w:sz w:val="20"/>
              </w:rPr>
              <w:t>MINTZ</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p>
            <w:pPr>
              <w:pStyle w:val="TableContents"/>
              <w:bidi w:val="0"/>
              <w:spacing w:lineRule="auto" w:line="240"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Page 5</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33400"/>
                  <wp:effectExtent l="0" t="0" r="0" b="0"/>
                  <wp:docPr id="7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9" descr=""/>
                          <pic:cNvPicPr>
                            <a:picLocks noChangeAspect="1" noChangeArrowheads="1"/>
                          </pic:cNvPicPr>
                        </pic:nvPicPr>
                        <pic:blipFill>
                          <a:blip r:embed="rId48"/>
                          <a:stretch>
                            <a:fillRect/>
                          </a:stretch>
                        </pic:blipFill>
                        <pic:spPr bwMode="auto">
                          <a:xfrm>
                            <a:off x="0" y="0"/>
                            <a:ext cx="571500" cy="533400"/>
                          </a:xfrm>
                          <a:prstGeom prst="rect">
                            <a:avLst/>
                          </a:prstGeom>
                        </pic:spPr>
                      </pic:pic>
                    </a:graphicData>
                  </a:graphic>
                </wp:inline>
              </w:drawing>
            </w:r>
          </w:p>
        </w:tc>
      </w:tr>
    </w:tbl>
    <w:tbl>
      <w:tblPr>
        <w:tblW w:w="4649" w:type="dxa"/>
        <w:jc w:val="right"/>
        <w:tblInd w:w="0" w:type="dxa"/>
        <w:tblLayout w:type="fixed"/>
        <w:tblCellMar>
          <w:top w:w="28" w:type="dxa"/>
          <w:left w:w="28" w:type="dxa"/>
          <w:bottom w:w="28" w:type="dxa"/>
          <w:right w:w="28" w:type="dxa"/>
        </w:tblCellMar>
      </w:tblPr>
      <w:tblGrid>
        <w:gridCol w:w="1487"/>
        <w:gridCol w:w="1304"/>
        <w:gridCol w:w="1858"/>
      </w:tblGrid>
      <w:tr>
        <w:trPr/>
        <w:tc>
          <w:tcPr>
            <w:tcW w:w="148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Mintz, Levin, Cohn, Ferris, Glovsky and Popeo, P.C.</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Mintz, Levin, Cohn, Ferris, Glovsky and Popeo, P.C.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center"/>
        <w:rPr>
          <w:rFonts w:ascii="Trebuchet MS;sans-serif" w:hAnsi="Trebuchet MS;sans-serif"/>
          <w:b w:val="false"/>
          <w:color w:val="000000"/>
          <w:sz w:val="21"/>
          <w:u w:val="single"/>
        </w:rPr>
      </w:pPr>
      <w:r>
        <w:rPr>
          <w:rFonts w:ascii="Trebuchet MS;sans-serif" w:hAnsi="Trebuchet MS;sans-serif"/>
          <w:b w:val="false"/>
          <w:color w:val="000000"/>
          <w:sz w:val="21"/>
          <w:u w:val="single"/>
        </w:rPr>
        <w:t>Consent of Independent Registered Public Accounting Firm</w:t>
      </w:r>
    </w:p>
    <w:p>
      <w:pPr>
        <w:pStyle w:val="TextBody"/>
        <w:bidi w:val="0"/>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Exagen Inc.</w:t>
      </w:r>
    </w:p>
    <w:p>
      <w:pPr>
        <w:pStyle w:val="TextBody"/>
        <w:bidi w:val="0"/>
        <w:spacing w:lineRule="auto" w:line="240" w:before="0" w:after="220"/>
        <w:jc w:val="both"/>
        <w:rPr>
          <w:rFonts w:ascii="Trebuchet MS;sans-serif" w:hAnsi="Trebuchet MS;sans-serif"/>
          <w:b w:val="false"/>
          <w:color w:val="000000"/>
          <w:sz w:val="21"/>
        </w:rPr>
      </w:pPr>
      <w:r>
        <w:rPr>
          <w:rFonts w:ascii="Trebuchet MS;sans-serif" w:hAnsi="Trebuchet MS;sans-serif"/>
          <w:b w:val="false"/>
          <w:color w:val="000000"/>
          <w:sz w:val="21"/>
        </w:rPr>
        <w:t>Vista, California</w:t>
      </w:r>
    </w:p>
    <w:p>
      <w:pPr>
        <w:pStyle w:val="TextBody"/>
        <w:bidi w:val="0"/>
        <w:spacing w:lineRule="auto" w:line="240" w:before="0" w:after="220"/>
        <w:jc w:val="both"/>
        <w:rPr>
          <w:rFonts w:ascii="Trebuchet MS;sans-serif" w:hAnsi="Trebuchet MS;sans-serif"/>
          <w:b w:val="false"/>
          <w:color w:val="000000"/>
          <w:sz w:val="21"/>
        </w:rPr>
      </w:pPr>
      <w:r>
        <w:rPr>
          <w:rFonts w:ascii="Trebuchet MS;sans-serif" w:hAnsi="Trebuchet MS;sans-serif"/>
          <w:b w:val="false"/>
          <w:color w:val="000000"/>
          <w:sz w:val="21"/>
        </w:rPr>
        <w:t xml:space="preserve">We hereby consent to the incorporation by reference in the Prospectus constituting a part of this Registration Statement of our report dated March 20, 2023, relating to the financial statements of Exagen Inc. appearing in the Company’s Annual Report on Form 10-K for the year ended December 31, 2022. </w:t>
      </w:r>
    </w:p>
    <w:p>
      <w:pPr>
        <w:pStyle w:val="TextBody"/>
        <w:bidi w:val="0"/>
        <w:spacing w:lineRule="auto" w:line="240" w:before="0" w:after="220"/>
        <w:jc w:val="both"/>
        <w:rPr>
          <w:rFonts w:ascii="Trebuchet MS;sans-serif" w:hAnsi="Trebuchet MS;sans-serif"/>
          <w:b w:val="false"/>
          <w:color w:val="000000"/>
          <w:sz w:val="21"/>
        </w:rPr>
      </w:pPr>
      <w:r>
        <w:rPr>
          <w:rFonts w:ascii="Trebuchet MS;sans-serif" w:hAnsi="Trebuchet MS;sans-serif"/>
          <w:b w:val="false"/>
          <w:color w:val="000000"/>
          <w:sz w:val="21"/>
        </w:rPr>
        <w:t>We also consent to the reference to us under the caption “Experts” in the Prospectus.</w:t>
      </w:r>
    </w:p>
    <w:p>
      <w:pPr>
        <w:pStyle w:val="TextBody"/>
        <w:bidi w:val="0"/>
        <w:spacing w:lineRule="auto" w:line="240" w:before="0" w:after="220"/>
        <w:jc w:val="both"/>
        <w:rPr>
          <w:rFonts w:ascii="Trebuchet MS;sans-serif" w:hAnsi="Trebuchet MS;sans-serif"/>
          <w:b w:val="false"/>
          <w:color w:val="000000"/>
          <w:sz w:val="21"/>
        </w:rPr>
      </w:pPr>
      <w:r>
        <w:rPr>
          <w:rFonts w:ascii="Trebuchet MS;sans-serif" w:hAnsi="Trebuchet MS;sans-serif"/>
          <w:b w:val="false"/>
          <w:color w:val="000000"/>
          <w:sz w:val="21"/>
        </w:rPr>
        <w:t>/s/ BDO USA, P.C.</w:t>
      </w:r>
    </w:p>
    <w:p>
      <w:pPr>
        <w:pStyle w:val="TextBody"/>
        <w:bidi w:val="0"/>
        <w:spacing w:lineRule="auto" w:line="240" w:before="0" w:after="0"/>
        <w:jc w:val="both"/>
        <w:rPr>
          <w:rFonts w:ascii="Trebuchet MS;sans-serif" w:hAnsi="Trebuchet MS;sans-serif"/>
          <w:b w:val="false"/>
          <w:color w:val="000000"/>
          <w:sz w:val="21"/>
        </w:rPr>
      </w:pPr>
      <w:r>
        <w:rPr>
          <w:rFonts w:ascii="Trebuchet MS;sans-serif" w:hAnsi="Trebuchet MS;sans-serif"/>
          <w:b w:val="false"/>
          <w:color w:val="000000"/>
          <w:sz w:val="21"/>
        </w:rPr>
        <w:t>San Diego, California</w:t>
      </w:r>
    </w:p>
    <w:p>
      <w:pPr>
        <w:pStyle w:val="TextBody"/>
        <w:bidi w:val="0"/>
        <w:spacing w:lineRule="auto" w:line="240" w:before="0" w:after="220"/>
        <w:jc w:val="left"/>
        <w:rPr>
          <w:rFonts w:ascii="Trebuchet MS;sans-serif" w:hAnsi="Trebuchet MS;sans-serif"/>
          <w:b w:val="false"/>
          <w:color w:val="000000"/>
          <w:sz w:val="21"/>
        </w:rPr>
      </w:pPr>
      <w:r>
        <w:rPr>
          <w:rFonts w:ascii="Trebuchet MS;sans-serif" w:hAnsi="Trebuchet MS;sans-serif"/>
          <w:b w:val="false"/>
          <w:color w:val="000000"/>
          <w:sz w:val="21"/>
        </w:rPr>
        <w:t>November 17, 2023</w:t>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274737/000127473723000019/exdx-20221231.htm" TargetMode="External"/><Relationship Id="rId4" Type="http://schemas.openxmlformats.org/officeDocument/2006/relationships/hyperlink" Target="https://www.sec.gov/ix?doc=/Archives/edgar/data/0001274737/000127473723000049/exdx-20230331.htm" TargetMode="External"/><Relationship Id="rId5" Type="http://schemas.openxmlformats.org/officeDocument/2006/relationships/hyperlink" Target="https://www.sec.gov/ix?doc=/Archives/edgar/data/1274737/000127473723000088/exdx-20230630.htm" TargetMode="External"/><Relationship Id="rId6" Type="http://schemas.openxmlformats.org/officeDocument/2006/relationships/hyperlink" Target="https://www.sec.gov/ix?doc=/Archives/edgar/data/1274737/000127473723000103/exdx-20230930.htm" TargetMode="External"/><Relationship Id="rId7" Type="http://schemas.openxmlformats.org/officeDocument/2006/relationships/hyperlink" Target="https://www.sec.gov/ix?doc=/Archives/edgar/data/0001274737/000127473723000002/exdx-20230109.htm" TargetMode="External"/><Relationship Id="rId8" Type="http://schemas.openxmlformats.org/officeDocument/2006/relationships/hyperlink" Target="https://www.sec.gov/ix?doc=/Archives/edgar/data/0001274737/000127473723000004/exdx-20230123.htm" TargetMode="External"/><Relationship Id="rId9" Type="http://schemas.openxmlformats.org/officeDocument/2006/relationships/hyperlink" Target="https://www.sec.gov/ix?doc=/Archives/edgar/data/0001274737/000127473723000024/exdx-20230320.htm" TargetMode="External"/><Relationship Id="rId10" Type="http://schemas.openxmlformats.org/officeDocument/2006/relationships/hyperlink" Target="https://www.sec.gov/ix?doc=/Archives/edgar/data/0001274737/000127473723000041/exdx-20230428.htm" TargetMode="External"/><Relationship Id="rId11" Type="http://schemas.openxmlformats.org/officeDocument/2006/relationships/hyperlink" Target="https://www.sec.gov/ix?doc=/Archives/edgar/data/1274737/000127473723000067/exdx-20230609.htm" TargetMode="External"/><Relationship Id="rId12" Type="http://schemas.openxmlformats.org/officeDocument/2006/relationships/hyperlink" Target="https://www.sec.gov/ix?doc=/Archives/edgar/data/1274737/000127473723000074/exdx-20230724.htm" TargetMode="External"/><Relationship Id="rId13" Type="http://schemas.openxmlformats.org/officeDocument/2006/relationships/hyperlink" Target="https://www.sec.gov/ix?doc=/Archives/edgar/data/1274737/000127473723000096/exdx-20231024.htm" TargetMode="External"/><Relationship Id="rId14" Type="http://schemas.openxmlformats.org/officeDocument/2006/relationships/hyperlink" Target="https://www.sec.gov/Archives/edgar/data/1274737/000119312519244881/d756255d8a12b.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hyperlink" Target="https://www.sec.gov/ix?doc=/Archives/edgar/data/0001274737/000127473723000019/exdx-20221231.htm" TargetMode="External"/><Relationship Id="rId18" Type="http://schemas.openxmlformats.org/officeDocument/2006/relationships/hyperlink" Target="https://www.sec.gov/ix?doc=/Archives/edgar/data/0001274737/000127473723000049/exdx-20230331.htm" TargetMode="External"/><Relationship Id="rId19" Type="http://schemas.openxmlformats.org/officeDocument/2006/relationships/hyperlink" Target="https://www.sec.gov/ix?doc=/Archives/edgar/data/1274737/000127473723000088/exdx-20230630.htm" TargetMode="External"/><Relationship Id="rId20" Type="http://schemas.openxmlformats.org/officeDocument/2006/relationships/hyperlink" Target="https://www.sec.gov/ix?doc=/Archives/edgar/data/1274737/000127473723000103/exdx-20230930.htm" TargetMode="External"/><Relationship Id="rId21" Type="http://schemas.openxmlformats.org/officeDocument/2006/relationships/hyperlink" Target="https://www.sec.gov/ix?doc=/Archives/edgar/data/0001274737/000127473723000002/exdx-20230109.htm" TargetMode="External"/><Relationship Id="rId22" Type="http://schemas.openxmlformats.org/officeDocument/2006/relationships/hyperlink" Target="https://www.sec.gov/ix?doc=/Archives/edgar/data/0001274737/000127473723000004/exdx-20230123.htm" TargetMode="External"/><Relationship Id="rId23" Type="http://schemas.openxmlformats.org/officeDocument/2006/relationships/hyperlink" Target="https://www.sec.gov/ix?doc=/Archives/edgar/data/0001274737/000127473723000024/exdx-20230320.htm" TargetMode="External"/><Relationship Id="rId24" Type="http://schemas.openxmlformats.org/officeDocument/2006/relationships/hyperlink" Target="https://www.sec.gov/ix?doc=/Archives/edgar/data/0001274737/000127473723000041/exdx-20230428.htm" TargetMode="External"/><Relationship Id="rId25" Type="http://schemas.openxmlformats.org/officeDocument/2006/relationships/hyperlink" Target="https://www.sec.gov/ix?doc=/Archives/edgar/data/1274737/000127473723000067/exdx-20230609.htm" TargetMode="External"/><Relationship Id="rId26" Type="http://schemas.openxmlformats.org/officeDocument/2006/relationships/hyperlink" Target="https://www.sec.gov/ix?doc=/Archives/edgar/data/1274737/000127473723000074/exdx-20230724.htm" TargetMode="External"/><Relationship Id="rId27" Type="http://schemas.openxmlformats.org/officeDocument/2006/relationships/hyperlink" Target="https://www.sec.gov/ix?doc=/Archives/edgar/data/1274737/000127473723000096/exdx-20231024.htm" TargetMode="External"/><Relationship Id="rId28" Type="http://schemas.openxmlformats.org/officeDocument/2006/relationships/hyperlink" Target="https://www.sec.gov/Archives/edgar/data/1274737/000119312519244881/d756255d8a12b.htm" TargetMode="External"/><Relationship Id="rId29" Type="http://schemas.openxmlformats.org/officeDocument/2006/relationships/image" Target="media/image1.jpeg"/><Relationship Id="rId30" Type="http://schemas.openxmlformats.org/officeDocument/2006/relationships/hyperlink" Target="https://www.sec.gov/Archives/edgar/data/1274737/000127473722000064/ex11-xgnxsalesagreement.htm" TargetMode="External"/><Relationship Id="rId31" Type="http://schemas.openxmlformats.org/officeDocument/2006/relationships/hyperlink" Target="https://www.sec.gov/Archives/edgar/data/1274737/000119312519252366/d769261dex31.htm" TargetMode="External"/><Relationship Id="rId32" Type="http://schemas.openxmlformats.org/officeDocument/2006/relationships/hyperlink" Target="https://www.sec.gov/Archives/edgar/data/1274737/000127473721000017/ex31-amendedandrestatedbyl.htm" TargetMode="External"/><Relationship Id="rId33" Type="http://schemas.openxmlformats.org/officeDocument/2006/relationships/hyperlink" Target="https://www.sec.gov/Archives/edgar/data/1274737/000127473723000004/exhibit-exagenxamendmentto.htm" TargetMode="External"/><Relationship Id="rId34" Type="http://schemas.openxmlformats.org/officeDocument/2006/relationships/hyperlink" Target="https://www.sec.gov/Archives/edgar/data/1274737/000119312519240403/d692844dex41.htm" TargetMode="External"/><Relationship Id="rId35" Type="http://schemas.openxmlformats.org/officeDocument/2006/relationships/hyperlink" Target="https://www.sec.gov/Archives/edgar/data/1274737/000119312519228011/d692844dex42.htm" TargetMode="External"/><Relationship Id="rId36" Type="http://schemas.openxmlformats.org/officeDocument/2006/relationships/hyperlink" Target="http://www.sec.gov/Archives/edgar/data/1274737/000119312519228011/d692844dex43.htm" TargetMode="External"/><Relationship Id="rId37" Type="http://schemas.openxmlformats.org/officeDocument/2006/relationships/hyperlink" Target="https://www.sec.gov/Archives/edgar/data/1274737/000119312519228011/d692844dex44.htm" TargetMode="External"/><Relationship Id="rId38" Type="http://schemas.openxmlformats.org/officeDocument/2006/relationships/hyperlink" Target="https://www.sec.gov/Archives/edgar/data/1274737/000119312519228011/d692844dex48.htm" TargetMode="External"/><Relationship Id="rId39" Type="http://schemas.openxmlformats.org/officeDocument/2006/relationships/hyperlink" Target="https://www.sec.gov/Archives/edgar/data/1274737/000119312519228011/d692844dex49.htm" TargetMode="External"/><Relationship Id="rId40" Type="http://schemas.openxmlformats.org/officeDocument/2006/relationships/hyperlink" Target="https://www.sec.gov/Archives/edgar/data/1274737/000119312519228011/d692844dex49.htm" TargetMode="External"/><Relationship Id="rId41" Type="http://schemas.openxmlformats.org/officeDocument/2006/relationships/hyperlink" Target="https://www.sec.gov/Archives/edgar/data/1274737/000119312519228011/d692844dex49.htm" TargetMode="External"/><Relationship Id="rId42" Type="http://schemas.openxmlformats.org/officeDocument/2006/relationships/hyperlink" Target="http://www.sec.gov/Archives/edgar/data/1274737/000127473721000094/ex45-formofprexfundedwarra.htm" TargetMode="External"/><Relationship Id="rId43" Type="http://schemas.openxmlformats.org/officeDocument/2006/relationships/hyperlink" Target="https://www.sec.gov/Archives/edgar/data/1274737/000127473720000098/ex410-formofindenturet.htm" TargetMode="External"/><Relationship Id="rId44" Type="http://schemas.openxmlformats.org/officeDocument/2006/relationships/image" Target="media/image2.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33419</Words>
  <Characters>176167</Characters>
  <CharactersWithSpaces>208613</CharactersWithSpaces>
  <Paragraphs>1137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